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УДК 331.08</w:t>
      </w:r>
    </w:p>
    <w:p>
      <w:pPr>
        <w:pStyle w:val="Normal"/>
        <w:suppressAutoHyphens w:val="true"/>
        <w:spacing w:lineRule="auto" w:line="240" w:before="0" w:after="0"/>
        <w:jc w:val="right"/>
        <w:rPr>
          <w:rFonts w:ascii="Times New Roman" w:hAnsi="Times New Roman" w:eastAsia="SimSun" w:cs="Times New Roman"/>
          <w:b/>
          <w:b/>
          <w:bCs/>
          <w:i/>
          <w:i/>
          <w:sz w:val="24"/>
          <w:szCs w:val="24"/>
          <w:lang w:eastAsia="ar-SA"/>
        </w:rPr>
      </w:pPr>
      <w:r>
        <w:rPr>
          <w:rFonts w:eastAsia="SimSun" w:cs="Times New Roman" w:ascii="Times New Roman" w:hAnsi="Times New Roman"/>
          <w:b/>
          <w:bCs/>
          <w:i/>
          <w:sz w:val="24"/>
          <w:szCs w:val="24"/>
          <w:lang w:eastAsia="ar-SA"/>
        </w:rPr>
        <w:t>Никифоров М.М.</w:t>
      </w:r>
    </w:p>
    <w:p>
      <w:pPr>
        <w:pStyle w:val="Normal"/>
        <w:suppressAutoHyphens w:val="true"/>
        <w:spacing w:lineRule="auto" w:line="240" w:before="0" w:after="0"/>
        <w:jc w:val="right"/>
        <w:rPr>
          <w:rFonts w:ascii="Times New Roman" w:hAnsi="Times New Roman" w:eastAsia="SimSun" w:cs="Times New Roman"/>
          <w:bCs/>
          <w:i/>
          <w:i/>
          <w:sz w:val="24"/>
          <w:szCs w:val="24"/>
          <w:lang w:eastAsia="ar-SA"/>
        </w:rPr>
      </w:pPr>
      <w:r>
        <w:rPr>
          <w:rFonts w:eastAsia="SimSun" w:cs="Times New Roman" w:ascii="Times New Roman" w:hAnsi="Times New Roman"/>
          <w:bCs/>
          <w:i/>
          <w:sz w:val="24"/>
          <w:szCs w:val="24"/>
          <w:lang w:eastAsia="ar-SA"/>
        </w:rPr>
        <w:t>студент группы ИВТ-22оз-М</w:t>
      </w:r>
    </w:p>
    <w:p>
      <w:pPr>
        <w:pStyle w:val="Normal"/>
        <w:spacing w:lineRule="auto" w:line="240" w:before="0" w:after="0"/>
        <w:ind w:firstLine="709"/>
        <w:jc w:val="right"/>
        <w:rPr>
          <w:rFonts w:ascii="Times New Roman" w:hAnsi="Times New Roman" w:cs="Times New Roman"/>
          <w:i/>
          <w:i/>
          <w:sz w:val="24"/>
          <w:szCs w:val="24"/>
          <w:lang w:val="ru-RU"/>
        </w:rPr>
      </w:pPr>
      <w:r>
        <w:rPr>
          <w:rFonts w:cs="Times New Roman" w:ascii="Times New Roman" w:hAnsi="Times New Roman"/>
          <w:i/>
          <w:sz w:val="24"/>
          <w:szCs w:val="24"/>
          <w:lang w:val="ru-RU"/>
        </w:rPr>
        <w:t xml:space="preserve">Научный руководитель: </w:t>
      </w:r>
      <w:r>
        <w:rPr>
          <w:rFonts w:cs="Times New Roman" w:ascii="Times New Roman" w:hAnsi="Times New Roman"/>
          <w:i/>
          <w:sz w:val="24"/>
          <w:szCs w:val="24"/>
        </w:rPr>
        <w:t>Доцент кафедры ВТИСИТ</w:t>
      </w:r>
      <w:r>
        <w:rPr>
          <w:rFonts w:cs="Times New Roman" w:ascii="Times New Roman" w:hAnsi="Times New Roman"/>
          <w:i/>
          <w:sz w:val="24"/>
          <w:szCs w:val="24"/>
          <w:lang w:val="ru-RU"/>
        </w:rPr>
        <w:t xml:space="preserve"> –Куделин А.Г.</w:t>
      </w:r>
    </w:p>
    <w:p>
      <w:pPr>
        <w:pStyle w:val="Normal"/>
        <w:suppressAutoHyphens w:val="true"/>
        <w:spacing w:lineRule="auto" w:line="240" w:before="0" w:after="0"/>
        <w:jc w:val="right"/>
        <w:rPr>
          <w:rFonts w:ascii="Times New Roman" w:hAnsi="Times New Roman" w:eastAsia="SimSun" w:cs="Times New Roman"/>
          <w:bCs/>
          <w:i/>
          <w:i/>
          <w:sz w:val="24"/>
          <w:szCs w:val="24"/>
          <w:lang w:eastAsia="ar-SA"/>
        </w:rPr>
      </w:pPr>
      <w:r>
        <w:rPr>
          <w:rFonts w:eastAsia="SimSun" w:cs="Times New Roman" w:ascii="Times New Roman" w:hAnsi="Times New Roman"/>
          <w:bCs/>
          <w:i/>
          <w:sz w:val="24"/>
          <w:szCs w:val="24"/>
          <w:lang w:eastAsia="ar-SA"/>
        </w:rPr>
        <w:t>Ухтинский государственный технический университет, г. Ухта, Россия</w:t>
      </w:r>
    </w:p>
    <w:p>
      <w:pPr>
        <w:pStyle w:val="Normal"/>
        <w:suppressAutoHyphens w:val="true"/>
        <w:spacing w:lineRule="auto" w:line="240" w:before="0" w:after="0"/>
        <w:jc w:val="right"/>
        <w:rPr>
          <w:rStyle w:val="Style13"/>
          <w:rFonts w:ascii="Times New Roman" w:hAnsi="Times New Roman" w:eastAsia="SimSun" w:cs="Times New Roman"/>
          <w:bCs/>
          <w:i/>
          <w:i/>
          <w:sz w:val="24"/>
          <w:szCs w:val="24"/>
          <w:u w:val="none"/>
          <w:lang w:eastAsia="ar-SA"/>
        </w:rPr>
      </w:pPr>
      <w:r>
        <w:rPr>
          <w:rFonts w:eastAsia="SimSun" w:cs="Times New Roman" w:ascii="Times New Roman" w:hAnsi="Times New Roman"/>
          <w:bCs/>
          <w:i/>
          <w:sz w:val="24"/>
          <w:szCs w:val="24"/>
          <w:lang w:val="en-US" w:eastAsia="ar-SA"/>
        </w:rPr>
        <w:t>E</w:t>
      </w:r>
      <w:r>
        <w:rPr>
          <w:rFonts w:eastAsia="SimSun" w:cs="Times New Roman" w:ascii="Times New Roman" w:hAnsi="Times New Roman"/>
          <w:bCs/>
          <w:i/>
          <w:sz w:val="24"/>
          <w:szCs w:val="24"/>
          <w:lang w:eastAsia="ar-SA"/>
        </w:rPr>
        <w:t>-</w:t>
      </w:r>
      <w:r>
        <w:rPr>
          <w:rFonts w:eastAsia="SimSun" w:cs="Times New Roman" w:ascii="Times New Roman" w:hAnsi="Times New Roman"/>
          <w:bCs/>
          <w:i/>
          <w:sz w:val="24"/>
          <w:szCs w:val="24"/>
          <w:lang w:val="en-US" w:eastAsia="ar-SA"/>
        </w:rPr>
        <w:t>mail</w:t>
      </w:r>
      <w:r>
        <w:rPr>
          <w:rFonts w:eastAsia="SimSun" w:cs="Times New Roman" w:ascii="Times New Roman" w:hAnsi="Times New Roman"/>
          <w:bCs/>
          <w:i/>
          <w:sz w:val="24"/>
          <w:szCs w:val="24"/>
          <w:lang w:eastAsia="ar-SA"/>
        </w:rPr>
        <w:t xml:space="preserve">: </w:t>
      </w:r>
      <w:hyperlink r:id="rId2">
        <w:r>
          <w:rPr>
            <w:rFonts w:eastAsia="SimSun" w:cs="Times New Roman" w:ascii="Times New Roman" w:hAnsi="Times New Roman"/>
            <w:bCs/>
            <w:i/>
            <w:sz w:val="24"/>
            <w:szCs w:val="24"/>
            <w:u w:val="none"/>
            <w:lang w:val="en-US" w:eastAsia="ar-SA"/>
          </w:rPr>
          <w:t>nikiforov</w:t>
        </w:r>
        <w:r>
          <w:rPr>
            <w:rFonts w:eastAsia="SimSun" w:cs="Times New Roman" w:ascii="Times New Roman" w:hAnsi="Times New Roman"/>
            <w:bCs/>
            <w:i/>
            <w:sz w:val="24"/>
            <w:szCs w:val="24"/>
            <w:u w:val="none"/>
            <w:lang w:eastAsia="ar-SA"/>
          </w:rPr>
          <w:t>1601@</w:t>
        </w:r>
        <w:r>
          <w:rPr>
            <w:rFonts w:eastAsia="SimSun" w:cs="Times New Roman" w:ascii="Times New Roman" w:hAnsi="Times New Roman"/>
            <w:bCs/>
            <w:i/>
            <w:sz w:val="24"/>
            <w:szCs w:val="24"/>
            <w:u w:val="none"/>
            <w:lang w:val="en-US" w:eastAsia="ar-SA"/>
          </w:rPr>
          <w:t>yandex</w:t>
        </w:r>
        <w:r>
          <w:rPr>
            <w:rFonts w:eastAsia="SimSun" w:cs="Times New Roman" w:ascii="Times New Roman" w:hAnsi="Times New Roman"/>
            <w:bCs/>
            <w:i/>
            <w:sz w:val="24"/>
            <w:szCs w:val="24"/>
            <w:u w:val="none"/>
            <w:lang w:eastAsia="ar-SA"/>
          </w:rPr>
          <w:t>.</w:t>
        </w:r>
        <w:r>
          <w:rPr>
            <w:rFonts w:eastAsia="SimSun" w:cs="Times New Roman" w:ascii="Times New Roman" w:hAnsi="Times New Roman"/>
            <w:bCs/>
            <w:i/>
            <w:sz w:val="24"/>
            <w:szCs w:val="24"/>
            <w:u w:val="none"/>
            <w:lang w:val="en-US" w:eastAsia="ar-SA"/>
          </w:rPr>
          <w:t>ru</w:t>
        </w:r>
      </w:hyperlink>
    </w:p>
    <w:p>
      <w:pPr>
        <w:pStyle w:val="Normal"/>
        <w:suppressAutoHyphens w:val="true"/>
        <w:spacing w:lineRule="auto" w:line="240" w:before="0" w:after="0"/>
        <w:jc w:val="right"/>
        <w:rPr>
          <w:rFonts w:ascii="Times New Roman" w:hAnsi="Times New Roman" w:eastAsia="SimSun" w:cs="Times New Roman"/>
          <w:bCs/>
          <w:i/>
          <w:i/>
          <w:sz w:val="24"/>
          <w:szCs w:val="24"/>
          <w:lang w:eastAsia="ar-SA"/>
        </w:rPr>
      </w:pPr>
      <w:r>
        <w:rPr>
          <w:rFonts w:eastAsia="SimSun" w:cs="Times New Roman" w:ascii="Times New Roman" w:hAnsi="Times New Roman"/>
          <w:bCs/>
          <w:i/>
          <w:sz w:val="24"/>
          <w:szCs w:val="24"/>
          <w:lang w:eastAsia="ar-SA"/>
        </w:rPr>
      </w:r>
    </w:p>
    <w:p>
      <w:pPr>
        <w:pStyle w:val="Normal"/>
        <w:spacing w:lineRule="auto" w:line="240" w:before="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t>Сравнение точностей математических моделей диффузий инноваций для прогнозирования развития возобновляемой энергии Российской Федерации</w:t>
      </w:r>
    </w:p>
    <w:p>
      <w:pPr>
        <w:pStyle w:val="Normal"/>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sz w:val="24"/>
          <w:szCs w:val="24"/>
          <w:lang w:eastAsia="ar-SA"/>
        </w:rPr>
      </w:r>
    </w:p>
    <w:p>
      <w:pPr>
        <w:pStyle w:val="ListParagraph"/>
        <w:suppressAutoHyphens w:val="true"/>
        <w:spacing w:lineRule="auto" w:line="240" w:before="0" w:after="0"/>
        <w:ind w:left="0" w:hanging="0"/>
        <w:contextualSpacing/>
        <w:jc w:val="right"/>
        <w:rPr>
          <w:rFonts w:ascii="Times New Roman" w:hAnsi="Times New Roman" w:eastAsia="SimSun" w:cs="Times New Roman"/>
          <w:b/>
          <w:b/>
          <w:bCs/>
          <w:sz w:val="24"/>
          <w:szCs w:val="24"/>
          <w:lang w:val="en-US" w:eastAsia="ar-SA"/>
        </w:rPr>
      </w:pPr>
      <w:r>
        <w:rPr>
          <w:rFonts w:eastAsia="SimSun" w:cs="Times New Roman" w:ascii="Times New Roman" w:hAnsi="Times New Roman"/>
          <w:b/>
          <w:bCs/>
          <w:sz w:val="24"/>
          <w:szCs w:val="24"/>
          <w:lang w:val="en-US" w:eastAsia="ar-SA"/>
        </w:rPr>
        <w:t>Nikiforov M.M.</w:t>
      </w:r>
    </w:p>
    <w:p>
      <w:pPr>
        <w:pStyle w:val="ListParagraph"/>
        <w:suppressAutoHyphens w:val="true"/>
        <w:spacing w:lineRule="auto" w:line="240" w:before="0" w:after="0"/>
        <w:ind w:left="0" w:hanging="0"/>
        <w:contextualSpacing/>
        <w:jc w:val="right"/>
        <w:rPr>
          <w:rFonts w:ascii="Times New Roman" w:hAnsi="Times New Roman" w:eastAsia="SimSun" w:cs="Times New Roman"/>
          <w:bCs/>
          <w:i/>
          <w:i/>
          <w:sz w:val="24"/>
          <w:szCs w:val="24"/>
          <w:lang w:val="en-US" w:eastAsia="ar-SA"/>
        </w:rPr>
      </w:pPr>
      <w:r>
        <w:rPr>
          <w:rFonts w:eastAsia="SimSun" w:cs="Times New Roman" w:ascii="Times New Roman" w:hAnsi="Times New Roman"/>
          <w:bCs/>
          <w:i/>
          <w:sz w:val="24"/>
          <w:szCs w:val="24"/>
          <w:lang w:val="en-US" w:eastAsia="ar-SA"/>
        </w:rPr>
        <w:t xml:space="preserve">student of group </w:t>
      </w:r>
      <w:r>
        <w:rPr>
          <w:rFonts w:eastAsia="SimSun" w:cs="Times New Roman" w:ascii="Times New Roman" w:hAnsi="Times New Roman"/>
          <w:bCs/>
          <w:i/>
          <w:sz w:val="24"/>
          <w:szCs w:val="24"/>
          <w:lang w:eastAsia="ar-SA"/>
        </w:rPr>
        <w:t>ИВТ</w:t>
      </w:r>
      <w:r>
        <w:rPr>
          <w:rFonts w:eastAsia="SimSun" w:cs="Times New Roman" w:ascii="Times New Roman" w:hAnsi="Times New Roman"/>
          <w:bCs/>
          <w:i/>
          <w:sz w:val="24"/>
          <w:szCs w:val="24"/>
          <w:lang w:val="en-US" w:eastAsia="ar-SA"/>
        </w:rPr>
        <w:t>-22</w:t>
      </w:r>
      <w:r>
        <w:rPr>
          <w:rFonts w:eastAsia="SimSun" w:cs="Times New Roman" w:ascii="Times New Roman" w:hAnsi="Times New Roman"/>
          <w:bCs/>
          <w:i/>
          <w:sz w:val="24"/>
          <w:szCs w:val="24"/>
          <w:lang w:eastAsia="ar-SA"/>
        </w:rPr>
        <w:t>оз</w:t>
      </w:r>
      <w:r>
        <w:rPr>
          <w:rFonts w:eastAsia="SimSun" w:cs="Times New Roman" w:ascii="Times New Roman" w:hAnsi="Times New Roman"/>
          <w:bCs/>
          <w:i/>
          <w:sz w:val="24"/>
          <w:szCs w:val="24"/>
          <w:lang w:val="en-US" w:eastAsia="ar-SA"/>
        </w:rPr>
        <w:t>-</w:t>
      </w:r>
      <w:r>
        <w:rPr>
          <w:rFonts w:eastAsia="SimSun" w:cs="Times New Roman" w:ascii="Times New Roman" w:hAnsi="Times New Roman"/>
          <w:bCs/>
          <w:i/>
          <w:sz w:val="24"/>
          <w:szCs w:val="24"/>
          <w:lang w:eastAsia="ar-SA"/>
        </w:rPr>
        <w:t>М</w:t>
      </w:r>
    </w:p>
    <w:p>
      <w:pPr>
        <w:pStyle w:val="ListParagraph"/>
        <w:suppressAutoHyphens w:val="true"/>
        <w:spacing w:lineRule="auto" w:line="240" w:before="0" w:after="0"/>
        <w:ind w:left="0" w:hanging="0"/>
        <w:contextualSpacing/>
        <w:jc w:val="right"/>
        <w:rPr>
          <w:rFonts w:ascii="Times New Roman" w:hAnsi="Times New Roman" w:eastAsia="SimSun" w:cs="Times New Roman"/>
          <w:bCs/>
          <w:i/>
          <w:i/>
          <w:sz w:val="24"/>
          <w:szCs w:val="24"/>
          <w:lang w:val="en-US" w:eastAsia="ar-SA"/>
        </w:rPr>
      </w:pPr>
      <w:r>
        <w:rPr>
          <w:rFonts w:eastAsia="SimSun" w:cs="Times New Roman" w:ascii="Times New Roman" w:hAnsi="Times New Roman"/>
          <w:bCs/>
          <w:i/>
          <w:sz w:val="24"/>
          <w:szCs w:val="24"/>
          <w:lang w:val="en-US" w:eastAsia="ar-SA"/>
        </w:rPr>
        <w:t>Supervisor: Associate Professor – A.G. Kudelin</w:t>
      </w:r>
    </w:p>
    <w:p>
      <w:pPr>
        <w:pStyle w:val="Normal"/>
        <w:suppressAutoHyphens w:val="true"/>
        <w:spacing w:lineRule="auto" w:line="240" w:before="0" w:after="0"/>
        <w:ind w:firstLine="709"/>
        <w:jc w:val="right"/>
        <w:rPr>
          <w:rFonts w:ascii="Times New Roman" w:hAnsi="Times New Roman" w:eastAsia="SimSun" w:cs="Times New Roman"/>
          <w:bCs/>
          <w:i/>
          <w:i/>
          <w:sz w:val="24"/>
          <w:szCs w:val="24"/>
          <w:lang w:val="en-US" w:eastAsia="ar-SA"/>
        </w:rPr>
      </w:pPr>
      <w:r>
        <w:rPr>
          <w:rFonts w:eastAsia="SimSun" w:cs="Times New Roman" w:ascii="Times New Roman" w:hAnsi="Times New Roman"/>
          <w:bCs/>
          <w:i/>
          <w:sz w:val="24"/>
          <w:szCs w:val="24"/>
          <w:lang w:val="en-US" w:eastAsia="ar-SA"/>
        </w:rPr>
        <w:t>Ukhta State Technical University, Ukhta, Russia</w:t>
      </w:r>
    </w:p>
    <w:p>
      <w:pPr>
        <w:pStyle w:val="Normal"/>
        <w:suppressAutoHyphens w:val="true"/>
        <w:spacing w:lineRule="auto" w:line="240" w:before="0" w:after="0"/>
        <w:jc w:val="right"/>
        <w:rPr>
          <w:rFonts w:ascii="Times New Roman" w:hAnsi="Times New Roman" w:eastAsia="SimSun" w:cs="Times New Roman"/>
          <w:bCs/>
          <w:i/>
          <w:i/>
          <w:sz w:val="24"/>
          <w:szCs w:val="24"/>
          <w:lang w:val="en-US" w:eastAsia="ar-SA"/>
        </w:rPr>
      </w:pPr>
      <w:r>
        <w:rPr>
          <w:rFonts w:eastAsia="SimSun" w:cs="Times New Roman" w:ascii="Times New Roman" w:hAnsi="Times New Roman"/>
          <w:bCs/>
          <w:i/>
          <w:sz w:val="24"/>
          <w:szCs w:val="24"/>
          <w:lang w:val="en-US" w:eastAsia="ar-SA"/>
        </w:rPr>
        <w:t xml:space="preserve">E-mail: </w:t>
      </w:r>
      <w:hyperlink r:id="rId3">
        <w:r>
          <w:rPr>
            <w:rFonts w:eastAsia="SimSun" w:cs="Times New Roman" w:ascii="Times New Roman" w:hAnsi="Times New Roman"/>
            <w:bCs/>
            <w:i/>
            <w:sz w:val="24"/>
            <w:szCs w:val="24"/>
            <w:u w:val="none"/>
            <w:lang w:val="en-US" w:eastAsia="ar-SA"/>
          </w:rPr>
          <w:t>nikiforov1601@yandex.ru</w:t>
        </w:r>
      </w:hyperlink>
    </w:p>
    <w:p>
      <w:pPr>
        <w:pStyle w:val="Normal"/>
        <w:suppressAutoHyphens w:val="true"/>
        <w:spacing w:lineRule="auto" w:line="240" w:before="0" w:after="0"/>
        <w:jc w:val="right"/>
        <w:rPr>
          <w:rFonts w:ascii="Times New Roman" w:hAnsi="Times New Roman" w:eastAsia="SimSun" w:cs="Times New Roman"/>
          <w:bCs/>
          <w:i/>
          <w:i/>
          <w:sz w:val="24"/>
          <w:szCs w:val="24"/>
          <w:lang w:val="en-US" w:eastAsia="ar-SA"/>
        </w:rPr>
      </w:pPr>
      <w:r>
        <w:rPr>
          <w:rFonts w:eastAsia="SimSun" w:cs="Times New Roman" w:ascii="Times New Roman" w:hAnsi="Times New Roman"/>
          <w:bCs/>
          <w:i/>
          <w:sz w:val="24"/>
          <w:szCs w:val="24"/>
          <w:lang w:val="en-US" w:eastAsia="ar-SA"/>
        </w:rPr>
      </w:r>
    </w:p>
    <w:p>
      <w:pPr>
        <w:pStyle w:val="Normal"/>
        <w:suppressAutoHyphens w:val="true"/>
        <w:spacing w:lineRule="auto" w:line="240" w:before="0" w:after="0"/>
        <w:jc w:val="center"/>
        <w:rPr>
          <w:rFonts w:ascii="Times New Roman" w:hAnsi="Times New Roman" w:eastAsia="SimSun" w:cs="Times New Roman"/>
          <w:b/>
          <w:b/>
          <w:bCs/>
          <w:sz w:val="24"/>
          <w:szCs w:val="24"/>
          <w:lang w:val="en-US" w:eastAsia="ar-SA"/>
        </w:rPr>
      </w:pPr>
      <w:r>
        <w:rPr>
          <w:rFonts w:eastAsia="SimSun" w:cs="Times New Roman" w:ascii="Times New Roman" w:hAnsi="Times New Roman"/>
          <w:b/>
          <w:bCs/>
          <w:sz w:val="24"/>
          <w:szCs w:val="24"/>
          <w:lang w:val="en-US" w:eastAsia="ar-SA"/>
        </w:rPr>
        <w:t>Comparison of the accuracy of mathematical models of diffusion of innovations for forecasting the development of renewable energy in the Russian Federation</w:t>
      </w:r>
    </w:p>
    <w:p>
      <w:pPr>
        <w:pStyle w:val="Normal"/>
        <w:suppressAutoHyphens w:val="true"/>
        <w:spacing w:lineRule="auto" w:line="240" w:before="0" w:after="0"/>
        <w:ind w:firstLine="709"/>
        <w:jc w:val="center"/>
        <w:rPr>
          <w:rFonts w:ascii="Times New Roman" w:hAnsi="Times New Roman" w:eastAsia="SimSun" w:cs="Times New Roman"/>
          <w:b/>
          <w:b/>
          <w:bCs/>
          <w:sz w:val="24"/>
          <w:szCs w:val="24"/>
          <w:lang w:val="en-US" w:eastAsia="ar-SA"/>
        </w:rPr>
      </w:pPr>
      <w:r>
        <w:rPr>
          <w:rFonts w:eastAsia="SimSun" w:cs="Times New Roman" w:ascii="Times New Roman" w:hAnsi="Times New Roman"/>
          <w:b/>
          <w:bCs/>
          <w:sz w:val="24"/>
          <w:szCs w:val="24"/>
          <w:lang w:val="en-US" w:eastAsia="ar-SA"/>
        </w:rPr>
      </w:r>
    </w:p>
    <w:p>
      <w:pPr>
        <w:pStyle w:val="Normal"/>
        <w:suppressAutoHyphens w:val="true"/>
        <w:spacing w:lineRule="auto" w:line="240" w:before="0" w:after="0"/>
        <w:ind w:firstLine="709"/>
        <w:jc w:val="center"/>
        <w:rPr>
          <w:rFonts w:ascii="Times New Roman" w:hAnsi="Times New Roman" w:eastAsia="SimSun" w:cs="Times New Roman"/>
          <w:b/>
          <w:b/>
          <w:bCs/>
          <w:sz w:val="28"/>
          <w:szCs w:val="28"/>
          <w:lang w:val="en-US" w:eastAsia="ar-SA"/>
        </w:rPr>
      </w:pPr>
      <w:r>
        <w:rPr>
          <w:rFonts w:eastAsia="SimSun" w:cs="Times New Roman" w:ascii="Times New Roman" w:hAnsi="Times New Roman"/>
          <w:b/>
          <w:bCs/>
          <w:sz w:val="28"/>
          <w:szCs w:val="28"/>
          <w:lang w:val="en-US" w:eastAsia="ar-SA"/>
        </w:rPr>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
          <w:bCs/>
          <w:sz w:val="24"/>
          <w:szCs w:val="24"/>
          <w:lang w:eastAsia="ar-SA"/>
        </w:rPr>
        <w:t>Аннотация.</w:t>
      </w:r>
      <w:r>
        <w:rPr>
          <w:rFonts w:eastAsia="SimSun" w:cs="Times New Roman" w:ascii="Times New Roman" w:hAnsi="Times New Roman"/>
          <w:bCs/>
          <w:sz w:val="24"/>
          <w:szCs w:val="24"/>
          <w:lang w:eastAsia="ar-SA"/>
        </w:rPr>
        <w:t xml:space="preserve"> Российская Федерация является лидером по добыче углеводородного сырья на мировом рынке. Но что бы оставаться энергобезопасной и снижать негативное воздействие на окружающую среду, активно развивает направление возобновляемых источников энергии. Данный доклад посвящен анализу применимости математических моделей диффузии инноваций Басса и Гомпертца для прогнозирования развития возобновляемых источников энергии на примере ветряных электростанций.</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r>
    </w:p>
    <w:p>
      <w:pPr>
        <w:pStyle w:val="Normal"/>
        <w:suppressAutoHyphens w:val="true"/>
        <w:spacing w:lineRule="auto" w:line="240" w:before="0" w:after="0"/>
        <w:ind w:firstLine="709"/>
        <w:jc w:val="both"/>
        <w:rPr>
          <w:rFonts w:ascii="Times New Roman" w:hAnsi="Times New Roman" w:eastAsia="SimSun" w:cs="Times New Roman"/>
          <w:bCs/>
          <w:sz w:val="24"/>
          <w:szCs w:val="24"/>
          <w:lang w:val="en-US" w:eastAsia="ar-SA"/>
        </w:rPr>
      </w:pPr>
      <w:r>
        <w:rPr>
          <w:rFonts w:eastAsia="SimSun" w:cs="Times New Roman" w:ascii="Times New Roman" w:hAnsi="Times New Roman"/>
          <w:b/>
          <w:bCs/>
          <w:sz w:val="24"/>
          <w:szCs w:val="24"/>
          <w:lang w:val="en-US" w:eastAsia="ar-SA"/>
        </w:rPr>
        <w:t>Annotation.</w:t>
      </w:r>
      <w:r>
        <w:rPr>
          <w:rFonts w:eastAsia="SimSun" w:cs="Times New Roman" w:ascii="Times New Roman" w:hAnsi="Times New Roman"/>
          <w:bCs/>
          <w:sz w:val="24"/>
          <w:szCs w:val="24"/>
          <w:lang w:val="en-US" w:eastAsia="ar-SA"/>
        </w:rPr>
        <w:t xml:space="preserve"> The Russian Federation is a leader in the production of hydrocarbons on the world market. But in order to remain energy-safe and reduce the negative impact on the environment, it is actively developing the direction of renewable energy sources. This report is devoted to the analysis of the applicability of mathematical models of diffusion of innovations by Bass and Gompertz for forecasting the development of renewable energy sources on the example of wind farms.</w:t>
      </w:r>
    </w:p>
    <w:p>
      <w:pPr>
        <w:pStyle w:val="Normal"/>
        <w:suppressAutoHyphens w:val="true"/>
        <w:spacing w:lineRule="auto" w:line="240" w:before="0" w:after="0"/>
        <w:jc w:val="both"/>
        <w:rPr>
          <w:rFonts w:ascii="Times New Roman" w:hAnsi="Times New Roman" w:eastAsia="SimSun" w:cs="Times New Roman"/>
          <w:b/>
          <w:b/>
          <w:bCs/>
          <w:sz w:val="24"/>
          <w:szCs w:val="24"/>
          <w:lang w:val="en-US" w:eastAsia="ar-SA"/>
        </w:rPr>
      </w:pPr>
      <w:r>
        <w:rPr>
          <w:rFonts w:eastAsia="SimSun" w:cs="Times New Roman" w:ascii="Times New Roman" w:hAnsi="Times New Roman"/>
          <w:b/>
          <w:bCs/>
          <w:sz w:val="24"/>
          <w:szCs w:val="24"/>
          <w:lang w:val="en-US" w:eastAsia="ar-SA"/>
        </w:rPr>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
          <w:bCs/>
          <w:sz w:val="24"/>
          <w:szCs w:val="24"/>
          <w:lang w:eastAsia="ar-SA"/>
        </w:rPr>
        <w:t>Ключевые слова:</w:t>
      </w:r>
      <w:r>
        <w:rPr>
          <w:rFonts w:eastAsia="SimSun" w:cs="Times New Roman" w:ascii="Times New Roman" w:hAnsi="Times New Roman"/>
          <w:bCs/>
          <w:sz w:val="24"/>
          <w:szCs w:val="24"/>
          <w:lang w:eastAsia="ar-SA"/>
        </w:rPr>
        <w:t xml:space="preserve"> инновация, диффузия инновации, ВИЭ, модель Басса, модель Гомпертца, ветроэнергетика.</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r>
    </w:p>
    <w:p>
      <w:pPr>
        <w:pStyle w:val="Normal"/>
        <w:suppressAutoHyphens w:val="true"/>
        <w:spacing w:lineRule="auto" w:line="240" w:before="0" w:after="0"/>
        <w:ind w:firstLine="709"/>
        <w:jc w:val="both"/>
        <w:rPr>
          <w:rFonts w:ascii="Times New Roman" w:hAnsi="Times New Roman" w:eastAsia="SimSun" w:cs="Times New Roman"/>
          <w:bCs/>
          <w:sz w:val="24"/>
          <w:szCs w:val="24"/>
          <w:lang w:val="en-US" w:eastAsia="ar-SA"/>
        </w:rPr>
      </w:pPr>
      <w:r>
        <w:rPr>
          <w:rFonts w:eastAsia="SimSun" w:cs="Times New Roman" w:ascii="Times New Roman" w:hAnsi="Times New Roman"/>
          <w:b/>
          <w:bCs/>
          <w:sz w:val="24"/>
          <w:szCs w:val="24"/>
          <w:lang w:val="en-US" w:eastAsia="ar-SA"/>
        </w:rPr>
        <w:t>Keywords:</w:t>
      </w:r>
      <w:r>
        <w:rPr>
          <w:rFonts w:eastAsia="SimSun" w:cs="Times New Roman" w:ascii="Times New Roman" w:hAnsi="Times New Roman"/>
          <w:bCs/>
          <w:sz w:val="24"/>
          <w:szCs w:val="24"/>
          <w:lang w:val="en-US" w:eastAsia="ar-SA"/>
        </w:rPr>
        <w:t xml:space="preserve"> innovation, diffusion of innovation, renewable energy, Bass model, Gompertz model, wind energy.</w:t>
      </w:r>
    </w:p>
    <w:p>
      <w:pPr>
        <w:pStyle w:val="Normal"/>
        <w:suppressAutoHyphens w:val="true"/>
        <w:ind w:firstLine="708"/>
        <w:jc w:val="both"/>
        <w:rPr>
          <w:rFonts w:ascii="Times New Roman" w:hAnsi="Times New Roman" w:eastAsia="SimSun" w:cs="Times New Roman"/>
          <w:bCs/>
          <w:sz w:val="24"/>
          <w:szCs w:val="24"/>
          <w:lang w:val="en-US" w:eastAsia="ar-SA"/>
        </w:rPr>
      </w:pPr>
      <w:r>
        <w:rPr>
          <w:rFonts w:eastAsia="SimSun" w:cs="Times New Roman" w:ascii="Times New Roman" w:hAnsi="Times New Roman"/>
          <w:bCs/>
          <w:sz w:val="24"/>
          <w:szCs w:val="24"/>
          <w:lang w:val="en-US" w:eastAsia="ar-SA"/>
        </w:rPr>
      </w:r>
    </w:p>
    <w:p>
      <w:pPr>
        <w:pStyle w:val="Normal"/>
        <w:suppressAutoHyphens w:val="true"/>
        <w:spacing w:lineRule="auto" w:line="240" w:before="0" w:after="0"/>
        <w:ind w:firstLine="709"/>
        <w:jc w:val="both"/>
        <w:rPr>
          <w:rFonts w:ascii="Times New Roman" w:hAnsi="Times New Roman" w:eastAsia="SimSun" w:cs="Times New Roman"/>
          <w:b/>
          <w:b/>
          <w:bCs/>
          <w:sz w:val="24"/>
          <w:szCs w:val="24"/>
          <w:lang w:eastAsia="ar-SA"/>
        </w:rPr>
      </w:pPr>
      <w:r>
        <w:rPr>
          <w:rFonts w:eastAsia="SimSun" w:cs="Times New Roman" w:ascii="Times New Roman" w:hAnsi="Times New Roman"/>
          <w:b/>
          <w:bCs/>
          <w:sz w:val="24"/>
          <w:szCs w:val="24"/>
          <w:lang w:eastAsia="ar-SA"/>
        </w:rPr>
        <w:t>Введение</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Развитие возобновляемой энергетики является одной из лидирующих повесток на мировой арене. Использование возобновляемых источников энергии (ВИЭ) является основным решением по борьбе с загрязнением окружающей среды и изменением климата.  Для Российской Федерации это так же является одним из важнейших направлений, т.к. более трети генерации электрической энергии приходится на возобновляемые источники энергии, около половины - на природный газ[1][2].</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Доля ВИЭ в мировой энергетике увеличивается с каждым годом, и становится актуальным вопрос прогнозирования увеличения данного развития. Для решения этой проблемы будем использовать теорию диффузии инноваций, состоятельность которой доказана на товарах и продуктах, внедренных в нашу жизнь. Данная теория была популяризована американским социологом Эвереттом Роджерсом в 1962 году. В своей работе "Диффузия инноваций" [5] Роджерс исследовал скорость принятия различных инноваций. Он обнаружил, что большинство графиков принятия инноваций членами общества напоминают стандартную колоколообразную кривую, которую можно описать математически. На её основании было разработано множество математических моделей распространения новых продуктов.</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В данной работе исследуется возможность применения математических моделей Басса и Гомпертца. Проанализируем данные модели на уже имеющихся данных, проверим их состоятельность в прогнозировании развития. Все исследования моделей будут производиться на одном из частных случаем ВИЭ – ветроэнергетике.</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bidi="en-US"/>
        </w:rPr>
      </w:pPr>
      <w:r>
        <w:rPr>
          <w:rFonts w:eastAsia="SimSun" w:cs="Times New Roman" w:ascii="Times New Roman" w:hAnsi="Times New Roman"/>
          <w:bCs/>
          <w:sz w:val="24"/>
          <w:szCs w:val="24"/>
          <w:lang w:eastAsia="ar-SA"/>
        </w:rPr>
        <w:t xml:space="preserve">Согласно статистическому обзору мировой энергетики </w:t>
      </w:r>
      <w:r>
        <w:rPr>
          <w:rFonts w:eastAsia="SimSun" w:cs="Times New Roman" w:ascii="Times New Roman" w:hAnsi="Times New Roman"/>
          <w:bCs/>
          <w:sz w:val="24"/>
          <w:szCs w:val="24"/>
          <w:lang w:eastAsia="ar-SA"/>
        </w:rPr>
        <w:t>(</w:t>
      </w:r>
      <w:r>
        <w:rPr>
          <w:rFonts w:eastAsia="SimSun" w:cs="Times New Roman" w:ascii="Times New Roman" w:hAnsi="Times New Roman"/>
          <w:bCs/>
          <w:sz w:val="24"/>
          <w:szCs w:val="24"/>
          <w:lang w:eastAsia="ar-SA" w:bidi="en-US"/>
        </w:rPr>
        <w:t>BP</w:t>
      </w:r>
      <w:r>
        <w:rPr>
          <w:rFonts w:eastAsia="SimSun" w:cs="Times New Roman" w:ascii="Times New Roman" w:hAnsi="Times New Roman"/>
          <w:bCs/>
          <w:sz w:val="24"/>
          <w:szCs w:val="24"/>
          <w:lang w:eastAsia="ar-SA" w:bidi="en-US"/>
        </w:rPr>
        <w:t>)</w:t>
      </w:r>
      <w:r>
        <w:rPr>
          <w:rFonts w:eastAsia="SimSun" w:cs="Times New Roman" w:ascii="Times New Roman" w:hAnsi="Times New Roman"/>
          <w:bCs/>
          <w:sz w:val="24"/>
          <w:szCs w:val="24"/>
          <w:lang w:eastAsia="ar-SA"/>
        </w:rPr>
        <w:t xml:space="preserve"> [3], глобальная тенденция развертывания ветроэнергетики (ВЭ) довольно оптимистична. Тем не менее, доля ВЭ не столь впечатляющая и составляет около 6% от общего производства электроэнергии (см. </w:t>
      </w:r>
      <w:r>
        <w:rPr>
          <w:rFonts w:eastAsia="SimSun" w:cs="Times New Roman" w:ascii="Times New Roman" w:hAnsi="Times New Roman"/>
          <w:bCs/>
          <w:sz w:val="24"/>
          <w:szCs w:val="24"/>
          <w:lang w:eastAsia="ar-SA" w:bidi="en-US"/>
        </w:rPr>
        <w:t>рис. 1).</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drawing>
          <wp:anchor behindDoc="0" distT="0" distB="0" distL="0" distR="0" simplePos="0" locked="0" layoutInCell="0" allowOverlap="1" relativeHeight="3">
            <wp:simplePos x="0" y="0"/>
            <wp:positionH relativeFrom="column">
              <wp:posOffset>3089910</wp:posOffset>
            </wp:positionH>
            <wp:positionV relativeFrom="paragraph">
              <wp:posOffset>95250</wp:posOffset>
            </wp:positionV>
            <wp:extent cx="2790825" cy="1666875"/>
            <wp:effectExtent l="0" t="0" r="0" b="0"/>
            <wp:wrapNone/>
            <wp:docPr id="1" name="Объект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drawing>
          <wp:inline distT="0" distB="0" distL="0" distR="0">
            <wp:extent cx="2564765" cy="1858010"/>
            <wp:effectExtent l="0" t="0" r="0" b="0"/>
            <wp:docPr id="2" name="Объект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spacing w:before="0" w:after="240"/>
        <w:jc w:val="center"/>
        <w:rPr>
          <w:rFonts w:ascii="Times New Roman" w:hAnsi="Times New Roman" w:cs="Times New Roman"/>
          <w:i/>
          <w:i/>
        </w:rPr>
      </w:pPr>
      <w:r>
        <w:rPr>
          <w:rFonts w:cs="Times New Roman" w:ascii="Times New Roman" w:hAnsi="Times New Roman"/>
          <w:i/>
        </w:rPr>
        <w:t>Рисунок 1. Мировая выработка энергии ветра и общее производство электроэнергии (ГВтч)</w:t>
      </w:r>
      <w:r>
        <w:fldChar w:fldCharType="begin"/>
      </w:r>
      <w:r>
        <w:rPr>
          <w:i/>
          <w:rFonts w:cs="Times New Roman" w:ascii="Times New Roman" w:hAnsi="Times New Roman"/>
        </w:rPr>
        <w:instrText xml:space="preserve">ADDIN CSL_CITATION {"citationItems":[{"id":"ITEM-1","itemData":{"abstract":"Energy generated from environmentally friendly, cost-effective solar cells is a key aspect for developing a clean renewable-energy economy. Non-toxic and Earth-abundant materials with high absorption coefficient (&gt;105 cm−1) and optimal bandgap (1–1.5 eV) have received great attention as photovoltaic (PV) absorber layers during the last few decades. Among them, antimony selenide (Sb2Se3) has been a promising PV absorber, with steadily increasing power-conversion efficiency (PCE) compared to other emerging compounds. Very recent studies showed that high-quality ZnO:Al/ZnO/CdS/TiO2/Sb2Se3/MoSe2/Mo devices with PCE of 9.2% can be fabricated using cost-effective novel compounds. Considering these recent advances, this article provides an overview of the material properties of Sb2Se3 thin films and the recent progress made with Sb2Se3-based solar cells. Analysis of Sb2Se3-based thin-film solar cells has also shown that the devices have relatively good light management due to their suitable bandgap and high absorption coefficient, whereas carrier management, i.e. collection efficiency of photo-generated carriers, needs significant improvement. Overall, this study provides background knowledge on material properties and device performance and suggests main research directions to overcome the limiting factors of solar cell performance.","author":[{"dropping-particle":"","family":"BP","given":"","non-dropping-particle":"","parse-names":false,"suffix":""}],"id":"ITEM-1","issued":{"date-parts":[["2020"]]},"page":"66","title":"Statistical Review of World Energy globally consistent data on world energy markets .","type":"article-journal"},"uris":["http://www.mendeley.com/documents/?uuid=3e835271-ee7d-44b5-9e5a-b5fc8512ca91"]}],"mendeley":{"formattedCitation":"[3]","plainTextFormattedCitation":"[3]","previouslyFormattedCitation":"[2]"},"properties":{"noteIndex":0},"schema":"https://github.com/citation-style-language/schema/raw/master/csl-citation.json"}</w:instrText>
      </w:r>
      <w:r>
        <w:rPr>
          <w:rFonts w:cs="Times New Roman" w:ascii="Times New Roman" w:hAnsi="Times New Roman"/>
          <w:i/>
        </w:rPr>
      </w:r>
      <w:r>
        <w:rPr>
          <w:i/>
          <w:rFonts w:cs="Times New Roman" w:ascii="Times New Roman" w:hAnsi="Times New Roman"/>
        </w:rPr>
        <w:fldChar w:fldCharType="separate"/>
      </w:r>
      <w:r>
        <w:rPr>
          <w:rFonts w:cs="Times New Roman" w:ascii="Times New Roman" w:hAnsi="Times New Roman"/>
          <w:i/>
        </w:rPr>
      </w:r>
      <w:r>
        <w:rPr>
          <w:rFonts w:cs="Times New Roman" w:ascii="Times New Roman" w:hAnsi="Times New Roman"/>
        </w:rPr>
        <w:t>[3]</w:t>
      </w:r>
      <w:r>
        <w:rPr>
          <w:rFonts w:cs="Times New Roman" w:ascii="Times New Roman" w:hAnsi="Times New Roman"/>
          <w:i/>
        </w:rPr>
      </w:r>
      <w:r>
        <w:rPr>
          <w:i/>
          <w:rFonts w:cs="Times New Roman" w:ascii="Times New Roman" w:hAnsi="Times New Roman"/>
        </w:rPr>
        <w:fldChar w:fldCharType="end"/>
      </w:r>
      <w:r>
        <w:rPr>
          <w:rFonts w:cs="Times New Roman" w:ascii="Times New Roman" w:hAnsi="Times New Roman"/>
          <w:i/>
        </w:rPr>
        <w:t>.</w:t>
      </w:r>
    </w:p>
    <w:p>
      <w:pPr>
        <w:pStyle w:val="Normal"/>
        <w:suppressAutoHyphens w:val="true"/>
        <w:spacing w:lineRule="auto" w:line="240" w:before="0" w:after="0"/>
        <w:ind w:firstLine="709"/>
        <w:jc w:val="both"/>
        <w:rPr>
          <w:rFonts w:ascii="Times New Roman" w:hAnsi="Times New Roman" w:eastAsia="SimSun" w:cs="Times New Roman"/>
          <w:b/>
          <w:b/>
          <w:bCs/>
          <w:sz w:val="24"/>
          <w:szCs w:val="24"/>
          <w:lang w:eastAsia="ar-SA"/>
        </w:rPr>
      </w:pPr>
      <w:r>
        <w:rPr>
          <w:rFonts w:eastAsia="SimSun" w:cs="Times New Roman" w:ascii="Times New Roman" w:hAnsi="Times New Roman"/>
          <w:b/>
          <w:bCs/>
          <w:sz w:val="24"/>
          <w:szCs w:val="24"/>
          <w:lang w:eastAsia="ar-SA"/>
        </w:rPr>
        <w:t>Методика исследования</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 xml:space="preserve">В качестве набора данных использовался недавний статистический обзор </w:t>
      </w:r>
      <w:r>
        <w:rPr>
          <w:rFonts w:eastAsia="SimSun" w:cs="Times New Roman" w:ascii="Times New Roman" w:hAnsi="Times New Roman"/>
          <w:bCs/>
          <w:sz w:val="24"/>
          <w:szCs w:val="24"/>
          <w:lang w:eastAsia="ar-SA" w:bidi="en-US"/>
        </w:rPr>
        <w:t>BP</w:t>
      </w:r>
      <w:r>
        <w:rPr>
          <w:rFonts w:eastAsia="SimSun" w:cs="Times New Roman" w:ascii="Times New Roman" w:hAnsi="Times New Roman"/>
          <w:bCs/>
          <w:sz w:val="24"/>
          <w:szCs w:val="24"/>
          <w:lang w:eastAsia="ar-SA"/>
        </w:rPr>
        <w:t xml:space="preserve"> [3]. Набор данных содержит информацию об общем производстве электроэнергии по странам и регионам, производстве электроэнергии по источникам, установленных мощностях и производстве электроэнергии возобновляемыми источниками, охватывая годы с 1995 до 2020. Были проанализированы пять регионов с производством ветровой электроэнергии свыше 50 ТВтч в год к 2021 году: Европа, Северная Америка, Южная и Центральная Америка, Азиатско-Тихоокеанский регион, весь мир.</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r>
    </w:p>
    <w:p>
      <w:pPr>
        <w:pStyle w:val="Normal"/>
        <w:suppressAutoHyphens w:val="true"/>
        <w:spacing w:lineRule="auto" w:line="240" w:before="0" w:after="0"/>
        <w:ind w:firstLine="709"/>
        <w:jc w:val="both"/>
        <w:rPr>
          <w:rFonts w:ascii="Times New Roman" w:hAnsi="Times New Roman" w:eastAsia="SimSun" w:cs="Times New Roman"/>
          <w:b/>
          <w:b/>
          <w:bCs/>
          <w:i/>
          <w:i/>
          <w:sz w:val="24"/>
          <w:szCs w:val="24"/>
          <w:lang w:eastAsia="ar-SA" w:bidi="en-US"/>
        </w:rPr>
      </w:pPr>
      <w:r>
        <w:rPr>
          <w:rFonts w:eastAsia="SimSun" w:cs="Times New Roman" w:ascii="Times New Roman" w:hAnsi="Times New Roman"/>
          <w:b/>
          <w:bCs/>
          <w:i/>
          <w:sz w:val="24"/>
          <w:szCs w:val="24"/>
          <w:lang w:eastAsia="ar-SA" w:bidi="en-US"/>
        </w:rPr>
        <w:t>Математическая модель Басса:</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Суть модели Басса [4] заключается в том, что рост числа потребителей инновационного продукта объясняется двумя категориями:</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 xml:space="preserve">• </w:t>
      </w:r>
      <w:r>
        <w:rPr>
          <w:rFonts w:eastAsia="SimSun" w:cs="Times New Roman" w:ascii="Times New Roman" w:hAnsi="Times New Roman"/>
          <w:bCs/>
          <w:sz w:val="24"/>
          <w:szCs w:val="24"/>
          <w:lang w:eastAsia="ar-SA"/>
        </w:rPr>
        <w:t>Те, кто в первую очередь пробуют новый продукт сами - инноваторы;</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 xml:space="preserve">• </w:t>
      </w:r>
      <w:r>
        <w:rPr>
          <w:rFonts w:eastAsia="SimSun" w:cs="Times New Roman" w:ascii="Times New Roman" w:hAnsi="Times New Roman"/>
          <w:bCs/>
          <w:sz w:val="24"/>
          <w:szCs w:val="24"/>
          <w:lang w:eastAsia="ar-SA"/>
        </w:rPr>
        <w:t>Те, кто узнает о новом продукте из первой категории - имитаторы.</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На начальной стадии жизненного цикла продукта преобладают новаторы. По мере роста числа последователей увеличивается влияние имитаторов. Модель хорошо иллюстрирует принципы усиливающей обратной связи (количество потребителей продукта увеличивает поток новых потребителей за счет межличностного общения).</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bidi="en-US"/>
        </w:rPr>
      </w:pPr>
      <w:r>
        <w:rPr>
          <w:rFonts w:eastAsia="SimSun" w:cs="Times New Roman" w:ascii="Times New Roman" w:hAnsi="Times New Roman"/>
          <w:bCs/>
          <w:sz w:val="24"/>
          <w:szCs w:val="24"/>
          <w:lang w:eastAsia="ar-SA"/>
        </w:rPr>
        <w:t xml:space="preserve">Модель Басса описывает продажи за период, которые являются производной от распределения. </w:t>
      </w:r>
      <w:r>
        <w:rPr>
          <w:rFonts w:eastAsia="SimSun" w:cs="Times New Roman" w:ascii="Times New Roman" w:hAnsi="Times New Roman"/>
          <w:bCs/>
          <w:sz w:val="24"/>
          <w:szCs w:val="24"/>
          <w:lang w:eastAsia="ar-SA" w:bidi="en-US"/>
        </w:rPr>
        <w:t>Было использовано следующее уравнение [4]:</w:t>
      </w:r>
    </w:p>
    <w:tbl>
      <w:tblPr>
        <w:tblStyle w:val="af2"/>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47"/>
      </w:tblGrid>
      <w:tr>
        <w:trPr/>
        <w:tc>
          <w:tcPr>
            <w:tcW w:w="9747" w:type="dxa"/>
            <w:tcBorders/>
            <w:vAlign w:val="center"/>
          </w:tcPr>
          <w:p>
            <w:pPr>
              <w:pStyle w:val="Normal"/>
              <w:widowControl/>
              <w:suppressAutoHyphens w:val="true"/>
              <w:spacing w:lineRule="auto" w:line="240" w:before="0" w:after="0"/>
              <w:ind w:firstLine="709"/>
              <w:jc w:val="center"/>
              <w:rPr>
                <w:rFonts w:ascii="Times New Roman" w:hAnsi="Times New Roman" w:eastAsia="SimSun" w:cs="Times New Roman"/>
                <w:bCs/>
                <w:sz w:val="24"/>
                <w:szCs w:val="24"/>
                <w:lang w:eastAsia="ar-SA" w:bidi="en-US"/>
              </w:rPr>
            </w:pPr>
            <w:r>
              <w:rPr>
                <w:kern w:val="0"/>
                <w:lang w:val="ru-RU" w:bidi="ar-SA"/>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f>
                  <m:num>
                    <m:r>
                      <w:rPr>
                        <w:rFonts w:ascii="Cambria Math" w:hAnsi="Cambria Math"/>
                      </w:rPr>
                      <m:t xml:space="preserve">q</m:t>
                    </m:r>
                  </m:num>
                  <m:den>
                    <m:r>
                      <w:rPr>
                        <w:rFonts w:ascii="Cambria Math" w:hAnsi="Cambria Math"/>
                      </w:rPr>
                      <m:t xml:space="preserve">m</m:t>
                    </m:r>
                  </m:den>
                </m:f>
                <m:sSup>
                  <m:e>
                    <m:r>
                      <w:rPr>
                        <w:rFonts w:ascii="Cambria Math" w:hAnsi="Cambria Math"/>
                      </w:rPr>
                      <m:t xml:space="preserve">Y</m:t>
                    </m:r>
                  </m:e>
                  <m:sup>
                    <m:r>
                      <w:rPr>
                        <w:rFonts w:ascii="Cambria Math" w:hAnsi="Cambria Math"/>
                      </w:rPr>
                      <m:t xml:space="preserve">2</m:t>
                    </m:r>
                  </m:sup>
                </m:sSup>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oMath>
            </m:oMathPara>
          </w:p>
        </w:tc>
      </w:tr>
    </w:tbl>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Где</w:t>
      </w:r>
      <w:r>
        <w:rPr>
          <w:rFonts w:eastAsia="SimSun" w:cs="Times New Roman" w:ascii="Times New Roman" w:hAnsi="Times New Roman"/>
          <w:bCs/>
          <w:sz w:val="24"/>
          <w:szCs w:val="24"/>
          <w:lang w:eastAsia="ar-SA" w:bidi="en-US"/>
        </w:rPr>
        <w:t xml:space="preserve"> S</w:t>
      </w:r>
      <w:r>
        <w:rPr>
          <w:rFonts w:eastAsia="SimSun" w:cs="Times New Roman" w:ascii="Times New Roman" w:hAnsi="Times New Roman"/>
          <w:bCs/>
          <w:sz w:val="24"/>
          <w:szCs w:val="24"/>
          <w:lang w:eastAsia="ar-SA"/>
        </w:rPr>
        <w:t>(</w:t>
      </w:r>
      <w:r>
        <w:rPr>
          <w:rFonts w:eastAsia="SimSun" w:cs="Times New Roman" w:ascii="Times New Roman" w:hAnsi="Times New Roman"/>
          <w:bCs/>
          <w:sz w:val="24"/>
          <w:szCs w:val="24"/>
          <w:lang w:eastAsia="ar-SA" w:bidi="en-US"/>
        </w:rPr>
        <w:t>t</w:t>
      </w:r>
      <w:r>
        <w:rPr>
          <w:rFonts w:eastAsia="SimSun" w:cs="Times New Roman" w:ascii="Times New Roman" w:hAnsi="Times New Roman"/>
          <w:bCs/>
          <w:sz w:val="24"/>
          <w:szCs w:val="24"/>
          <w:lang w:eastAsia="ar-SA"/>
        </w:rPr>
        <w:t xml:space="preserve">) – продажи в период </w:t>
      </w:r>
      <w:r>
        <w:rPr>
          <w:rFonts w:eastAsia="SimSun" w:cs="Times New Roman" w:ascii="Times New Roman" w:hAnsi="Times New Roman"/>
          <w:bCs/>
          <w:sz w:val="24"/>
          <w:szCs w:val="24"/>
          <w:lang w:eastAsia="ar-SA" w:bidi="en-US"/>
        </w:rPr>
        <w:t>t</w:t>
      </w:r>
      <w:r>
        <w:rPr>
          <w:rFonts w:eastAsia="SimSun" w:cs="Times New Roman" w:ascii="Times New Roman" w:hAnsi="Times New Roman"/>
          <w:bCs/>
          <w:sz w:val="24"/>
          <w:szCs w:val="24"/>
          <w:lang w:eastAsia="ar-SA"/>
        </w:rPr>
        <w:t xml:space="preserv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1</m:t>
            </m:r>
          </m:sub>
          <m:sup>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p>
          <m:e>
            <m:r>
              <w:rPr>
                <w:rFonts w:ascii="Cambria Math" w:hAnsi="Cambria Math"/>
              </w:rPr>
              <m:t xml:space="preserve">S</m:t>
            </m:r>
            <m:d>
              <m:dPr>
                <m:begChr m:val="("/>
                <m:endChr m:val=")"/>
              </m:dPr>
              <m:e>
                <m:r>
                  <w:rPr>
                    <w:rFonts w:ascii="Cambria Math" w:hAnsi="Cambria Math"/>
                  </w:rPr>
                  <m:t xml:space="preserve">x</m:t>
                </m:r>
              </m:e>
            </m:d>
          </m:e>
        </m:nary>
      </m:oMath>
      <w:r>
        <w:rPr>
          <w:rFonts w:eastAsia="SimSun" w:cs="Times New Roman" w:ascii="Times New Roman" w:hAnsi="Times New Roman"/>
          <w:bCs/>
          <w:sz w:val="24"/>
          <w:szCs w:val="24"/>
          <w:lang w:eastAsia="ar-SA"/>
        </w:rPr>
        <w:t xml:space="preserve">– совокупные продажи за период [0   ...  </w:t>
      </w:r>
      <w:r>
        <w:rPr>
          <w:rFonts w:eastAsia="SimSun" w:cs="Times New Roman" w:ascii="Times New Roman" w:hAnsi="Times New Roman"/>
          <w:bCs/>
          <w:sz w:val="24"/>
          <w:szCs w:val="24"/>
          <w:lang w:eastAsia="ar-SA" w:bidi="en-US"/>
        </w:rPr>
        <w:t>t</w:t>
      </w:r>
      <w:r>
        <w:rPr>
          <w:rFonts w:eastAsia="SimSun" w:cs="Times New Roman" w:ascii="Times New Roman" w:hAnsi="Times New Roman"/>
          <w:bCs/>
          <w:sz w:val="24"/>
          <w:szCs w:val="24"/>
          <w:lang w:eastAsia="ar-SA"/>
        </w:rPr>
        <w:t xml:space="preserve"> - 1]; </w:t>
      </w:r>
      <w:r>
        <w:rPr>
          <w:rFonts w:eastAsia="SimSun" w:cs="Times New Roman" w:ascii="Times New Roman" w:hAnsi="Times New Roman"/>
          <w:bCs/>
          <w:sz w:val="24"/>
          <w:szCs w:val="24"/>
          <w:lang w:eastAsia="ar-SA" w:bidi="en-US"/>
        </w:rPr>
        <w:t>p</w:t>
      </w:r>
      <w:r>
        <w:rPr>
          <w:rFonts w:eastAsia="SimSun" w:cs="Times New Roman" w:ascii="Times New Roman" w:hAnsi="Times New Roman"/>
          <w:bCs/>
          <w:sz w:val="24"/>
          <w:szCs w:val="24"/>
          <w:lang w:eastAsia="ar-SA"/>
        </w:rPr>
        <w:t xml:space="preserve"> - коэффициент инновации, </w:t>
      </w:r>
      <w:r>
        <w:rPr>
          <w:rFonts w:eastAsia="SimSun" w:cs="Times New Roman" w:ascii="Times New Roman" w:hAnsi="Times New Roman"/>
          <w:bCs/>
          <w:sz w:val="24"/>
          <w:szCs w:val="24"/>
          <w:lang w:eastAsia="ar-SA" w:bidi="en-US"/>
        </w:rPr>
        <w:t>q</w:t>
      </w:r>
      <w:r>
        <w:rPr>
          <w:rFonts w:eastAsia="SimSun" w:cs="Times New Roman" w:ascii="Times New Roman" w:hAnsi="Times New Roman"/>
          <w:bCs/>
          <w:sz w:val="24"/>
          <w:szCs w:val="24"/>
          <w:lang w:eastAsia="ar-SA"/>
        </w:rPr>
        <w:t xml:space="preserve"> - коэффициент имитации, </w:t>
      </w:r>
      <w:r>
        <w:rPr>
          <w:rFonts w:eastAsia="SimSun" w:cs="Times New Roman" w:ascii="Times New Roman" w:hAnsi="Times New Roman"/>
          <w:bCs/>
          <w:sz w:val="24"/>
          <w:szCs w:val="24"/>
          <w:lang w:eastAsia="ar-SA" w:bidi="en-US"/>
        </w:rPr>
        <w:t>m</w:t>
      </w:r>
      <w:r>
        <w:rPr>
          <w:rFonts w:eastAsia="SimSun" w:cs="Times New Roman" w:ascii="Times New Roman" w:hAnsi="Times New Roman"/>
          <w:bCs/>
          <w:sz w:val="24"/>
          <w:szCs w:val="24"/>
          <w:lang w:eastAsia="ar-SA"/>
        </w:rPr>
        <w:t xml:space="preserve"> - общее количество всех покупок.</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r>
    </w:p>
    <w:p>
      <w:pPr>
        <w:pStyle w:val="Normal"/>
        <w:suppressAutoHyphens w:val="true"/>
        <w:spacing w:lineRule="auto" w:line="240" w:before="0" w:after="0"/>
        <w:ind w:firstLine="709"/>
        <w:jc w:val="both"/>
        <w:rPr>
          <w:rFonts w:ascii="Times New Roman" w:hAnsi="Times New Roman" w:eastAsia="SimSun" w:cs="Times New Roman"/>
          <w:b/>
          <w:b/>
          <w:bCs/>
          <w:i/>
          <w:i/>
          <w:sz w:val="24"/>
          <w:szCs w:val="24"/>
          <w:lang w:eastAsia="ar-SA" w:bidi="en-US"/>
        </w:rPr>
      </w:pPr>
      <w:r>
        <w:rPr>
          <w:rFonts w:eastAsia="SimSun" w:cs="Times New Roman" w:ascii="Times New Roman" w:hAnsi="Times New Roman"/>
          <w:b/>
          <w:bCs/>
          <w:i/>
          <w:sz w:val="24"/>
          <w:szCs w:val="24"/>
          <w:lang w:eastAsia="ar-SA" w:bidi="en-US"/>
        </w:rPr>
        <w:t>Математическая модель Гомпертца:</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Это тип математической модели для временных рядов, где рост в начале периода происходит медленнее, чем в конце. Замедление происходит не так быстро, как ускорение. Модель Гомпертца [6] [7], успешно применяется для оценки различных процессов роста [8] [9]</w:t>
      </w:r>
      <w:r>
        <w:rPr>
          <w:rFonts w:eastAsia="SimSun" w:cs="Times New Roman" w:ascii="Times New Roman" w:hAnsi="Times New Roman"/>
          <w:bCs/>
          <w:sz w:val="24"/>
          <w:szCs w:val="24"/>
          <w:lang w:eastAsia="ar-SA" w:bidi="en-US"/>
        </w:rPr>
        <w:t>:</w:t>
      </w:r>
    </w:p>
    <w:tbl>
      <w:tblPr>
        <w:tblStyle w:val="af2"/>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47"/>
      </w:tblGrid>
      <w:tr>
        <w:trPr/>
        <w:tc>
          <w:tcPr>
            <w:tcW w:w="9747" w:type="dxa"/>
            <w:tcBorders/>
            <w:vAlign w:val="center"/>
          </w:tcPr>
          <w:p>
            <w:pPr>
              <w:pStyle w:val="Normal"/>
              <w:widowControl/>
              <w:suppressAutoHyphens w:val="true"/>
              <w:spacing w:lineRule="auto" w:line="240" w:before="0" w:after="0"/>
              <w:ind w:firstLine="709"/>
              <w:jc w:val="both"/>
              <w:rPr>
                <w:rFonts w:ascii="Times New Roman" w:hAnsi="Times New Roman" w:eastAsia="SimSun" w:cs="Times New Roman"/>
                <w:bCs/>
                <w:sz w:val="24"/>
                <w:szCs w:val="24"/>
                <w:lang w:val="en-US" w:eastAsia="ar-SA" w:bidi="en-US"/>
              </w:rPr>
            </w:pPr>
            <w:r>
              <w:rPr>
                <w:rFonts w:eastAsia="SimSun" w:cs="Times New Roman" w:ascii="Times New Roman" w:hAnsi="Times New Roman"/>
                <w:bCs/>
                <w:kern w:val="0"/>
                <w:sz w:val="24"/>
                <w:szCs w:val="24"/>
                <w:lang w:val="en-US" w:eastAsia="ar-SA" w:bidi="en-US"/>
              </w:rPr>
              <w:t>Y</w:t>
            </w:r>
            <w:r>
              <w:rPr>
                <w:kern w:val="0"/>
                <w:lang w:val="ru-RU" w:bidi="ar-SA"/>
              </w:rPr>
            </w:r>
            <m:oMath xmlns:m="http://schemas.openxmlformats.org/officeDocument/2006/math">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min</m:t>
                  </m:r>
                </m:sub>
              </m:sSub>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sSub>
                    <m:e>
                      <m:r>
                        <w:rPr>
                          <w:rFonts w:ascii="Cambria Math" w:hAnsi="Cambria Math"/>
                        </w:rPr>
                        <m:t xml:space="preserve">X</m:t>
                      </m:r>
                    </m:e>
                    <m:sub>
                      <m:r>
                        <w:rPr>
                          <w:rFonts w:ascii="Cambria Math" w:hAnsi="Cambria Math"/>
                        </w:rPr>
                        <m:t xml:space="preserve">min</m:t>
                      </m:r>
                    </m:sub>
                  </m:sSub>
                </m:e>
              </m:d>
              <m:r>
                <w:rPr>
                  <w:rFonts w:ascii="Cambria Math" w:hAnsi="Cambria Math"/>
                </w:rPr>
                <m:t xml:space="preserve">∗</m:t>
              </m:r>
              <m:sSup>
                <m:e>
                  <m:r>
                    <w:rPr>
                      <w:rFonts w:ascii="Cambria Math" w:hAnsi="Cambria Math"/>
                    </w:rPr>
                    <m:t xml:space="preserve">e</m:t>
                  </m:r>
                </m:e>
                <m:sup>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αt</m:t>
                          </m:r>
                        </m:e>
                      </m:d>
                    </m:sup>
                  </m:sSup>
                </m:sup>
              </m:sSup>
            </m:oMath>
          </w:p>
        </w:tc>
      </w:tr>
    </w:tbl>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 xml:space="preserve">Где </w:t>
      </w:r>
      <w:r>
        <w:rPr>
          <w:rFonts w:eastAsia="SimSun" w:cs="Times New Roman" w:ascii="Times New Roman" w:hAnsi="Times New Roman"/>
          <w:bCs/>
          <w:sz w:val="24"/>
          <w:szCs w:val="24"/>
          <w:lang w:eastAsia="ar-SA" w:bidi="en-US"/>
        </w:rPr>
        <w:t>Y</w:t>
      </w:r>
      <w:r>
        <w:rPr>
          <w:rFonts w:eastAsia="SimSun" w:cs="Times New Roman" w:ascii="Times New Roman" w:hAnsi="Times New Roman"/>
          <w:bCs/>
          <w:sz w:val="24"/>
          <w:szCs w:val="24"/>
          <w:lang w:eastAsia="ar-SA"/>
        </w:rPr>
        <w:t>(</w:t>
      </w:r>
      <w:r>
        <w:rPr>
          <w:rFonts w:eastAsia="SimSun" w:cs="Times New Roman" w:ascii="Times New Roman" w:hAnsi="Times New Roman"/>
          <w:bCs/>
          <w:sz w:val="24"/>
          <w:szCs w:val="24"/>
          <w:lang w:eastAsia="ar-SA" w:bidi="en-US"/>
        </w:rPr>
        <w:t>t</w:t>
      </w:r>
      <w:r>
        <w:rPr>
          <w:rFonts w:eastAsia="SimSun" w:cs="Times New Roman" w:ascii="Times New Roman" w:hAnsi="Times New Roman"/>
          <w:bCs/>
          <w:sz w:val="24"/>
          <w:szCs w:val="24"/>
          <w:lang w:eastAsia="ar-SA"/>
        </w:rPr>
        <w:t xml:space="preserve">) - ветровая генерация в период </w:t>
      </w:r>
      <w:r>
        <w:rPr>
          <w:rFonts w:eastAsia="SimSun" w:cs="Times New Roman" w:ascii="Times New Roman" w:hAnsi="Times New Roman"/>
          <w:bCs/>
          <w:sz w:val="24"/>
          <w:szCs w:val="24"/>
          <w:lang w:eastAsia="ar-SA" w:bidi="en-US"/>
        </w:rPr>
        <w:t>t</w:t>
      </w:r>
      <w:r>
        <w:rPr>
          <w:rFonts w:eastAsia="SimSun" w:cs="Times New Roman" w:ascii="Times New Roman" w:hAnsi="Times New Roman"/>
          <w:bCs/>
          <w:sz w:val="24"/>
          <w:szCs w:val="24"/>
          <w:lang w:eastAsia="ar-SA"/>
        </w:rPr>
        <w:t xml:space="preserve">; </w:t>
      </w:r>
      <w:r>
        <w:rPr>
          <w:rFonts w:eastAsia="SimSun" w:cs="Times New Roman" w:ascii="Times New Roman" w:hAnsi="Times New Roman"/>
          <w:bCs/>
          <w:sz w:val="24"/>
          <w:szCs w:val="24"/>
          <w:lang w:eastAsia="ar-SA" w:bidi="en-US"/>
        </w:rPr>
        <w:t>X</w:t>
      </w:r>
      <w:r>
        <w:rPr>
          <w:rFonts w:eastAsia="SimSun" w:cs="Times New Roman" w:ascii="Times New Roman" w:hAnsi="Times New Roman"/>
          <w:bCs/>
          <w:i/>
          <w:sz w:val="24"/>
          <w:szCs w:val="24"/>
          <w:lang w:eastAsia="ar-SA" w:bidi="en-US"/>
        </w:rPr>
        <w:t>min</w:t>
      </w:r>
      <w:r>
        <w:rPr>
          <w:rFonts w:eastAsia="SimSun" w:cs="Times New Roman" w:ascii="Times New Roman" w:hAnsi="Times New Roman"/>
          <w:bCs/>
          <w:sz w:val="24"/>
          <w:szCs w:val="24"/>
          <w:lang w:eastAsia="ar-SA"/>
        </w:rPr>
        <w:t xml:space="preserve"> - ветровая генерация в первой точке; </w:t>
      </w:r>
      <w:r>
        <w:rPr>
          <w:rFonts w:eastAsia="SimSun" w:cs="Times New Roman" w:ascii="Times New Roman" w:hAnsi="Times New Roman"/>
          <w:bCs/>
          <w:sz w:val="24"/>
          <w:szCs w:val="24"/>
          <w:lang w:eastAsia="ar-SA" w:bidi="en-US"/>
        </w:rPr>
        <w:t>M</w:t>
      </w:r>
      <w:r>
        <w:rPr>
          <w:rFonts w:eastAsia="SimSun" w:cs="Times New Roman" w:ascii="Times New Roman" w:hAnsi="Times New Roman"/>
          <w:bCs/>
          <w:sz w:val="24"/>
          <w:szCs w:val="24"/>
          <w:lang w:eastAsia="ar-SA"/>
        </w:rPr>
        <w:t xml:space="preserve"> - верхний предел роста генерации; </w:t>
      </w:r>
      <w:r>
        <w:rPr>
          <w:rFonts w:eastAsia="SimSun" w:cs="Times New Roman" w:ascii="Times New Roman" w:hAnsi="Times New Roman"/>
          <w:bCs/>
          <w:sz w:val="24"/>
          <w:szCs w:val="24"/>
          <w:lang w:eastAsia="ar-SA" w:bidi="en-US"/>
        </w:rPr>
        <w:t>l</w:t>
      </w:r>
      <w:r>
        <w:rPr>
          <w:rFonts w:eastAsia="SimSun" w:cs="Times New Roman" w:ascii="Times New Roman" w:hAnsi="Times New Roman"/>
          <w:bCs/>
          <w:sz w:val="24"/>
          <w:szCs w:val="24"/>
          <w:lang w:eastAsia="ar-SA"/>
        </w:rPr>
        <w:t xml:space="preserve"> и </w:t>
      </w:r>
      <w:r>
        <w:rPr>
          <w:rFonts w:eastAsia="SimSun" w:cs="Times New Roman" w:ascii="Times New Roman" w:hAnsi="Times New Roman"/>
          <w:bCs/>
          <w:sz w:val="24"/>
          <w:szCs w:val="24"/>
          <w:lang w:eastAsia="ar-SA" w:bidi="en-US"/>
        </w:rPr>
        <w:t>α</w:t>
      </w:r>
      <w:r>
        <w:rPr>
          <w:rFonts w:eastAsia="SimSun" w:cs="Times New Roman" w:ascii="Times New Roman" w:hAnsi="Times New Roman"/>
          <w:bCs/>
          <w:sz w:val="24"/>
          <w:szCs w:val="24"/>
          <w:lang w:eastAsia="ar-SA"/>
        </w:rPr>
        <w:t xml:space="preserve"> - коэффициенты, определяющие форму кривой.</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 xml:space="preserve">Данным исследованием проанализируем согласованность моделей. Параметры уравнения будем оценивать с помощью критерия </w:t>
      </w:r>
      <w:r>
        <w:rPr>
          <w:rFonts w:eastAsia="SimSun" w:cs="Times New Roman" w:ascii="Times New Roman" w:hAnsi="Times New Roman"/>
          <w:bCs/>
          <w:sz w:val="24"/>
          <w:szCs w:val="24"/>
          <w:lang w:eastAsia="ar-SA" w:bidi="en-US"/>
        </w:rPr>
        <w:t>OLS</w:t>
      </w:r>
      <w:r>
        <w:rPr>
          <w:rFonts w:eastAsia="SimSun" w:cs="Times New Roman" w:ascii="Times New Roman" w:hAnsi="Times New Roman"/>
          <w:bCs/>
          <w:sz w:val="24"/>
          <w:szCs w:val="24"/>
          <w:lang w:eastAsia="ar-SA"/>
        </w:rPr>
        <w:t xml:space="preserve"> с использованием метода оптимизации </w:t>
      </w:r>
      <w:r>
        <w:rPr>
          <w:rFonts w:eastAsia="SimSun" w:cs="Times New Roman" w:ascii="Times New Roman" w:hAnsi="Times New Roman"/>
          <w:bCs/>
          <w:sz w:val="24"/>
          <w:szCs w:val="24"/>
          <w:lang w:eastAsia="ar-SA" w:bidi="en-US"/>
        </w:rPr>
        <w:t>Gradient</w:t>
      </w:r>
      <w:r>
        <w:rPr>
          <w:rFonts w:eastAsia="SimSun" w:cs="Times New Roman" w:ascii="Times New Roman" w:hAnsi="Times New Roman"/>
          <w:bCs/>
          <w:sz w:val="24"/>
          <w:szCs w:val="24"/>
          <w:lang w:eastAsia="ar-SA"/>
        </w:rPr>
        <w:t xml:space="preserve"> </w:t>
      </w:r>
      <w:r>
        <w:rPr>
          <w:rFonts w:eastAsia="SimSun" w:cs="Times New Roman" w:ascii="Times New Roman" w:hAnsi="Times New Roman"/>
          <w:bCs/>
          <w:sz w:val="24"/>
          <w:szCs w:val="24"/>
          <w:lang w:eastAsia="ar-SA" w:bidi="en-US"/>
        </w:rPr>
        <w:t>Descent</w:t>
      </w:r>
      <w:r>
        <w:rPr>
          <w:rFonts w:eastAsia="SimSun" w:cs="Times New Roman" w:ascii="Times New Roman" w:hAnsi="Times New Roman"/>
          <w:bCs/>
          <w:sz w:val="24"/>
          <w:szCs w:val="24"/>
          <w:lang w:eastAsia="ar-SA"/>
        </w:rPr>
        <w:t xml:space="preserve"> </w:t>
      </w:r>
      <w:r>
        <w:rPr>
          <w:rFonts w:eastAsia="SimSun" w:cs="Times New Roman" w:ascii="Times New Roman" w:hAnsi="Times New Roman"/>
          <w:bCs/>
          <w:sz w:val="24"/>
          <w:szCs w:val="24"/>
          <w:lang w:eastAsia="ar-SA" w:bidi="en-US"/>
        </w:rPr>
        <w:t>Descent</w:t>
      </w:r>
      <w:r>
        <w:rPr>
          <w:rFonts w:eastAsia="SimSun" w:cs="Times New Roman" w:ascii="Times New Roman" w:hAnsi="Times New Roman"/>
          <w:bCs/>
          <w:sz w:val="24"/>
          <w:szCs w:val="24"/>
          <w:lang w:eastAsia="ar-SA"/>
        </w:rPr>
        <w:t xml:space="preserve"> на данных за период 1997-2015 гг. Затем рассчитаем прогноз на период 2016-2020 гг. и оценим согласованность прогноза в соответствии с точными данными.</w:t>
      </w:r>
    </w:p>
    <w:p>
      <w:pPr>
        <w:pStyle w:val="Normal"/>
        <w:suppressAutoHyphens w:val="true"/>
        <w:spacing w:lineRule="auto" w:line="240" w:before="0" w:after="0"/>
        <w:ind w:firstLine="709"/>
        <w:jc w:val="both"/>
        <w:rPr>
          <w:rFonts w:ascii="Times New Roman" w:hAnsi="Times New Roman" w:eastAsia="Arial Unicode MS" w:cs="Times New Roman"/>
          <w:color w:val="000000"/>
          <w:sz w:val="24"/>
          <w:szCs w:val="24"/>
          <w:lang w:bidi="en-US"/>
        </w:rPr>
      </w:pPr>
      <w:r>
        <w:rPr>
          <w:rFonts w:eastAsia="SimSun" w:cs="Times New Roman" w:ascii="Times New Roman" w:hAnsi="Times New Roman"/>
          <w:bCs/>
          <w:sz w:val="24"/>
          <w:szCs w:val="24"/>
          <w:lang w:eastAsia="ar-SA"/>
        </w:rPr>
        <w:t xml:space="preserve">Результаты представлены в виде сводных таблиц, </w:t>
      </w:r>
      <w:r>
        <w:rPr>
          <w:rFonts w:eastAsia="Arial Unicode MS" w:cs="Times New Roman" w:ascii="Times New Roman" w:hAnsi="Times New Roman"/>
          <w:color w:val="000000"/>
          <w:sz w:val="24"/>
          <w:szCs w:val="24"/>
          <w:lang w:bidi="en-US"/>
        </w:rPr>
        <w:t>спрогнозированная модель против факта:</w:t>
      </w:r>
    </w:p>
    <w:p>
      <w:pPr>
        <w:pStyle w:val="Normal"/>
        <w:suppressAutoHyphens w:val="true"/>
        <w:spacing w:lineRule="auto" w:line="240" w:before="0" w:after="0"/>
        <w:ind w:firstLine="709"/>
        <w:jc w:val="both"/>
        <w:rPr>
          <w:rFonts w:ascii="Times New Roman" w:hAnsi="Times New Roman" w:eastAsia="Arial Unicode MS" w:cs="Times New Roman"/>
          <w:color w:val="000000"/>
          <w:sz w:val="28"/>
          <w:szCs w:val="24"/>
          <w:lang w:bidi="en-US"/>
        </w:rPr>
      </w:pPr>
      <w:r>
        <w:rPr>
          <w:rFonts w:eastAsia="Arial Unicode MS" w:cs="Times New Roman" w:ascii="Times New Roman" w:hAnsi="Times New Roman"/>
          <w:color w:val="000000"/>
          <w:sz w:val="28"/>
          <w:szCs w:val="24"/>
          <w:lang w:bidi="en-US"/>
        </w:rPr>
      </w:r>
    </w:p>
    <w:tbl>
      <w:tblPr>
        <w:tblStyle w:val="af2"/>
        <w:tblW w:w="104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26"/>
        <w:gridCol w:w="5246"/>
        <w:gridCol w:w="142"/>
        <w:gridCol w:w="94"/>
      </w:tblGrid>
      <w:tr>
        <w:trPr/>
        <w:tc>
          <w:tcPr>
            <w:tcW w:w="4926"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i/>
                <w:kern w:val="0"/>
                <w:sz w:val="24"/>
                <w:szCs w:val="24"/>
                <w:lang w:val="ru-RU" w:eastAsia="ar-SA" w:bidi="en-US"/>
              </w:rPr>
              <w:t>Математическая модель Басса</w:t>
            </w:r>
          </w:p>
        </w:tc>
        <w:tc>
          <w:tcPr>
            <w:tcW w:w="5246"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i/>
                <w:kern w:val="0"/>
                <w:sz w:val="24"/>
                <w:szCs w:val="24"/>
                <w:lang w:val="ru-RU" w:eastAsia="ar-SA" w:bidi="en-US"/>
              </w:rPr>
              <w:t>Математическая модель Гомпертца</w:t>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10172" w:type="dxa"/>
            <w:gridSpan w:val="2"/>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Cs/>
                <w:sz w:val="24"/>
                <w:szCs w:val="24"/>
                <w:lang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eastAsia="ar-SA"/>
              </w:rPr>
            </w:pPr>
            <w:r>
              <w:rPr>
                <w:rFonts w:eastAsia="SimSun" w:cs="Times New Roman" w:ascii="Times New Roman" w:hAnsi="Times New Roman"/>
                <w:bCs/>
                <w:kern w:val="0"/>
                <w:sz w:val="24"/>
                <w:szCs w:val="24"/>
                <w:lang w:val="ru-RU" w:eastAsia="ar-SA" w:bidi="ar-SA"/>
              </w:rPr>
              <w:t>Европа</w:t>
            </w:r>
          </w:p>
        </w:tc>
        <w:tc>
          <w:tcPr>
            <w:tcW w:w="236" w:type="dxa"/>
            <w:gridSpan w:val="2"/>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tc>
      </w:tr>
      <w:tr>
        <w:trPr/>
        <w:tc>
          <w:tcPr>
            <w:tcW w:w="492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752725" cy="1666875"/>
                  <wp:effectExtent l="0" t="0" r="0" b="0"/>
                  <wp:docPr id="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descr=""/>
                          <pic:cNvPicPr>
                            <a:picLocks noChangeAspect="1" noChangeArrowheads="1"/>
                          </pic:cNvPicPr>
                        </pic:nvPicPr>
                        <pic:blipFill>
                          <a:blip r:embed="rId6"/>
                          <a:srcRect l="1647" t="13830" r="2969" b="5539"/>
                          <a:stretch>
                            <a:fillRect/>
                          </a:stretch>
                        </pic:blipFill>
                        <pic:spPr bwMode="auto">
                          <a:xfrm>
                            <a:off x="0" y="0"/>
                            <a:ext cx="2752725" cy="1666875"/>
                          </a:xfrm>
                          <a:prstGeom prst="rect">
                            <a:avLst/>
                          </a:prstGeom>
                        </pic:spPr>
                      </pic:pic>
                    </a:graphicData>
                  </a:graphic>
                </wp:inline>
              </w:drawing>
            </w:r>
          </w:p>
        </w:tc>
        <w:tc>
          <w:tcPr>
            <w:tcW w:w="524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790825" cy="1657350"/>
                  <wp:effectExtent l="0" t="0" r="0" b="0"/>
                  <wp:docPr id="4"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5" descr=""/>
                          <pic:cNvPicPr>
                            <a:picLocks noChangeAspect="1" noChangeArrowheads="1"/>
                          </pic:cNvPicPr>
                        </pic:nvPicPr>
                        <pic:blipFill>
                          <a:blip r:embed="rId7"/>
                          <a:srcRect l="1309" t="15345" r="2940" b="3726"/>
                          <a:stretch>
                            <a:fillRect/>
                          </a:stretch>
                        </pic:blipFill>
                        <pic:spPr bwMode="auto">
                          <a:xfrm>
                            <a:off x="0" y="0"/>
                            <a:ext cx="2790825" cy="1657350"/>
                          </a:xfrm>
                          <a:prstGeom prst="rect">
                            <a:avLst/>
                          </a:prstGeom>
                        </pic:spPr>
                      </pic:pic>
                    </a:graphicData>
                  </a:graphic>
                </wp:inline>
              </w:drawing>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10172" w:type="dxa"/>
            <w:gridSpan w:val="2"/>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Cs/>
                <w:sz w:val="24"/>
                <w:szCs w:val="24"/>
                <w:lang w:val="en-US"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eastAsia="ar-SA"/>
              </w:rPr>
            </w:pPr>
            <w:r>
              <w:rPr>
                <w:rFonts w:eastAsia="SimSun" w:cs="Times New Roman" w:ascii="Times New Roman" w:hAnsi="Times New Roman"/>
                <w:bCs/>
                <w:kern w:val="0"/>
                <w:sz w:val="24"/>
                <w:szCs w:val="24"/>
                <w:lang w:val="en-US" w:eastAsia="ar-SA" w:bidi="ar-SA"/>
              </w:rPr>
              <w:t>Северная Америка</w:t>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492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714625" cy="1743075"/>
                  <wp:effectExtent l="0" t="0" r="0" b="0"/>
                  <wp:docPr id="5"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
                          <pic:cNvPicPr>
                            <a:picLocks noChangeAspect="1" noChangeArrowheads="1"/>
                          </pic:cNvPicPr>
                        </pic:nvPicPr>
                        <pic:blipFill>
                          <a:blip r:embed="rId8"/>
                          <a:srcRect l="1996" t="13176" r="3327" b="3642"/>
                          <a:stretch>
                            <a:fillRect/>
                          </a:stretch>
                        </pic:blipFill>
                        <pic:spPr bwMode="auto">
                          <a:xfrm>
                            <a:off x="0" y="0"/>
                            <a:ext cx="2714625" cy="1743075"/>
                          </a:xfrm>
                          <a:prstGeom prst="rect">
                            <a:avLst/>
                          </a:prstGeom>
                        </pic:spPr>
                      </pic:pic>
                    </a:graphicData>
                  </a:graphic>
                </wp:inline>
              </w:drawing>
            </w:r>
          </w:p>
        </w:tc>
        <w:tc>
          <w:tcPr>
            <w:tcW w:w="524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800350" cy="1714500"/>
                  <wp:effectExtent l="0" t="0" r="0" b="0"/>
                  <wp:docPr id="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6" descr=""/>
                          <pic:cNvPicPr>
                            <a:picLocks noChangeAspect="1" noChangeArrowheads="1"/>
                          </pic:cNvPicPr>
                        </pic:nvPicPr>
                        <pic:blipFill>
                          <a:blip r:embed="rId9"/>
                          <a:srcRect l="0" t="15490" r="0" b="0"/>
                          <a:stretch>
                            <a:fillRect/>
                          </a:stretch>
                        </pic:blipFill>
                        <pic:spPr bwMode="auto">
                          <a:xfrm>
                            <a:off x="0" y="0"/>
                            <a:ext cx="2800350" cy="1714500"/>
                          </a:xfrm>
                          <a:prstGeom prst="rect">
                            <a:avLst/>
                          </a:prstGeom>
                        </pic:spPr>
                      </pic:pic>
                    </a:graphicData>
                  </a:graphic>
                </wp:inline>
              </w:drawing>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10172" w:type="dxa"/>
            <w:gridSpan w:val="2"/>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Cs/>
                <w:sz w:val="24"/>
                <w:szCs w:val="24"/>
                <w:lang w:val="en-US"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val="en-US"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val="en-US"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val="en-US"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val="en-US"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val="en-US"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val="en-US"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eastAsia="ar-SA"/>
              </w:rPr>
            </w:pPr>
            <w:r>
              <w:rPr>
                <w:rFonts w:eastAsia="SimSun" w:cs="Times New Roman" w:ascii="Times New Roman" w:hAnsi="Times New Roman"/>
                <w:bCs/>
                <w:kern w:val="0"/>
                <w:sz w:val="24"/>
                <w:szCs w:val="24"/>
                <w:lang w:val="en-US" w:eastAsia="ar-SA" w:bidi="ar-SA"/>
              </w:rPr>
              <w:t>Южная и Центральная Америка</w:t>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492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790825" cy="1685925"/>
                  <wp:effectExtent l="0" t="0" r="0" b="0"/>
                  <wp:docPr id="7"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
                          <pic:cNvPicPr>
                            <a:picLocks noChangeAspect="1" noChangeArrowheads="1"/>
                          </pic:cNvPicPr>
                        </pic:nvPicPr>
                        <pic:blipFill>
                          <a:blip r:embed="rId10"/>
                          <a:srcRect l="1327" t="14087" r="1652" b="5463"/>
                          <a:stretch>
                            <a:fillRect/>
                          </a:stretch>
                        </pic:blipFill>
                        <pic:spPr bwMode="auto">
                          <a:xfrm>
                            <a:off x="0" y="0"/>
                            <a:ext cx="2790825" cy="1685925"/>
                          </a:xfrm>
                          <a:prstGeom prst="rect">
                            <a:avLst/>
                          </a:prstGeom>
                        </pic:spPr>
                      </pic:pic>
                    </a:graphicData>
                  </a:graphic>
                </wp:inline>
              </w:drawing>
            </w:r>
          </w:p>
        </w:tc>
        <w:tc>
          <w:tcPr>
            <w:tcW w:w="524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838450" cy="1657350"/>
                  <wp:effectExtent l="0" t="0" r="0" b="0"/>
                  <wp:docPr id="8"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7" descr=""/>
                          <pic:cNvPicPr>
                            <a:picLocks noChangeAspect="1" noChangeArrowheads="1"/>
                          </pic:cNvPicPr>
                        </pic:nvPicPr>
                        <pic:blipFill>
                          <a:blip r:embed="rId11"/>
                          <a:srcRect l="969" t="14959" r="2270" b="3744"/>
                          <a:stretch>
                            <a:fillRect/>
                          </a:stretch>
                        </pic:blipFill>
                        <pic:spPr bwMode="auto">
                          <a:xfrm>
                            <a:off x="0" y="0"/>
                            <a:ext cx="2838450" cy="1657350"/>
                          </a:xfrm>
                          <a:prstGeom prst="rect">
                            <a:avLst/>
                          </a:prstGeom>
                        </pic:spPr>
                      </pic:pic>
                    </a:graphicData>
                  </a:graphic>
                </wp:inline>
              </w:drawing>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10172" w:type="dxa"/>
            <w:gridSpan w:val="2"/>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Cs/>
                <w:sz w:val="24"/>
                <w:szCs w:val="24"/>
                <w:lang w:val="en-US"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Cs/>
                <w:sz w:val="24"/>
                <w:szCs w:val="24"/>
                <w:lang w:eastAsia="ar-SA"/>
              </w:rPr>
            </w:pPr>
            <w:r>
              <w:rPr>
                <w:rFonts w:eastAsia="SimSun" w:cs="Times New Roman" w:ascii="Times New Roman" w:hAnsi="Times New Roman"/>
                <w:bCs/>
                <w:kern w:val="0"/>
                <w:sz w:val="24"/>
                <w:szCs w:val="24"/>
                <w:lang w:val="en-US" w:eastAsia="ar-SA" w:bidi="ar-SA"/>
              </w:rPr>
              <w:t>Азиатско-Тихоокеанский регион</w:t>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492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752725" cy="1581150"/>
                  <wp:effectExtent l="0" t="0" r="0" b="0"/>
                  <wp:docPr id="9"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2" descr=""/>
                          <pic:cNvPicPr>
                            <a:picLocks noChangeAspect="1" noChangeArrowheads="1"/>
                          </pic:cNvPicPr>
                        </pic:nvPicPr>
                        <pic:blipFill>
                          <a:blip r:embed="rId12"/>
                          <a:srcRect l="1340" t="14783" r="2010" b="3444"/>
                          <a:stretch>
                            <a:fillRect/>
                          </a:stretch>
                        </pic:blipFill>
                        <pic:spPr bwMode="auto">
                          <a:xfrm>
                            <a:off x="0" y="0"/>
                            <a:ext cx="2752725" cy="1581150"/>
                          </a:xfrm>
                          <a:prstGeom prst="rect">
                            <a:avLst/>
                          </a:prstGeom>
                        </pic:spPr>
                      </pic:pic>
                    </a:graphicData>
                  </a:graphic>
                </wp:inline>
              </w:drawing>
            </w:r>
          </w:p>
        </w:tc>
        <w:tc>
          <w:tcPr>
            <w:tcW w:w="524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724150" cy="1695450"/>
                  <wp:effectExtent l="0" t="0" r="0" b="0"/>
                  <wp:docPr id="10"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8" descr=""/>
                          <pic:cNvPicPr>
                            <a:picLocks noChangeAspect="1" noChangeArrowheads="1"/>
                          </pic:cNvPicPr>
                        </pic:nvPicPr>
                        <pic:blipFill>
                          <a:blip r:embed="rId13"/>
                          <a:srcRect l="1353" t="14931" r="2030" b="4532"/>
                          <a:stretch>
                            <a:fillRect/>
                          </a:stretch>
                        </pic:blipFill>
                        <pic:spPr bwMode="auto">
                          <a:xfrm>
                            <a:off x="0" y="0"/>
                            <a:ext cx="2724150" cy="1695450"/>
                          </a:xfrm>
                          <a:prstGeom prst="rect">
                            <a:avLst/>
                          </a:prstGeom>
                        </pic:spPr>
                      </pic:pic>
                    </a:graphicData>
                  </a:graphic>
                </wp:inline>
              </w:drawing>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10172" w:type="dxa"/>
            <w:gridSpan w:val="2"/>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Cs/>
                <w:sz w:val="24"/>
                <w:szCs w:val="24"/>
                <w:lang w:eastAsia="ar-SA"/>
              </w:rPr>
            </w:pPr>
            <w:r>
              <w:rPr>
                <w:rFonts w:eastAsia="SimSun" w:cs="Times New Roman" w:ascii="Times New Roman" w:hAnsi="Times New Roman"/>
                <w:bCs/>
                <w:kern w:val="0"/>
                <w:sz w:val="24"/>
                <w:szCs w:val="24"/>
                <w:lang w:val="ru-RU" w:eastAsia="ar-SA" w:bidi="ar-SA"/>
              </w:rPr>
            </w:r>
          </w:p>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Cs/>
                <w:kern w:val="0"/>
                <w:sz w:val="24"/>
                <w:szCs w:val="24"/>
                <w:lang w:val="ru-RU" w:eastAsia="ar-SA" w:bidi="ar-SA"/>
              </w:rPr>
              <w:t>Всего в мире</w:t>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492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800350" cy="1733550"/>
                  <wp:effectExtent l="0" t="0" r="0" b="0"/>
                  <wp:docPr id="11"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3" descr=""/>
                          <pic:cNvPicPr>
                            <a:picLocks noChangeAspect="1" noChangeArrowheads="1"/>
                          </pic:cNvPicPr>
                        </pic:nvPicPr>
                        <pic:blipFill>
                          <a:blip r:embed="rId14"/>
                          <a:srcRect l="1331" t="14684" r="992" b="1838"/>
                          <a:stretch>
                            <a:fillRect/>
                          </a:stretch>
                        </pic:blipFill>
                        <pic:spPr bwMode="auto">
                          <a:xfrm>
                            <a:off x="0" y="0"/>
                            <a:ext cx="2800350" cy="1733550"/>
                          </a:xfrm>
                          <a:prstGeom prst="rect">
                            <a:avLst/>
                          </a:prstGeom>
                        </pic:spPr>
                      </pic:pic>
                    </a:graphicData>
                  </a:graphic>
                </wp:inline>
              </w:drawing>
            </w:r>
          </w:p>
        </w:tc>
        <w:tc>
          <w:tcPr>
            <w:tcW w:w="524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kern w:val="0"/>
                <w:lang w:val="ru-RU" w:bidi="ar-SA"/>
              </w:rPr>
              <w:drawing>
                <wp:inline distT="0" distB="0" distL="0" distR="0">
                  <wp:extent cx="2762250" cy="1666875"/>
                  <wp:effectExtent l="0" t="0" r="0" b="0"/>
                  <wp:docPr id="12"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4" descr=""/>
                          <pic:cNvPicPr>
                            <a:picLocks noChangeAspect="1" noChangeArrowheads="1"/>
                          </pic:cNvPicPr>
                        </pic:nvPicPr>
                        <pic:blipFill>
                          <a:blip r:embed="rId15"/>
                          <a:srcRect l="0" t="16522" r="686" b="3207"/>
                          <a:stretch>
                            <a:fillRect/>
                          </a:stretch>
                        </pic:blipFill>
                        <pic:spPr bwMode="auto">
                          <a:xfrm>
                            <a:off x="0" y="0"/>
                            <a:ext cx="2762250" cy="1666875"/>
                          </a:xfrm>
                          <a:prstGeom prst="rect">
                            <a:avLst/>
                          </a:prstGeom>
                        </pic:spPr>
                      </pic:pic>
                    </a:graphicData>
                  </a:graphic>
                </wp:inline>
              </w:drawing>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492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tc>
        <w:tc>
          <w:tcPr>
            <w:tcW w:w="524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10172" w:type="dxa"/>
            <w:gridSpan w:val="2"/>
            <w:tcBorders>
              <w:top w:val="nil"/>
              <w:left w:val="nil"/>
              <w:bottom w:val="nil"/>
              <w:right w:val="nil"/>
            </w:tcBorders>
            <w:vAlign w:val="bottom"/>
          </w:tcPr>
          <w:p>
            <w:pPr>
              <w:pStyle w:val="Normal"/>
              <w:widowControl/>
              <w:suppressAutoHyphens w:val="true"/>
              <w:spacing w:lineRule="auto" w:line="240" w:before="0" w:after="0"/>
              <w:jc w:val="left"/>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t>Сводные данные</w:t>
            </w:r>
          </w:p>
        </w:tc>
        <w:tc>
          <w:tcPr>
            <w:tcW w:w="142"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10314" w:type="dxa"/>
            <w:gridSpan w:val="3"/>
            <w:tcBorders>
              <w:top w:val="nil"/>
              <w:left w:val="nil"/>
              <w:bottom w:val="nil"/>
              <w:right w:val="nil"/>
            </w:tcBorders>
            <w:vAlign w:val="bottom"/>
          </w:tcPr>
          <w:tbl>
            <w:tblPr>
              <w:tblStyle w:val="af2"/>
              <w:tblpPr w:bottomFromText="0" w:horzAnchor="margin" w:leftFromText="180" w:rightFromText="180" w:tblpX="0" w:tblpY="10" w:topFromText="0" w:vertAnchor="text"/>
              <w:tblW w:w="1006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547"/>
              <w:gridCol w:w="1275"/>
              <w:gridCol w:w="1276"/>
              <w:gridCol w:w="1700"/>
              <w:gridCol w:w="1986"/>
              <w:gridCol w:w="1275"/>
            </w:tblGrid>
            <w:tr>
              <w:trPr/>
              <w:tc>
                <w:tcPr>
                  <w:tcW w:w="2547" w:type="dxa"/>
                  <w:tcBorders/>
                  <w:vAlign w:val="center"/>
                </w:tcPr>
                <w:p>
                  <w:pPr>
                    <w:pStyle w:val="Normal"/>
                    <w:widowControl/>
                    <w:spacing w:lineRule="auto" w:line="240" w:before="0" w:after="0"/>
                    <w:jc w:val="center"/>
                    <w:rPr>
                      <w:rFonts w:ascii="Times New Roman" w:hAnsi="Times New Roman" w:cs="Times New Roman"/>
                      <w:b/>
                      <w:b/>
                      <w:sz w:val="24"/>
                      <w:szCs w:val="16"/>
                    </w:rPr>
                  </w:pPr>
                  <w:r>
                    <w:rPr>
                      <w:rFonts w:eastAsia="Calibri" w:cs="Times New Roman" w:ascii="Times New Roman" w:hAnsi="Times New Roman"/>
                      <w:b/>
                      <w:kern w:val="0"/>
                      <w:sz w:val="24"/>
                      <w:szCs w:val="16"/>
                      <w:lang w:val="ru-RU" w:bidi="ar-SA"/>
                    </w:rPr>
                  </w:r>
                </w:p>
              </w:tc>
              <w:tc>
                <w:tcPr>
                  <w:tcW w:w="1275" w:type="dxa"/>
                  <w:tcBorders/>
                  <w:vAlign w:val="center"/>
                </w:tcPr>
                <w:p>
                  <w:pPr>
                    <w:pStyle w:val="Normal"/>
                    <w:widowControl/>
                    <w:spacing w:lineRule="auto" w:line="240" w:before="0" w:after="0"/>
                    <w:jc w:val="center"/>
                    <w:rPr>
                      <w:rFonts w:ascii="Times New Roman" w:hAnsi="Times New Roman" w:cs="Times New Roman"/>
                      <w:b/>
                      <w:b/>
                      <w:sz w:val="24"/>
                      <w:szCs w:val="16"/>
                    </w:rPr>
                  </w:pPr>
                  <w:r>
                    <w:rPr>
                      <w:rFonts w:eastAsia="Calibri" w:cs="Times New Roman" w:ascii="Times New Roman" w:hAnsi="Times New Roman"/>
                      <w:b/>
                      <w:bCs/>
                      <w:kern w:val="0"/>
                      <w:sz w:val="24"/>
                      <w:szCs w:val="16"/>
                      <w:lang w:val="ru-RU" w:bidi="ar-SA"/>
                    </w:rPr>
                    <w:t>Европа</w:t>
                  </w:r>
                </w:p>
              </w:tc>
              <w:tc>
                <w:tcPr>
                  <w:tcW w:w="1276" w:type="dxa"/>
                  <w:tcBorders/>
                  <w:vAlign w:val="center"/>
                </w:tcPr>
                <w:p>
                  <w:pPr>
                    <w:pStyle w:val="Normal"/>
                    <w:widowControl/>
                    <w:spacing w:lineRule="auto" w:line="240" w:before="0" w:after="0"/>
                    <w:jc w:val="center"/>
                    <w:rPr>
                      <w:rFonts w:ascii="Times New Roman" w:hAnsi="Times New Roman" w:cs="Times New Roman"/>
                      <w:b/>
                      <w:b/>
                      <w:sz w:val="24"/>
                      <w:szCs w:val="16"/>
                    </w:rPr>
                  </w:pPr>
                  <w:r>
                    <w:rPr>
                      <w:rFonts w:eastAsia="Calibri" w:cs="Times New Roman" w:ascii="Times New Roman" w:hAnsi="Times New Roman"/>
                      <w:b/>
                      <w:bCs/>
                      <w:kern w:val="0"/>
                      <w:sz w:val="24"/>
                      <w:szCs w:val="16"/>
                      <w:lang w:val="en-US" w:bidi="ar-SA"/>
                    </w:rPr>
                    <w:t>Северная Америка</w:t>
                  </w:r>
                </w:p>
              </w:tc>
              <w:tc>
                <w:tcPr>
                  <w:tcW w:w="1700" w:type="dxa"/>
                  <w:tcBorders/>
                  <w:vAlign w:val="center"/>
                </w:tcPr>
                <w:p>
                  <w:pPr>
                    <w:pStyle w:val="Normal"/>
                    <w:widowControl/>
                    <w:spacing w:lineRule="auto" w:line="240" w:before="0" w:after="0"/>
                    <w:jc w:val="center"/>
                    <w:rPr>
                      <w:rFonts w:ascii="Times New Roman" w:hAnsi="Times New Roman" w:cs="Times New Roman"/>
                      <w:b/>
                      <w:b/>
                      <w:sz w:val="24"/>
                      <w:szCs w:val="16"/>
                    </w:rPr>
                  </w:pPr>
                  <w:r>
                    <w:rPr>
                      <w:rFonts w:eastAsia="Calibri" w:cs="Times New Roman" w:ascii="Times New Roman" w:hAnsi="Times New Roman"/>
                      <w:b/>
                      <w:bCs/>
                      <w:kern w:val="0"/>
                      <w:sz w:val="24"/>
                      <w:szCs w:val="16"/>
                      <w:lang w:val="en-US" w:bidi="ar-SA"/>
                    </w:rPr>
                    <w:t>Южная и Центральная Америка</w:t>
                  </w:r>
                </w:p>
              </w:tc>
              <w:tc>
                <w:tcPr>
                  <w:tcW w:w="1986" w:type="dxa"/>
                  <w:tcBorders/>
                  <w:vAlign w:val="center"/>
                </w:tcPr>
                <w:p>
                  <w:pPr>
                    <w:pStyle w:val="Normal"/>
                    <w:widowControl/>
                    <w:spacing w:lineRule="auto" w:line="240" w:before="0" w:after="0"/>
                    <w:jc w:val="center"/>
                    <w:rPr>
                      <w:rFonts w:ascii="Times New Roman" w:hAnsi="Times New Roman" w:cs="Times New Roman"/>
                      <w:b/>
                      <w:b/>
                      <w:sz w:val="24"/>
                      <w:szCs w:val="16"/>
                    </w:rPr>
                  </w:pPr>
                  <w:r>
                    <w:rPr>
                      <w:rFonts w:eastAsia="Calibri" w:cs="Times New Roman" w:ascii="Times New Roman" w:hAnsi="Times New Roman"/>
                      <w:b/>
                      <w:bCs/>
                      <w:kern w:val="0"/>
                      <w:sz w:val="24"/>
                      <w:szCs w:val="16"/>
                      <w:lang w:val="en-US" w:bidi="ar-SA"/>
                    </w:rPr>
                    <w:t>Азиатско-Тихоокеанский регион</w:t>
                  </w:r>
                </w:p>
              </w:tc>
              <w:tc>
                <w:tcPr>
                  <w:tcW w:w="1275" w:type="dxa"/>
                  <w:tcBorders/>
                  <w:vAlign w:val="center"/>
                </w:tcPr>
                <w:p>
                  <w:pPr>
                    <w:pStyle w:val="Normal"/>
                    <w:widowControl/>
                    <w:spacing w:lineRule="auto" w:line="240" w:before="0" w:after="0"/>
                    <w:jc w:val="center"/>
                    <w:rPr>
                      <w:rFonts w:ascii="Times New Roman" w:hAnsi="Times New Roman" w:cs="Times New Roman"/>
                      <w:b/>
                      <w:b/>
                      <w:sz w:val="24"/>
                      <w:szCs w:val="16"/>
                    </w:rPr>
                  </w:pPr>
                  <w:r>
                    <w:rPr>
                      <w:rFonts w:eastAsia="Calibri" w:cs="Times New Roman" w:ascii="Times New Roman" w:hAnsi="Times New Roman"/>
                      <w:b/>
                      <w:bCs/>
                      <w:kern w:val="0"/>
                      <w:sz w:val="24"/>
                      <w:szCs w:val="16"/>
                      <w:lang w:val="ru-RU" w:bidi="ar-SA"/>
                    </w:rPr>
                    <w:t>Всего в мире</w:t>
                  </w:r>
                </w:p>
              </w:tc>
            </w:tr>
            <w:tr>
              <w:trPr/>
              <w:tc>
                <w:tcPr>
                  <w:tcW w:w="2547" w:type="dxa"/>
                  <w:tcBorders/>
                  <w:vAlign w:val="center"/>
                </w:tcPr>
                <w:p>
                  <w:pPr>
                    <w:pStyle w:val="Normal"/>
                    <w:widowControl/>
                    <w:spacing w:lineRule="auto" w:line="259" w:before="0" w:after="0"/>
                    <w:jc w:val="center"/>
                    <w:rPr>
                      <w:rFonts w:ascii="Times New Roman" w:hAnsi="Times New Roman" w:cs="Times New Roman"/>
                      <w:b/>
                      <w:b/>
                      <w:sz w:val="24"/>
                      <w:szCs w:val="16"/>
                    </w:rPr>
                  </w:pPr>
                  <w:r>
                    <w:rPr>
                      <w:rFonts w:eastAsia="Calibri" w:cs="Times New Roman" w:ascii="Times New Roman" w:hAnsi="Times New Roman"/>
                      <w:b/>
                      <w:kern w:val="0"/>
                      <w:sz w:val="24"/>
                      <w:szCs w:val="16"/>
                      <w:lang w:val="ru-RU" w:bidi="ar-SA"/>
                    </w:rPr>
                    <w:t>Общая генерация</w:t>
                  </w:r>
                </w:p>
                <w:p>
                  <w:pPr>
                    <w:pStyle w:val="Normal"/>
                    <w:widowControl/>
                    <w:spacing w:lineRule="auto" w:line="259" w:before="0" w:after="0"/>
                    <w:jc w:val="center"/>
                    <w:rPr>
                      <w:rFonts w:ascii="Times New Roman" w:hAnsi="Times New Roman" w:cs="Times New Roman"/>
                      <w:b/>
                      <w:b/>
                      <w:sz w:val="24"/>
                      <w:szCs w:val="16"/>
                    </w:rPr>
                  </w:pPr>
                  <w:r>
                    <w:rPr>
                      <w:rFonts w:eastAsia="Calibri" w:cs="Times New Roman" w:ascii="Times New Roman" w:hAnsi="Times New Roman"/>
                      <w:b/>
                      <w:kern w:val="0"/>
                      <w:sz w:val="24"/>
                      <w:szCs w:val="16"/>
                      <w:lang w:val="ru-RU" w:bidi="ar-SA"/>
                    </w:rPr>
                    <w:t>к 2020</w:t>
                  </w:r>
                </w:p>
              </w:tc>
              <w:tc>
                <w:tcPr>
                  <w:tcW w:w="1275" w:type="dxa"/>
                  <w:tcBorders/>
                  <w:vAlign w:val="center"/>
                </w:tcPr>
                <w:p>
                  <w:pPr>
                    <w:pStyle w:val="Normal"/>
                    <w:widowControl/>
                    <w:spacing w:lineRule="auto" w:line="259" w:before="0" w:after="0"/>
                    <w:jc w:val="center"/>
                    <w:rPr>
                      <w:rFonts w:ascii="Times New Roman" w:hAnsi="Times New Roman" w:cs="Times New Roman"/>
                      <w:b/>
                      <w:b/>
                      <w:sz w:val="24"/>
                      <w:szCs w:val="16"/>
                    </w:rPr>
                  </w:pPr>
                  <w:r>
                    <w:rPr>
                      <w:rFonts w:eastAsia="Calibri" w:cs="Times New Roman" w:ascii="Times New Roman" w:hAnsi="Times New Roman"/>
                      <w:b/>
                      <w:kern w:val="0"/>
                      <w:sz w:val="24"/>
                      <w:szCs w:val="16"/>
                      <w:lang w:val="ru-RU" w:bidi="ar-SA"/>
                    </w:rPr>
                    <w:t>510.1</w:t>
                  </w:r>
                </w:p>
              </w:tc>
              <w:tc>
                <w:tcPr>
                  <w:tcW w:w="1276" w:type="dxa"/>
                  <w:tcBorders/>
                  <w:vAlign w:val="center"/>
                </w:tcPr>
                <w:p>
                  <w:pPr>
                    <w:pStyle w:val="Normal"/>
                    <w:widowControl/>
                    <w:spacing w:lineRule="auto" w:line="259" w:before="0" w:after="0"/>
                    <w:jc w:val="center"/>
                    <w:rPr>
                      <w:rFonts w:ascii="Times New Roman" w:hAnsi="Times New Roman" w:cs="Times New Roman"/>
                      <w:b/>
                      <w:b/>
                      <w:sz w:val="24"/>
                      <w:szCs w:val="16"/>
                    </w:rPr>
                  </w:pPr>
                  <w:r>
                    <w:rPr>
                      <w:rFonts w:eastAsia="Calibri" w:cs="Times New Roman" w:ascii="Times New Roman" w:hAnsi="Times New Roman"/>
                      <w:b/>
                      <w:kern w:val="0"/>
                      <w:sz w:val="24"/>
                      <w:szCs w:val="16"/>
                      <w:lang w:val="ru-RU" w:bidi="ar-SA"/>
                    </w:rPr>
                    <w:t>396.7</w:t>
                  </w:r>
                </w:p>
              </w:tc>
              <w:tc>
                <w:tcPr>
                  <w:tcW w:w="1700" w:type="dxa"/>
                  <w:tcBorders/>
                  <w:vAlign w:val="center"/>
                </w:tcPr>
                <w:p>
                  <w:pPr>
                    <w:pStyle w:val="Normal"/>
                    <w:widowControl/>
                    <w:spacing w:lineRule="auto" w:line="259" w:before="0" w:after="0"/>
                    <w:jc w:val="center"/>
                    <w:rPr>
                      <w:rFonts w:ascii="Times New Roman" w:hAnsi="Times New Roman" w:cs="Times New Roman"/>
                      <w:b/>
                      <w:b/>
                      <w:sz w:val="24"/>
                      <w:szCs w:val="16"/>
                    </w:rPr>
                  </w:pPr>
                  <w:r>
                    <w:rPr>
                      <w:rFonts w:eastAsia="Calibri" w:cs="Times New Roman" w:ascii="Times New Roman" w:hAnsi="Times New Roman"/>
                      <w:b/>
                      <w:kern w:val="0"/>
                      <w:sz w:val="24"/>
                      <w:szCs w:val="16"/>
                      <w:lang w:val="ru-RU" w:bidi="ar-SA"/>
                    </w:rPr>
                    <w:t>85.4</w:t>
                  </w:r>
                </w:p>
              </w:tc>
              <w:tc>
                <w:tcPr>
                  <w:tcW w:w="1986" w:type="dxa"/>
                  <w:tcBorders/>
                  <w:vAlign w:val="center"/>
                </w:tcPr>
                <w:p>
                  <w:pPr>
                    <w:pStyle w:val="Normal"/>
                    <w:widowControl/>
                    <w:spacing w:lineRule="auto" w:line="259" w:before="0" w:after="0"/>
                    <w:jc w:val="center"/>
                    <w:rPr>
                      <w:rFonts w:ascii="Times New Roman" w:hAnsi="Times New Roman" w:cs="Times New Roman"/>
                      <w:b/>
                      <w:b/>
                      <w:sz w:val="24"/>
                      <w:szCs w:val="16"/>
                    </w:rPr>
                  </w:pPr>
                  <w:r>
                    <w:rPr>
                      <w:rFonts w:eastAsia="Calibri" w:cs="Times New Roman" w:ascii="Times New Roman" w:hAnsi="Times New Roman"/>
                      <w:b/>
                      <w:kern w:val="0"/>
                      <w:sz w:val="24"/>
                      <w:szCs w:val="16"/>
                      <w:lang w:val="ru-RU" w:bidi="ar-SA"/>
                    </w:rPr>
                    <w:t>572</w:t>
                  </w:r>
                </w:p>
              </w:tc>
              <w:tc>
                <w:tcPr>
                  <w:tcW w:w="1275" w:type="dxa"/>
                  <w:tcBorders/>
                  <w:vAlign w:val="center"/>
                </w:tcPr>
                <w:p>
                  <w:pPr>
                    <w:pStyle w:val="Normal"/>
                    <w:widowControl/>
                    <w:spacing w:lineRule="auto" w:line="259" w:before="0" w:after="0"/>
                    <w:jc w:val="center"/>
                    <w:rPr>
                      <w:rFonts w:ascii="Times New Roman" w:hAnsi="Times New Roman" w:cs="Times New Roman"/>
                      <w:b/>
                      <w:b/>
                      <w:sz w:val="24"/>
                      <w:szCs w:val="16"/>
                    </w:rPr>
                  </w:pPr>
                  <w:r>
                    <w:rPr>
                      <w:rFonts w:eastAsia="Calibri" w:cs="Times New Roman" w:ascii="Times New Roman" w:hAnsi="Times New Roman"/>
                      <w:b/>
                      <w:kern w:val="0"/>
                      <w:sz w:val="24"/>
                      <w:szCs w:val="16"/>
                      <w:lang w:val="ru-RU" w:bidi="ar-SA"/>
                    </w:rPr>
                    <w:t>1591.2</w:t>
                  </w:r>
                </w:p>
              </w:tc>
            </w:tr>
            <w:tr>
              <w:trPr/>
              <w:tc>
                <w:tcPr>
                  <w:tcW w:w="2547" w:type="dxa"/>
                  <w:vMerge w:val="restart"/>
                  <w:tcBorders/>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bCs/>
                      <w:kern w:val="0"/>
                      <w:sz w:val="24"/>
                      <w:szCs w:val="16"/>
                      <w:lang w:val="ru-RU" w:bidi="ar-SA"/>
                    </w:rPr>
                    <w:t>Прогноз на период 2016-2020 гг.</w:t>
                  </w:r>
                </w:p>
              </w:tc>
              <w:tc>
                <w:tcPr>
                  <w:tcW w:w="7512" w:type="dxa"/>
                  <w:gridSpan w:val="5"/>
                  <w:tcBorders/>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b/>
                      <w:bCs/>
                      <w:i/>
                      <w:kern w:val="0"/>
                      <w:sz w:val="24"/>
                      <w:szCs w:val="16"/>
                      <w:lang w:val="ru-RU" w:bidi="ar-SA"/>
                    </w:rPr>
                    <w:t>модель Басса</w:t>
                  </w:r>
                </w:p>
              </w:tc>
            </w:tr>
            <w:tr>
              <w:trPr/>
              <w:tc>
                <w:tcPr>
                  <w:tcW w:w="2547" w:type="dxa"/>
                  <w:vMerge w:val="continue"/>
                  <w:tcBorders/>
                  <w:vAlign w:val="center"/>
                </w:tcPr>
                <w:p>
                  <w:pPr>
                    <w:pStyle w:val="Normal"/>
                    <w:widowControl/>
                    <w:spacing w:lineRule="auto" w:line="259" w:before="0" w:after="0"/>
                    <w:jc w:val="right"/>
                    <w:rPr>
                      <w:rFonts w:ascii="Times New Roman" w:hAnsi="Times New Roman" w:cs="Times New Roman"/>
                      <w:sz w:val="24"/>
                      <w:szCs w:val="16"/>
                    </w:rPr>
                  </w:pPr>
                  <w:r>
                    <w:rPr>
                      <w:rFonts w:eastAsia="Calibri" w:cs="Times New Roman" w:ascii="Times New Roman" w:hAnsi="Times New Roman"/>
                      <w:kern w:val="0"/>
                      <w:sz w:val="24"/>
                      <w:szCs w:val="16"/>
                      <w:lang w:val="ru-RU" w:bidi="ar-SA"/>
                    </w:rPr>
                  </w:r>
                </w:p>
              </w:tc>
              <w:tc>
                <w:tcPr>
                  <w:tcW w:w="1275" w:type="dxa"/>
                  <w:tcBorders/>
                  <w:shd w:color="auto" w:fill="00B050" w:val="clear"/>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499</w:t>
                  </w:r>
                </w:p>
              </w:tc>
              <w:tc>
                <w:tcPr>
                  <w:tcW w:w="1276" w:type="dxa"/>
                  <w:tcBorders/>
                  <w:shd w:color="auto" w:fill="00B050" w:val="clear"/>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384</w:t>
                  </w:r>
                </w:p>
              </w:tc>
              <w:tc>
                <w:tcPr>
                  <w:tcW w:w="1700" w:type="dxa"/>
                  <w:tcBorders/>
                  <w:shd w:color="auto" w:fill="00B050" w:val="clear"/>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84</w:t>
                  </w:r>
                </w:p>
              </w:tc>
              <w:tc>
                <w:tcPr>
                  <w:tcW w:w="1986" w:type="dxa"/>
                  <w:tcBorders/>
                  <w:shd w:color="auto" w:fill="00B050" w:val="clear"/>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573</w:t>
                  </w:r>
                </w:p>
              </w:tc>
              <w:tc>
                <w:tcPr>
                  <w:tcW w:w="1275" w:type="dxa"/>
                  <w:tcBorders/>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1231.8</w:t>
                  </w:r>
                </w:p>
              </w:tc>
            </w:tr>
            <w:tr>
              <w:trPr/>
              <w:tc>
                <w:tcPr>
                  <w:tcW w:w="2547" w:type="dxa"/>
                  <w:vMerge w:val="continue"/>
                  <w:tcBorders/>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r>
                </w:p>
              </w:tc>
              <w:tc>
                <w:tcPr>
                  <w:tcW w:w="7512" w:type="dxa"/>
                  <w:gridSpan w:val="5"/>
                  <w:tcBorders/>
                  <w:vAlign w:val="center"/>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i/>
                      <w:kern w:val="0"/>
                      <w:sz w:val="24"/>
                      <w:szCs w:val="24"/>
                      <w:lang w:val="ru-RU" w:eastAsia="ar-SA" w:bidi="en-US"/>
                    </w:rPr>
                    <w:t>модель Гомпертца</w:t>
                  </w:r>
                </w:p>
              </w:tc>
            </w:tr>
            <w:tr>
              <w:trPr/>
              <w:tc>
                <w:tcPr>
                  <w:tcW w:w="2547" w:type="dxa"/>
                  <w:vMerge w:val="continue"/>
                  <w:tcBorders/>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r>
                </w:p>
              </w:tc>
              <w:tc>
                <w:tcPr>
                  <w:tcW w:w="1275" w:type="dxa"/>
                  <w:tcBorders/>
                  <w:shd w:color="auto" w:fill="00B050" w:val="clear"/>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505</w:t>
                  </w:r>
                </w:p>
              </w:tc>
              <w:tc>
                <w:tcPr>
                  <w:tcW w:w="1276" w:type="dxa"/>
                  <w:tcBorders/>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317</w:t>
                  </w:r>
                </w:p>
              </w:tc>
              <w:tc>
                <w:tcPr>
                  <w:tcW w:w="1700" w:type="dxa"/>
                  <w:tcBorders/>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217</w:t>
                  </w:r>
                </w:p>
              </w:tc>
              <w:tc>
                <w:tcPr>
                  <w:tcW w:w="1986" w:type="dxa"/>
                  <w:tcBorders/>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378</w:t>
                  </w:r>
                </w:p>
              </w:tc>
              <w:tc>
                <w:tcPr>
                  <w:tcW w:w="1275" w:type="dxa"/>
                  <w:tcBorders/>
                  <w:shd w:color="auto" w:fill="00B050" w:val="clear"/>
                  <w:vAlign w:val="center"/>
                </w:tcPr>
                <w:p>
                  <w:pPr>
                    <w:pStyle w:val="Normal"/>
                    <w:widowControl/>
                    <w:spacing w:lineRule="auto" w:line="259" w:before="0" w:after="0"/>
                    <w:jc w:val="center"/>
                    <w:rPr>
                      <w:rFonts w:ascii="Times New Roman" w:hAnsi="Times New Roman" w:cs="Times New Roman"/>
                      <w:sz w:val="24"/>
                      <w:szCs w:val="16"/>
                    </w:rPr>
                  </w:pPr>
                  <w:r>
                    <w:rPr>
                      <w:rFonts w:eastAsia="Calibri" w:cs="Times New Roman" w:ascii="Times New Roman" w:hAnsi="Times New Roman"/>
                      <w:kern w:val="0"/>
                      <w:sz w:val="24"/>
                      <w:szCs w:val="16"/>
                      <w:lang w:val="ru-RU" w:bidi="ar-SA"/>
                    </w:rPr>
                    <w:t>1508.2</w:t>
                  </w:r>
                </w:p>
              </w:tc>
            </w:tr>
          </w:tbl>
          <w:p>
            <w:pPr>
              <w:pStyle w:val="Normal"/>
              <w:widowControl w:val="false"/>
              <w:suppressAutoHyphens w:val="true"/>
              <w:spacing w:before="0" w:after="200"/>
              <w:jc w:val="center"/>
              <w:rPr>
                <w:rFonts w:ascii="Times New Roman" w:hAnsi="Times New Roman" w:eastAsia="SimSun" w:cs="Times New Roman"/>
                <w:b/>
                <w:b/>
                <w:bCs/>
                <w:sz w:val="24"/>
                <w:szCs w:val="24"/>
                <w:lang w:eastAsia="ar-SA"/>
              </w:rPr>
            </w:pPr>
            <w:r>
              <w:rPr>
                <w:rFonts w:eastAsia="SimSun" w:cs="Times New Roman" w:ascii="Times New Roman" w:hAnsi="Times New Roman"/>
                <w:b/>
                <w:bCs/>
                <w:sz w:val="24"/>
                <w:szCs w:val="24"/>
                <w:lang w:eastAsia="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r>
        <w:trPr/>
        <w:tc>
          <w:tcPr>
            <w:tcW w:w="4926" w:type="dxa"/>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tc>
        <w:tc>
          <w:tcPr>
            <w:tcW w:w="5388" w:type="dxa"/>
            <w:gridSpan w:val="2"/>
            <w:tcBorders>
              <w:top w:val="nil"/>
              <w:left w:val="nil"/>
              <w:bottom w:val="nil"/>
              <w:right w:val="nil"/>
            </w:tcBorders>
            <w:vAlign w:val="bottom"/>
          </w:tcPr>
          <w:p>
            <w:pPr>
              <w:pStyle w:val="Normal"/>
              <w:widowControl/>
              <w:suppressAutoHyphens w:val="true"/>
              <w:spacing w:lineRule="auto" w:line="240" w:before="0" w:after="0"/>
              <w:jc w:val="center"/>
              <w:rPr>
                <w:rFonts w:ascii="Times New Roman" w:hAnsi="Times New Roman" w:eastAsia="SimSun" w:cs="Times New Roman"/>
                <w:b/>
                <w:b/>
                <w:bCs/>
                <w:sz w:val="24"/>
                <w:szCs w:val="24"/>
                <w:lang w:eastAsia="ar-SA"/>
              </w:rPr>
            </w:pPr>
            <w:r>
              <w:rPr>
                <w:rFonts w:eastAsia="SimSun" w:cs="Times New Roman" w:ascii="Times New Roman" w:hAnsi="Times New Roman"/>
                <w:b/>
                <w:bCs/>
                <w:kern w:val="0"/>
                <w:sz w:val="24"/>
                <w:szCs w:val="24"/>
                <w:lang w:val="ru-RU" w:eastAsia="ar-SA" w:bidi="ar-SA"/>
              </w:rPr>
            </w:r>
          </w:p>
        </w:tc>
        <w:tc>
          <w:tcPr>
            <w:tcW w:w="94" w:type="dxa"/>
            <w:tcBorders>
              <w:top w:val="nil"/>
              <w:left w:val="nil"/>
              <w:bottom w:val="nil"/>
              <w:right w:val="nil"/>
            </w:tcBorders>
          </w:tcPr>
          <w:p>
            <w:pPr>
              <w:pStyle w:val="Normal"/>
              <w:widowControl/>
              <w:spacing w:lineRule="auto" w:line="240" w:before="0" w:after="0"/>
              <w:jc w:val="left"/>
              <w:rPr>
                <w:rFonts w:ascii="Calibri" w:hAnsi="Calibri" w:eastAsia="Calibri" w:cs=""/>
                <w:kern w:val="0"/>
                <w:lang w:val="ru-RU" w:bidi="ar-SA"/>
              </w:rPr>
            </w:pPr>
            <w:r>
              <w:rPr>
                <w:rFonts w:eastAsia="Calibri" w:cs=""/>
                <w:kern w:val="0"/>
                <w:lang w:val="ru-RU" w:bidi="ar-SA"/>
              </w:rPr>
            </w:r>
          </w:p>
        </w:tc>
      </w:tr>
    </w:tbl>
    <w:p>
      <w:pPr>
        <w:pStyle w:val="Normal"/>
        <w:suppressAutoHyphens w:val="true"/>
        <w:spacing w:lineRule="auto" w:line="240" w:before="0" w:after="0"/>
        <w:ind w:firstLine="709"/>
        <w:jc w:val="both"/>
        <w:rPr>
          <w:rFonts w:ascii="Times New Roman" w:hAnsi="Times New Roman" w:eastAsia="SimSun" w:cs="Times New Roman"/>
          <w:b/>
          <w:b/>
          <w:bCs/>
          <w:sz w:val="24"/>
          <w:szCs w:val="24"/>
          <w:lang w:eastAsia="ar-SA"/>
        </w:rPr>
      </w:pPr>
      <w:r>
        <w:rPr>
          <w:rFonts w:eastAsia="SimSun" w:cs="Times New Roman" w:ascii="Times New Roman" w:hAnsi="Times New Roman"/>
          <w:b/>
          <w:bCs/>
          <w:sz w:val="24"/>
          <w:szCs w:val="24"/>
          <w:lang w:eastAsia="ar-SA"/>
        </w:rPr>
      </w:r>
    </w:p>
    <w:p>
      <w:pPr>
        <w:pStyle w:val="Normal"/>
        <w:suppressAutoHyphens w:val="true"/>
        <w:spacing w:lineRule="auto" w:line="240" w:before="0" w:after="0"/>
        <w:ind w:firstLine="709"/>
        <w:jc w:val="both"/>
        <w:rPr>
          <w:rFonts w:ascii="Times New Roman" w:hAnsi="Times New Roman" w:eastAsia="SimSun" w:cs="Times New Roman"/>
          <w:b/>
          <w:b/>
          <w:bCs/>
          <w:sz w:val="24"/>
          <w:szCs w:val="24"/>
          <w:lang w:eastAsia="ar-SA"/>
        </w:rPr>
      </w:pPr>
      <w:r>
        <w:rPr>
          <w:rFonts w:eastAsia="SimSun" w:cs="Times New Roman" w:ascii="Times New Roman" w:hAnsi="Times New Roman"/>
          <w:b/>
          <w:bCs/>
          <w:sz w:val="24"/>
          <w:szCs w:val="24"/>
          <w:lang w:eastAsia="ar-SA"/>
        </w:rPr>
      </w:r>
    </w:p>
    <w:p>
      <w:pPr>
        <w:pStyle w:val="Normal"/>
        <w:suppressAutoHyphens w:val="true"/>
        <w:spacing w:lineRule="auto" w:line="240" w:before="0" w:after="0"/>
        <w:ind w:firstLine="709"/>
        <w:jc w:val="both"/>
        <w:rPr>
          <w:rFonts w:ascii="Times New Roman" w:hAnsi="Times New Roman" w:eastAsia="SimSun" w:cs="Times New Roman"/>
          <w:b/>
          <w:b/>
          <w:bCs/>
          <w:sz w:val="24"/>
          <w:szCs w:val="24"/>
          <w:lang w:eastAsia="ar-SA"/>
        </w:rPr>
      </w:pPr>
      <w:bookmarkStart w:id="0" w:name="_GoBack"/>
      <w:r>
        <w:rPr>
          <w:rFonts w:eastAsia="SimSun" w:cs="Times New Roman" w:ascii="Times New Roman" w:hAnsi="Times New Roman"/>
          <w:b/>
          <w:bCs/>
          <w:sz w:val="24"/>
          <w:szCs w:val="24"/>
          <w:lang w:eastAsia="ar-SA"/>
        </w:rPr>
        <w:t>Заключение</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Проанализировав согласованность моделей, можно сделать вывод, что они могут быть полностью настроены на полное соответствие реальным данным, а в части прогноза модель Басса показала себя более точной практически на каждом из выбранных регионов, ошибка составляем менее пяти процентов от целого значения.</w:t>
      </w:r>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t xml:space="preserve"> </w:t>
      </w:r>
      <w:r>
        <w:rPr>
          <w:rFonts w:eastAsia="SimSun" w:cs="Times New Roman" w:ascii="Times New Roman" w:hAnsi="Times New Roman"/>
          <w:bCs/>
          <w:sz w:val="24"/>
          <w:szCs w:val="24"/>
          <w:lang w:eastAsia="ar-SA"/>
        </w:rPr>
        <w:t>Анализ применимости математических моделей диффузии инноваций Басса и Гомпертца для прогнозирования развития возобновляемых источников энергии на примере ветряных электростанций показывает, что модель Басса является более состоятельной и будет использована для дальнейших исследований как основная.</w:t>
      </w:r>
      <w:bookmarkEnd w:id="0"/>
    </w:p>
    <w:p>
      <w:pPr>
        <w:pStyle w:val="Normal"/>
        <w:suppressAutoHyphens w:val="true"/>
        <w:spacing w:lineRule="auto" w:line="240" w:before="0" w:after="0"/>
        <w:ind w:firstLine="709"/>
        <w:jc w:val="both"/>
        <w:rPr>
          <w:rFonts w:ascii="Times New Roman" w:hAnsi="Times New Roman" w:eastAsia="SimSun" w:cs="Times New Roman"/>
          <w:bCs/>
          <w:sz w:val="24"/>
          <w:szCs w:val="24"/>
          <w:lang w:eastAsia="ar-SA"/>
        </w:rPr>
      </w:pPr>
      <w:r>
        <w:rPr>
          <w:rFonts w:eastAsia="SimSun" w:cs="Times New Roman" w:ascii="Times New Roman" w:hAnsi="Times New Roman"/>
          <w:bCs/>
          <w:sz w:val="24"/>
          <w:szCs w:val="24"/>
          <w:lang w:eastAsia="ar-SA"/>
        </w:rPr>
      </w:r>
    </w:p>
    <w:p>
      <w:pPr>
        <w:pStyle w:val="1"/>
        <w:ind w:firstLine="709"/>
        <w:jc w:val="center"/>
        <w:rPr>
          <w:rFonts w:ascii="Times New Roman" w:hAnsi="Times New Roman"/>
          <w:sz w:val="24"/>
          <w:szCs w:val="24"/>
        </w:rPr>
      </w:pPr>
      <w:r>
        <w:rPr>
          <w:rFonts w:eastAsia="SimSun" w:ascii="Times New Roman" w:hAnsi="Times New Roman"/>
          <w:bCs/>
          <w:sz w:val="24"/>
          <w:szCs w:val="24"/>
          <w:lang w:eastAsia="ar-SA"/>
        </w:rPr>
        <w:br/>
      </w:r>
      <w:r>
        <w:rPr>
          <w:rFonts w:ascii="Times New Roman" w:hAnsi="Times New Roman"/>
          <w:b/>
          <w:bCs/>
          <w:sz w:val="24"/>
          <w:szCs w:val="24"/>
        </w:rPr>
        <w:t>Список литературы</w:t>
      </w:r>
    </w:p>
    <w:p>
      <w:pPr>
        <w:pStyle w:val="Normal"/>
        <w:widowControl w:val="false"/>
        <w:spacing w:lineRule="auto" w:line="240" w:before="0" w:after="0"/>
        <w:ind w:left="640" w:hanging="640"/>
        <w:jc w:val="both"/>
        <w:rPr>
          <w:rFonts w:ascii="Times New Roman" w:hAnsi="Times New Roman" w:eastAsia="Arial Unicode MS" w:cs="Times New Roman"/>
          <w:color w:val="000000"/>
          <w:sz w:val="24"/>
          <w:szCs w:val="24"/>
          <w:lang w:bidi="en-US"/>
        </w:rPr>
      </w:pPr>
      <w:r>
        <w:fldChar w:fldCharType="begin"/>
      </w:r>
      <w:r>
        <w:rPr>
          <w:rFonts w:ascii="Times New Roman" w:hAnsi="Times New Roman"/>
        </w:rPr>
        <w:instrText xml:space="preserve">ADDIN Mendeley Bibliography CSL_BIBLIOGRAPHY</w:instrText>
      </w:r>
      <w:r>
        <w:rPr>
          <w:rFonts w:ascii="Times New Roman" w:hAnsi="Times New Roman"/>
        </w:rPr>
      </w:r>
      <w:r>
        <w:rPr>
          <w:rFonts w:ascii="Times New Roman" w:hAnsi="Times New Roman"/>
        </w:rPr>
        <w:fldChar w:fldCharType="separate"/>
      </w:r>
      <w:r>
        <w:rPr>
          <w:rFonts w:ascii="Times New Roman" w:hAnsi="Times New Roman"/>
        </w:rPr>
      </w:r>
      <w:r>
        <w:rPr>
          <w:rFonts w:eastAsia="Arial Unicode MS" w:cs="Times New Roman" w:ascii="Times New Roman" w:hAnsi="Times New Roman"/>
          <w:color w:val="000000"/>
          <w:sz w:val="24"/>
          <w:szCs w:val="24"/>
          <w:lang w:bidi="en-US"/>
        </w:rPr>
        <w:t>[1]</w:t>
        <w:tab/>
        <w:t xml:space="preserve">Доктрина энергетической безопасности Российской Федерации. </w:t>
      </w:r>
      <w:r>
        <w:rPr>
          <w:rFonts w:eastAsia="Arial Unicode MS" w:cs="Times New Roman" w:ascii="Times New Roman" w:hAnsi="Times New Roman"/>
          <w:color w:val="000000"/>
          <w:sz w:val="24"/>
          <w:szCs w:val="24"/>
          <w:lang w:val="en-US" w:bidi="en-US"/>
        </w:rPr>
        <w:t>https</w:t>
      </w:r>
      <w:r>
        <w:rPr>
          <w:rFonts w:eastAsia="Arial Unicode MS" w:cs="Times New Roman" w:ascii="Times New Roman" w:hAnsi="Times New Roman"/>
          <w:color w:val="000000"/>
          <w:sz w:val="24"/>
          <w:szCs w:val="24"/>
          <w:lang w:bidi="en-US"/>
        </w:rPr>
        <w:t>://</w:t>
      </w:r>
      <w:r>
        <w:rPr>
          <w:rFonts w:eastAsia="Arial Unicode MS" w:cs="Times New Roman" w:ascii="Times New Roman" w:hAnsi="Times New Roman"/>
          <w:color w:val="000000"/>
          <w:sz w:val="24"/>
          <w:szCs w:val="24"/>
          <w:lang w:val="en-US" w:bidi="en-US"/>
        </w:rPr>
        <w:t>minenergo</w:t>
      </w:r>
      <w:r>
        <w:rPr>
          <w:rFonts w:eastAsia="Arial Unicode MS" w:cs="Times New Roman" w:ascii="Times New Roman" w:hAnsi="Times New Roman"/>
          <w:color w:val="000000"/>
          <w:sz w:val="24"/>
          <w:szCs w:val="24"/>
          <w:lang w:bidi="en-US"/>
        </w:rPr>
        <w:t>.</w:t>
      </w:r>
      <w:r>
        <w:rPr>
          <w:rFonts w:eastAsia="Arial Unicode MS" w:cs="Times New Roman" w:ascii="Times New Roman" w:hAnsi="Times New Roman"/>
          <w:color w:val="000000"/>
          <w:sz w:val="24"/>
          <w:szCs w:val="24"/>
          <w:lang w:val="en-US" w:bidi="en-US"/>
        </w:rPr>
        <w:t>gov</w:t>
      </w:r>
      <w:r>
        <w:rPr>
          <w:rFonts w:eastAsia="Arial Unicode MS" w:cs="Times New Roman" w:ascii="Times New Roman" w:hAnsi="Times New Roman"/>
          <w:color w:val="000000"/>
          <w:sz w:val="24"/>
          <w:szCs w:val="24"/>
          <w:lang w:bidi="en-US"/>
        </w:rPr>
        <w:t>.</w:t>
      </w:r>
      <w:r>
        <w:rPr>
          <w:rFonts w:eastAsia="Arial Unicode MS" w:cs="Times New Roman" w:ascii="Times New Roman" w:hAnsi="Times New Roman"/>
          <w:color w:val="000000"/>
          <w:sz w:val="24"/>
          <w:szCs w:val="24"/>
          <w:lang w:val="en-US" w:bidi="en-US"/>
        </w:rPr>
        <w:t>ru</w:t>
      </w:r>
      <w:r>
        <w:rPr>
          <w:rFonts w:eastAsia="Arial Unicode MS" w:cs="Times New Roman" w:ascii="Times New Roman" w:hAnsi="Times New Roman"/>
          <w:color w:val="000000"/>
          <w:sz w:val="24"/>
          <w:szCs w:val="24"/>
          <w:lang w:bidi="en-US"/>
        </w:rPr>
        <w:t>/</w:t>
      </w:r>
      <w:r>
        <w:rPr>
          <w:rFonts w:eastAsia="Arial Unicode MS" w:cs="Times New Roman" w:ascii="Times New Roman" w:hAnsi="Times New Roman"/>
          <w:color w:val="000000"/>
          <w:sz w:val="24"/>
          <w:szCs w:val="24"/>
          <w:lang w:val="en-US" w:bidi="en-US"/>
        </w:rPr>
        <w:t>node</w:t>
      </w:r>
      <w:r>
        <w:rPr>
          <w:rFonts w:eastAsia="Arial Unicode MS" w:cs="Times New Roman" w:ascii="Times New Roman" w:hAnsi="Times New Roman"/>
          <w:color w:val="000000"/>
          <w:sz w:val="24"/>
          <w:szCs w:val="24"/>
          <w:lang w:bidi="en-US"/>
        </w:rPr>
        <w:t>/14766.</w:t>
      </w:r>
    </w:p>
    <w:p>
      <w:pPr>
        <w:pStyle w:val="Normal"/>
        <w:widowControl w:val="false"/>
        <w:spacing w:lineRule="auto" w:line="240" w:before="0" w:after="0"/>
        <w:ind w:left="640" w:hanging="640"/>
        <w:jc w:val="both"/>
        <w:rPr>
          <w:rFonts w:ascii="Times New Roman" w:hAnsi="Times New Roman" w:eastAsia="Arial Unicode MS" w:cs="Times New Roman"/>
          <w:color w:val="000000"/>
          <w:sz w:val="24"/>
          <w:szCs w:val="24"/>
          <w:lang w:bidi="en-US"/>
        </w:rPr>
      </w:pPr>
      <w:r>
        <w:rPr>
          <w:rFonts w:eastAsia="Arial Unicode MS" w:cs="Times New Roman" w:ascii="Times New Roman" w:hAnsi="Times New Roman"/>
          <w:color w:val="000000"/>
          <w:sz w:val="24"/>
          <w:szCs w:val="24"/>
          <w:lang w:bidi="en-US"/>
        </w:rPr>
        <w:t>[2]</w:t>
        <w:tab/>
        <w:t xml:space="preserve">Энергетическая стратегия Российской Федерации на период до 2035 года. </w:t>
      </w:r>
      <w:r>
        <w:rPr>
          <w:rFonts w:eastAsia="Arial Unicode MS" w:cs="Times New Roman" w:ascii="Times New Roman" w:hAnsi="Times New Roman"/>
          <w:color w:val="000000"/>
          <w:sz w:val="24"/>
          <w:szCs w:val="24"/>
          <w:lang w:val="en-US" w:bidi="en-US"/>
        </w:rPr>
        <w:t>https</w:t>
      </w:r>
      <w:r>
        <w:rPr>
          <w:rFonts w:eastAsia="Arial Unicode MS" w:cs="Times New Roman" w:ascii="Times New Roman" w:hAnsi="Times New Roman"/>
          <w:color w:val="000000"/>
          <w:sz w:val="24"/>
          <w:szCs w:val="24"/>
          <w:lang w:bidi="en-US"/>
        </w:rPr>
        <w:t>://</w:t>
      </w:r>
      <w:r>
        <w:rPr>
          <w:rFonts w:eastAsia="Arial Unicode MS" w:cs="Times New Roman" w:ascii="Times New Roman" w:hAnsi="Times New Roman"/>
          <w:color w:val="000000"/>
          <w:sz w:val="24"/>
          <w:szCs w:val="24"/>
          <w:lang w:val="en-US" w:bidi="en-US"/>
        </w:rPr>
        <w:t>minenergo</w:t>
      </w:r>
      <w:r>
        <w:rPr>
          <w:rFonts w:eastAsia="Arial Unicode MS" w:cs="Times New Roman" w:ascii="Times New Roman" w:hAnsi="Times New Roman"/>
          <w:color w:val="000000"/>
          <w:sz w:val="24"/>
          <w:szCs w:val="24"/>
          <w:lang w:bidi="en-US"/>
        </w:rPr>
        <w:t>.</w:t>
      </w:r>
      <w:r>
        <w:rPr>
          <w:rFonts w:eastAsia="Arial Unicode MS" w:cs="Times New Roman" w:ascii="Times New Roman" w:hAnsi="Times New Roman"/>
          <w:color w:val="000000"/>
          <w:sz w:val="24"/>
          <w:szCs w:val="24"/>
          <w:lang w:val="en-US" w:bidi="en-US"/>
        </w:rPr>
        <w:t>gov</w:t>
      </w:r>
      <w:r>
        <w:rPr>
          <w:rFonts w:eastAsia="Arial Unicode MS" w:cs="Times New Roman" w:ascii="Times New Roman" w:hAnsi="Times New Roman"/>
          <w:color w:val="000000"/>
          <w:sz w:val="24"/>
          <w:szCs w:val="24"/>
          <w:lang w:bidi="en-US"/>
        </w:rPr>
        <w:t>.</w:t>
      </w:r>
      <w:r>
        <w:rPr>
          <w:rFonts w:eastAsia="Arial Unicode MS" w:cs="Times New Roman" w:ascii="Times New Roman" w:hAnsi="Times New Roman"/>
          <w:color w:val="000000"/>
          <w:sz w:val="24"/>
          <w:szCs w:val="24"/>
          <w:lang w:val="en-US" w:bidi="en-US"/>
        </w:rPr>
        <w:t>ru</w:t>
      </w:r>
      <w:r>
        <w:rPr>
          <w:rFonts w:eastAsia="Arial Unicode MS" w:cs="Times New Roman" w:ascii="Times New Roman" w:hAnsi="Times New Roman"/>
          <w:color w:val="000000"/>
          <w:sz w:val="24"/>
          <w:szCs w:val="24"/>
          <w:lang w:bidi="en-US"/>
        </w:rPr>
        <w:t>/</w:t>
      </w:r>
      <w:r>
        <w:rPr>
          <w:rFonts w:eastAsia="Arial Unicode MS" w:cs="Times New Roman" w:ascii="Times New Roman" w:hAnsi="Times New Roman"/>
          <w:color w:val="000000"/>
          <w:sz w:val="24"/>
          <w:szCs w:val="24"/>
          <w:lang w:val="en-US" w:bidi="en-US"/>
        </w:rPr>
        <w:t>node</w:t>
      </w:r>
      <w:r>
        <w:rPr>
          <w:rFonts w:eastAsia="Arial Unicode MS" w:cs="Times New Roman" w:ascii="Times New Roman" w:hAnsi="Times New Roman"/>
          <w:color w:val="000000"/>
          <w:sz w:val="24"/>
          <w:szCs w:val="24"/>
          <w:lang w:bidi="en-US"/>
        </w:rPr>
        <w:t>/1026.</w:t>
      </w:r>
    </w:p>
    <w:p>
      <w:pPr>
        <w:pStyle w:val="Normal"/>
        <w:widowControl w:val="false"/>
        <w:spacing w:lineRule="auto" w:line="240" w:before="0" w:after="0"/>
        <w:ind w:left="640" w:hanging="640"/>
        <w:jc w:val="both"/>
        <w:rPr>
          <w:rFonts w:ascii="Times New Roman" w:hAnsi="Times New Roman" w:eastAsia="Arial Unicode MS" w:cs="Times New Roman"/>
          <w:color w:val="000000"/>
          <w:sz w:val="24"/>
          <w:szCs w:val="24"/>
          <w:lang w:val="en-US" w:bidi="en-US"/>
        </w:rPr>
      </w:pPr>
      <w:r>
        <w:rPr>
          <w:rFonts w:eastAsia="Arial Unicode MS" w:cs="Times New Roman" w:ascii="Times New Roman" w:hAnsi="Times New Roman"/>
          <w:color w:val="000000"/>
          <w:sz w:val="24"/>
          <w:szCs w:val="24"/>
          <w:lang w:val="en-US" w:bidi="en-US"/>
        </w:rPr>
        <w:t>[3]</w:t>
        <w:tab/>
        <w:t>BP, Statistical Review of World Energy globally consistent data on world energy markets ., (2020) 66. https://www.bp.com/content/dam/bp/business-sites/en/global/corporate/pdfs/energy-economics/statistical-review/bp-stats-review-2020-full-report.pdf.</w:t>
      </w:r>
    </w:p>
    <w:p>
      <w:pPr>
        <w:pStyle w:val="Normal"/>
        <w:widowControl w:val="false"/>
        <w:spacing w:lineRule="auto" w:line="240" w:before="0" w:after="0"/>
        <w:ind w:left="640" w:hanging="640"/>
        <w:jc w:val="both"/>
        <w:rPr>
          <w:rFonts w:ascii="Times New Roman" w:hAnsi="Times New Roman" w:eastAsia="Arial Unicode MS" w:cs="Times New Roman"/>
          <w:color w:val="000000"/>
          <w:sz w:val="24"/>
          <w:szCs w:val="24"/>
          <w:lang w:val="en-US" w:bidi="en-US"/>
        </w:rPr>
      </w:pPr>
      <w:r>
        <w:rPr>
          <w:rFonts w:eastAsia="Arial Unicode MS" w:cs="Times New Roman" w:ascii="Times New Roman" w:hAnsi="Times New Roman"/>
          <w:color w:val="000000"/>
          <w:sz w:val="24"/>
          <w:szCs w:val="24"/>
          <w:lang w:val="en-US" w:bidi="en-US"/>
        </w:rPr>
        <w:t>[4]</w:t>
        <w:tab/>
        <w:t>F.M. Bass, Bass 1969 New Prod Growth Model.pdf, Manage. Sci. 15 (1969) 215–227.</w:t>
      </w:r>
    </w:p>
    <w:p>
      <w:pPr>
        <w:pStyle w:val="Normal"/>
        <w:widowControl w:val="false"/>
        <w:spacing w:lineRule="auto" w:line="240" w:before="0" w:after="0"/>
        <w:ind w:left="640" w:hanging="640"/>
        <w:jc w:val="both"/>
        <w:rPr>
          <w:rFonts w:ascii="Times New Roman" w:hAnsi="Times New Roman" w:eastAsia="Arial Unicode MS" w:cs="Times New Roman"/>
          <w:color w:val="000000"/>
          <w:sz w:val="24"/>
          <w:szCs w:val="24"/>
          <w:lang w:val="en-US" w:bidi="en-US"/>
        </w:rPr>
      </w:pPr>
      <w:r>
        <w:rPr>
          <w:rFonts w:eastAsia="Arial Unicode MS" w:cs="Times New Roman" w:ascii="Times New Roman" w:hAnsi="Times New Roman"/>
          <w:color w:val="000000"/>
          <w:sz w:val="24"/>
          <w:szCs w:val="24"/>
          <w:lang w:val="en-US" w:bidi="en-US"/>
        </w:rPr>
        <w:t>[5]</w:t>
        <w:tab/>
        <w:t>J. Massiani, A. Gohs, The choice of Bass model coefficients to forecast diffusion for innovative products: An empirical investigation for new automotive technologies, Res. Transp. Econ. 50 (2015) 17–28. https://doi.org/10.1016/j.retrec.2015.06.003.</w:t>
      </w:r>
    </w:p>
    <w:p>
      <w:pPr>
        <w:pStyle w:val="Normal"/>
        <w:widowControl w:val="false"/>
        <w:spacing w:lineRule="auto" w:line="240" w:before="0" w:after="0"/>
        <w:ind w:left="640" w:hanging="640"/>
        <w:jc w:val="both"/>
        <w:rPr>
          <w:rFonts w:ascii="Times New Roman" w:hAnsi="Times New Roman" w:eastAsia="Arial Unicode MS" w:cs="Times New Roman"/>
          <w:color w:val="000000"/>
          <w:sz w:val="24"/>
          <w:szCs w:val="24"/>
          <w:lang w:val="en-US" w:bidi="en-US"/>
        </w:rPr>
      </w:pPr>
      <w:r>
        <w:rPr>
          <w:rFonts w:eastAsia="Arial Unicode MS" w:cs="Times New Roman" w:ascii="Times New Roman" w:hAnsi="Times New Roman"/>
          <w:color w:val="000000"/>
          <w:sz w:val="24"/>
          <w:szCs w:val="24"/>
          <w:lang w:val="en-US" w:bidi="en-US"/>
        </w:rPr>
        <w:t xml:space="preserve"> </w:t>
      </w:r>
      <w:r>
        <w:rPr>
          <w:rFonts w:eastAsia="Arial Unicode MS" w:cs="Times New Roman" w:ascii="Times New Roman" w:hAnsi="Times New Roman"/>
          <w:color w:val="000000"/>
          <w:sz w:val="24"/>
          <w:szCs w:val="24"/>
          <w:lang w:val="en-US" w:bidi="en-US"/>
        </w:rPr>
        <w:t>[6]</w:t>
        <w:tab/>
        <w:t>K.M.C. Tj, E. Tj, The use of Gompertz models in growth analyses , and new Gompertz-model approach : An addition to the Unified-Richards family, (2017) 1–17.</w:t>
      </w:r>
    </w:p>
    <w:p>
      <w:pPr>
        <w:pStyle w:val="Normal"/>
        <w:widowControl w:val="false"/>
        <w:spacing w:lineRule="auto" w:line="240" w:before="0" w:after="0"/>
        <w:ind w:left="640" w:hanging="640"/>
        <w:jc w:val="both"/>
        <w:rPr>
          <w:rFonts w:ascii="Times New Roman" w:hAnsi="Times New Roman" w:eastAsia="Arial Unicode MS" w:cs="Times New Roman"/>
          <w:color w:val="000000"/>
          <w:sz w:val="24"/>
          <w:szCs w:val="24"/>
          <w:lang w:val="en-US" w:bidi="en-US"/>
        </w:rPr>
      </w:pPr>
      <w:r>
        <w:rPr>
          <w:rFonts w:eastAsia="Arial Unicode MS" w:cs="Times New Roman" w:ascii="Times New Roman" w:hAnsi="Times New Roman"/>
          <w:color w:val="000000"/>
          <w:sz w:val="24"/>
          <w:szCs w:val="24"/>
          <w:lang w:val="en-US" w:bidi="en-US"/>
        </w:rPr>
        <w:t>[7]</w:t>
        <w:tab/>
        <w:t xml:space="preserve">D. Satoh, Discrete Gompertz equation and model selection between Gompertz and logistic models </w:t>
      </w:r>
      <w:r>
        <w:rPr>
          <w:rFonts w:eastAsia="Arial Unicode MS" w:cs="Segoe UI Symbol" w:ascii="Segoe UI Symbol" w:hAnsi="Segoe UI Symbol"/>
          <w:color w:val="000000"/>
          <w:sz w:val="24"/>
          <w:szCs w:val="24"/>
          <w:lang w:val="en-US" w:bidi="en-US"/>
        </w:rPr>
        <w:t>✩</w:t>
      </w:r>
      <w:r>
        <w:rPr>
          <w:rFonts w:eastAsia="Arial Unicode MS" w:cs="Times New Roman" w:ascii="Times New Roman" w:hAnsi="Times New Roman"/>
          <w:color w:val="000000"/>
          <w:sz w:val="24"/>
          <w:szCs w:val="24"/>
          <w:lang w:val="en-US" w:bidi="en-US"/>
        </w:rPr>
        <w:t>, Int. J. Forecast. 37 (2021) 1192–1211. https://doi.org/10.1016/j.ijforecast.2021.01.005.</w:t>
      </w:r>
    </w:p>
    <w:p>
      <w:pPr>
        <w:pStyle w:val="Normal"/>
        <w:widowControl w:val="false"/>
        <w:spacing w:lineRule="auto" w:line="240" w:before="0" w:after="0"/>
        <w:ind w:left="640" w:hanging="640"/>
        <w:jc w:val="both"/>
        <w:rPr>
          <w:rFonts w:ascii="Times New Roman" w:hAnsi="Times New Roman" w:eastAsia="Arial Unicode MS" w:cs="Times New Roman"/>
          <w:color w:val="000000"/>
          <w:sz w:val="24"/>
          <w:szCs w:val="24"/>
          <w:lang w:val="en-US" w:bidi="en-US"/>
        </w:rPr>
      </w:pPr>
      <w:r>
        <w:rPr>
          <w:rFonts w:eastAsia="Arial Unicode MS" w:cs="Times New Roman" w:ascii="Times New Roman" w:hAnsi="Times New Roman"/>
          <w:color w:val="000000"/>
          <w:sz w:val="24"/>
          <w:szCs w:val="24"/>
          <w:lang w:val="en-US" w:bidi="en-US"/>
        </w:rPr>
        <w:t>[8]</w:t>
        <w:tab/>
        <w:t>W.L. Chu, F.S. Wu, K.S. Kao, D.C. Yen, A.M. Bunea, P. Della, M. Guidolin, P. Manfredi, D. Satoh, J.A.M. Valle, P. Barreiro, E.C. Correa, S. Benzekry, C. Lamont, A. Beheshti, A. Tracz, I.P.F.S. De Brito, C.A. Carbonari, E.D. Velini, K.M.C. Tj, E. Tj, Diffusion of mobile telephony: An empirical study in Taiwan, Telecomm. Policy. 33 (2009) 506–520. https://doi.org/10.1016/j.telpol.2009.07.003.</w:t>
      </w:r>
    </w:p>
    <w:p>
      <w:pPr>
        <w:pStyle w:val="Normal"/>
        <w:widowControl w:val="false"/>
        <w:spacing w:lineRule="auto" w:line="240" w:before="0" w:after="0"/>
        <w:ind w:left="640" w:hanging="640"/>
        <w:jc w:val="both"/>
        <w:rPr>
          <w:rFonts w:ascii="Times New Roman" w:hAnsi="Times New Roman" w:eastAsia="Arial Unicode MS" w:cs="Times New Roman"/>
          <w:color w:val="000000"/>
          <w:szCs w:val="24"/>
          <w:lang w:val="en-US" w:bidi="en-US"/>
        </w:rPr>
      </w:pPr>
      <w:r>
        <w:rPr>
          <w:rFonts w:eastAsia="Arial Unicode MS" w:cs="Times New Roman" w:ascii="Times New Roman" w:hAnsi="Times New Roman"/>
          <w:color w:val="000000"/>
          <w:sz w:val="24"/>
          <w:szCs w:val="24"/>
          <w:lang w:val="en-US" w:bidi="en-US"/>
        </w:rPr>
        <w:t>[9]</w:t>
        <w:tab/>
        <w:t>B.A. Hamilton, R. Kar, P.A. Bonnefoy, R.J. Hansman, Dynamics of Implementation of Mitigating Measures to Reduce CO 2 Emissions from Commercial Aviation DYNAMICS OF IMPLEMENTATION OF MITIGATING MEASURES TO REDUCE CO 2 EMISSIONS FROM COMMERCIAL AVIATION MIT International Center for Air Transportation ( ICAT ,</w:t>
      </w:r>
      <w:r>
        <w:rPr>
          <w:rFonts w:eastAsia="Arial Unicode MS" w:cs="Times New Roman" w:ascii="Times New Roman" w:hAnsi="Times New Roman"/>
          <w:color w:val="000000"/>
          <w:szCs w:val="24"/>
          <w:lang w:val="en-US" w:bidi="en-US"/>
        </w:rPr>
        <w:t xml:space="preserve"> (2015).</w:t>
      </w:r>
    </w:p>
    <w:p>
      <w:pPr>
        <w:pStyle w:val="Normal"/>
        <w:spacing w:before="0" w:after="200"/>
        <w:jc w:val="both"/>
        <w:rPr>
          <w:rFonts w:ascii="Times New Roman" w:hAnsi="Times New Roman" w:cs="Times New Roman"/>
          <w:sz w:val="24"/>
          <w:szCs w:val="24"/>
        </w:rPr>
      </w:pPr>
      <w:r>
        <w:rPr>
          <w:rFonts w:ascii="Times New Roman" w:hAnsi="Times New Roman"/>
        </w:rPr>
      </w:r>
      <w:r>
        <w:rPr>
          <w:rFonts w:ascii="Times New Roman" w:hAnsi="Times New Roman"/>
        </w:rPr>
        <w:fldChar w:fldCharType="end"/>
      </w:r>
    </w:p>
    <w:sectPr>
      <w:headerReference w:type="first" r:id="rId16"/>
      <w:footerReference w:type="default" r:id="rId17"/>
      <w:type w:val="nextPage"/>
      <w:pgSz w:w="11906" w:h="16838"/>
      <w:pgMar w:left="1134" w:right="1133" w:gutter="0" w:header="0" w:top="1134" w:footer="907" w:bottom="993"/>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egoe UI 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rFonts w:ascii="Times New Roman" w:hAnsi="Times New Roman"/>
        <w:sz w:val="24"/>
        <w:szCs w:val="24"/>
      </w:rPr>
    </w:pP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3</w:t>
    </w:r>
    <w:r>
      <w:rPr>
        <w:sz w:val="24"/>
        <w:szCs w:val="24"/>
        <w:rFonts w:ascii="Times New Roman" w:hAnsi="Times New Roman"/>
      </w:rPr>
      <w:fldChar w:fldCharType="end"/>
    </w:r>
  </w:p>
  <w:p>
    <w:pPr>
      <w:pStyle w:val="Style27"/>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jc w:val="center"/>
      <w:rPr>
        <w:rFonts w:ascii="Times New Roman" w:hAnsi="Times New Roman"/>
        <w:sz w:val="28"/>
      </w:rPr>
    </w:pPr>
    <w:r>
      <w:rPr>
        <w:rFonts w:ascii="Times New Roman" w:hAnsi="Times New Roman"/>
        <w:sz w:val="28"/>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semiHidden="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16dac"/>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eastAsia="en-US" w:val="ru-RU" w:bidi="ar-SA"/>
    </w:rPr>
  </w:style>
  <w:style w:type="paragraph" w:styleId="2">
    <w:name w:val="Heading 2"/>
    <w:basedOn w:val="Normal"/>
    <w:next w:val="Normal"/>
    <w:link w:val="21"/>
    <w:uiPriority w:val="9"/>
    <w:unhideWhenUsed/>
    <w:qFormat/>
    <w:rsid w:val="00463594"/>
    <w:pPr>
      <w:keepNext w:val="true"/>
      <w:keepLines/>
      <w:spacing w:before="200" w:after="0"/>
      <w:outlineLvl w:val="1"/>
    </w:pPr>
    <w:rPr>
      <w:rFonts w:ascii="Cambria" w:hAnsi="Cambria" w:eastAsia="宋体"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yle13">
    <w:name w:val="Интернет-ссылка"/>
    <w:basedOn w:val="DefaultParagraphFont"/>
    <w:uiPriority w:val="99"/>
    <w:unhideWhenUsed/>
    <w:rPr>
      <w:color w:val="0000FF" w:themeColor="hyperlink"/>
      <w:u w:val="single"/>
    </w:rPr>
  </w:style>
  <w:style w:type="character" w:styleId="Style14" w:customStyle="1">
    <w:name w:val="Верхний колонтитул Знак"/>
    <w:basedOn w:val="DefaultParagraphFont"/>
    <w:uiPriority w:val="99"/>
    <w:qFormat/>
    <w:rPr/>
  </w:style>
  <w:style w:type="character" w:styleId="Style15" w:customStyle="1">
    <w:name w:val="Нижний колонтитул Знак"/>
    <w:basedOn w:val="DefaultParagraphFont"/>
    <w:uiPriority w:val="99"/>
    <w:semiHidden/>
    <w:qFormat/>
    <w:rPr/>
  </w:style>
  <w:style w:type="character" w:styleId="Style16" w:customStyle="1">
    <w:name w:val="Основной текст Знак"/>
    <w:basedOn w:val="DefaultParagraphFont"/>
    <w:qFormat/>
    <w:rsid w:val="00cf7c1b"/>
    <w:rPr>
      <w:rFonts w:ascii="Times New Roman" w:hAnsi="Times New Roman" w:eastAsia="Times New Roman" w:cs="Times New Roman"/>
      <w:sz w:val="28"/>
    </w:rPr>
  </w:style>
  <w:style w:type="character" w:styleId="Style17" w:customStyle="1">
    <w:name w:val="Текст выноски Знак"/>
    <w:basedOn w:val="DefaultParagraphFont"/>
    <w:link w:val="BalloonText"/>
    <w:uiPriority w:val="99"/>
    <w:semiHidden/>
    <w:qFormat/>
    <w:rsid w:val="00647efd"/>
    <w:rPr>
      <w:rFonts w:ascii="Tahoma" w:hAnsi="Tahoma" w:cs="Tahoma"/>
      <w:sz w:val="16"/>
      <w:szCs w:val="16"/>
      <w:lang w:eastAsia="en-US"/>
    </w:rPr>
  </w:style>
  <w:style w:type="character" w:styleId="21" w:customStyle="1">
    <w:name w:val="Заголовок 2 Знак"/>
    <w:basedOn w:val="DefaultParagraphFont"/>
    <w:uiPriority w:val="9"/>
    <w:qFormat/>
    <w:rsid w:val="00463594"/>
    <w:rPr>
      <w:rFonts w:ascii="Cambria" w:hAnsi="Cambria" w:eastAsia="宋体" w:cs="" w:asciiTheme="majorHAnsi" w:cstheme="majorBidi" w:eastAsiaTheme="majorEastAsia" w:hAnsiTheme="majorHAnsi"/>
      <w:b/>
      <w:bCs/>
      <w:color w:val="4F81BD" w:themeColor="accent1"/>
      <w:sz w:val="26"/>
      <w:szCs w:val="26"/>
      <w:lang w:eastAsia="en-US"/>
    </w:rPr>
  </w:style>
  <w:style w:type="character" w:styleId="Style18" w:customStyle="1">
    <w:name w:val="Без интервала Знак"/>
    <w:link w:val="NoSpacing"/>
    <w:uiPriority w:val="1"/>
    <w:qFormat/>
    <w:locked/>
    <w:rsid w:val="00fd59b3"/>
    <w:rPr>
      <w:rFonts w:ascii="Calibri" w:hAnsi="Calibri" w:eastAsia="Times New Roman" w:cs="Times New Roman"/>
      <w:sz w:val="22"/>
      <w:szCs w:val="22"/>
    </w:rPr>
  </w:style>
  <w:style w:type="character" w:styleId="NoSpacingChar" w:customStyle="1">
    <w:name w:val="No Spacing Char"/>
    <w:link w:val="1"/>
    <w:qFormat/>
    <w:locked/>
    <w:rsid w:val="00fd59b3"/>
    <w:rPr>
      <w:rFonts w:ascii="Calibri" w:hAnsi="Calibri" w:eastAsia="Times New Roman" w:cs="Times New Roman"/>
      <w:sz w:val="22"/>
      <w:szCs w:val="22"/>
      <w:lang w:eastAsia="en-US"/>
    </w:rPr>
  </w:style>
  <w:style w:type="character" w:styleId="Jlqj4b" w:customStyle="1">
    <w:name w:val="jlqj4b"/>
    <w:qFormat/>
    <w:rsid w:val="00fd59b3"/>
    <w:rPr/>
  </w:style>
  <w:style w:type="character" w:styleId="Viiyi" w:customStyle="1">
    <w:name w:val="viiyi"/>
    <w:qFormat/>
    <w:rsid w:val="00fd59b3"/>
    <w:rPr/>
  </w:style>
  <w:style w:type="character" w:styleId="Q4iawc" w:customStyle="1">
    <w:name w:val="q4iawc"/>
    <w:qFormat/>
    <w:rsid w:val="00fd59b3"/>
    <w:rPr/>
  </w:style>
  <w:style w:type="character" w:styleId="HTML" w:customStyle="1">
    <w:name w:val="Стандартный HTML Знак"/>
    <w:basedOn w:val="DefaultParagraphFont"/>
    <w:link w:val="HTMLPreformatted"/>
    <w:uiPriority w:val="99"/>
    <w:semiHidden/>
    <w:qFormat/>
    <w:rsid w:val="00066aca"/>
    <w:rPr>
      <w:rFonts w:ascii="Courier New" w:hAnsi="Courier New" w:eastAsia="Times New Roman" w:cs="Courier New"/>
    </w:rPr>
  </w:style>
  <w:style w:type="character" w:styleId="Y2iqfc" w:customStyle="1">
    <w:name w:val="y2iqfc"/>
    <w:basedOn w:val="DefaultParagraphFont"/>
    <w:qFormat/>
    <w:rsid w:val="00066aca"/>
    <w:rPr/>
  </w:style>
  <w:style w:type="character" w:styleId="Strong">
    <w:name w:val="Strong"/>
    <w:basedOn w:val="DefaultParagraphFont"/>
    <w:uiPriority w:val="22"/>
    <w:qFormat/>
    <w:rsid w:val="00257b6a"/>
    <w:rPr>
      <w:b/>
      <w:bCs/>
    </w:rPr>
  </w:style>
  <w:style w:type="character" w:styleId="Style19">
    <w:name w:val="Выделение"/>
    <w:basedOn w:val="DefaultParagraphFont"/>
    <w:uiPriority w:val="20"/>
    <w:qFormat/>
    <w:rsid w:val="00257b6a"/>
    <w:rPr>
      <w:i/>
      <w:iCs/>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link w:val="Style16"/>
    <w:rsid w:val="00cf7c1b"/>
    <w:pPr>
      <w:spacing w:lineRule="auto" w:line="240" w:before="0" w:after="0"/>
    </w:pPr>
    <w:rPr>
      <w:rFonts w:ascii="Times New Roman" w:hAnsi="Times New Roman" w:eastAsia="Times New Roman" w:cs="Times New Roman"/>
      <w:sz w:val="28"/>
      <w:szCs w:val="20"/>
      <w:lang w:eastAsia="ru-RU"/>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lang w:val="zxx" w:eastAsia="zxx" w:bidi="zxx"/>
    </w:rPr>
  </w:style>
  <w:style w:type="paragraph" w:styleId="Style25">
    <w:name w:val="Колонтитул"/>
    <w:basedOn w:val="Normal"/>
    <w:qFormat/>
    <w:pPr/>
    <w:rPr/>
  </w:style>
  <w:style w:type="paragraph" w:styleId="Style26">
    <w:name w:val="Header"/>
    <w:basedOn w:val="Normal"/>
    <w:link w:val="Style14"/>
    <w:uiPriority w:val="99"/>
    <w:unhideWhenUsed/>
    <w:pPr>
      <w:tabs>
        <w:tab w:val="clear" w:pos="708"/>
        <w:tab w:val="center" w:pos="4677" w:leader="none"/>
        <w:tab w:val="right" w:pos="9355" w:leader="none"/>
      </w:tabs>
      <w:spacing w:lineRule="auto" w:line="240" w:before="0" w:after="0"/>
    </w:pPr>
    <w:rPr/>
  </w:style>
  <w:style w:type="paragraph" w:styleId="Style27">
    <w:name w:val="Footer"/>
    <w:basedOn w:val="Normal"/>
    <w:link w:val="Style15"/>
    <w:uiPriority w:val="99"/>
    <w:unhideWhenUsed/>
    <w:qFormat/>
    <w:pPr>
      <w:tabs>
        <w:tab w:val="clear" w:pos="708"/>
        <w:tab w:val="center" w:pos="4677" w:leader="none"/>
        <w:tab w:val="right" w:pos="9355" w:leader="none"/>
      </w:tabs>
      <w:spacing w:lineRule="auto" w:line="240" w:before="0" w:after="0"/>
    </w:pPr>
    <w:rPr/>
  </w:style>
  <w:style w:type="paragraph" w:styleId="NoSpacing">
    <w:name w:val="No Spacing"/>
    <w:link w:val="Style18"/>
    <w:uiPriority w:val="1"/>
    <w:qFormat/>
    <w:rsid w:val="00cf7c1b"/>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ru-RU" w:eastAsia="ru-RU" w:bidi="ar-SA"/>
    </w:rPr>
  </w:style>
  <w:style w:type="paragraph" w:styleId="BalloonText">
    <w:name w:val="Balloon Text"/>
    <w:basedOn w:val="Normal"/>
    <w:link w:val="Style17"/>
    <w:uiPriority w:val="99"/>
    <w:semiHidden/>
    <w:unhideWhenUsed/>
    <w:qFormat/>
    <w:rsid w:val="00647efd"/>
    <w:pPr>
      <w:spacing w:lineRule="auto" w:line="240" w:before="0" w:after="0"/>
    </w:pPr>
    <w:rPr>
      <w:rFonts w:ascii="Tahoma" w:hAnsi="Tahoma" w:cs="Tahoma"/>
      <w:sz w:val="16"/>
      <w:szCs w:val="16"/>
    </w:rPr>
  </w:style>
  <w:style w:type="paragraph" w:styleId="ListParagraph">
    <w:name w:val="List Paragraph"/>
    <w:basedOn w:val="Normal"/>
    <w:uiPriority w:val="34"/>
    <w:qFormat/>
    <w:rsid w:val="00b30d73"/>
    <w:pPr>
      <w:spacing w:before="0" w:after="200"/>
      <w:ind w:left="720" w:hanging="0"/>
      <w:contextualSpacing/>
    </w:pPr>
    <w:rPr/>
  </w:style>
  <w:style w:type="paragraph" w:styleId="1" w:customStyle="1">
    <w:name w:val="Без интервала1"/>
    <w:link w:val="NoSpacingChar"/>
    <w:qFormat/>
    <w:rsid w:val="00fd59b3"/>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eastAsia="en-US" w:val="ru-RU" w:bidi="ar-SA"/>
    </w:rPr>
  </w:style>
  <w:style w:type="paragraph" w:styleId="HTMLPreformatted">
    <w:name w:val="HTML Preformatted"/>
    <w:basedOn w:val="Normal"/>
    <w:link w:val="HTML"/>
    <w:uiPriority w:val="99"/>
    <w:semiHidden/>
    <w:unhideWhenUsed/>
    <w:qFormat/>
    <w:rsid w:val="00066ac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semiHidden/>
    <w:unhideWhenUsed/>
    <w:qFormat/>
    <w:rsid w:val="00257b6a"/>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uiPriority w:val="39"/>
    <w:rsid w:val="001208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vanov@ugtu.net" TargetMode="External"/><Relationship Id="rId3" Type="http://schemas.openxmlformats.org/officeDocument/2006/relationships/hyperlink" Target="mailto:ivanov@ugtu.net" TargetMode="Externa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Wind</c:v>
                </c:pt>
              </c:strCache>
            </c:strRef>
          </c:tx>
          <c:spPr>
            <a:solidFill>
              <a:srgbClr val="4f81bd"/>
            </a:solidFill>
            <a:ln cap="rnd" w="28440">
              <a:solidFill>
                <a:srgbClr val="4f81bd"/>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strCache>
            </c:strRef>
          </c:cat>
          <c:val>
            <c:numRef>
              <c:f>0</c:f>
              <c:numCache>
                <c:formatCode>General</c:formatCode>
                <c:ptCount val="31"/>
                <c:pt idx="0">
                  <c:v>3.63247051589899</c:v>
                </c:pt>
                <c:pt idx="1">
                  <c:v>4.08670667470707</c:v>
                </c:pt>
                <c:pt idx="2">
                  <c:v>4.73321201915152</c:v>
                </c:pt>
                <c:pt idx="3">
                  <c:v>5.69756881939394</c:v>
                </c:pt>
                <c:pt idx="4">
                  <c:v>7.12292984424242</c:v>
                </c:pt>
                <c:pt idx="5">
                  <c:v>8.26192344363636</c:v>
                </c:pt>
                <c:pt idx="6">
                  <c:v>9.20460066059596</c:v>
                </c:pt>
                <c:pt idx="7">
                  <c:v>12.0178164697778</c:v>
                </c:pt>
                <c:pt idx="8">
                  <c:v>15.921260267805</c:v>
                </c:pt>
                <c:pt idx="9">
                  <c:v>21.2161740066094</c:v>
                </c:pt>
                <c:pt idx="10">
                  <c:v>31.4204345641309</c:v>
                </c:pt>
                <c:pt idx="11">
                  <c:v>38.3904519471421</c:v>
                </c:pt>
                <c:pt idx="12">
                  <c:v>52.3307819867071</c:v>
                </c:pt>
                <c:pt idx="13">
                  <c:v>62.9113953016839</c:v>
                </c:pt>
                <c:pt idx="14">
                  <c:v>85.1161924282732</c:v>
                </c:pt>
                <c:pt idx="15">
                  <c:v>104.083879757882</c:v>
                </c:pt>
                <c:pt idx="16">
                  <c:v>132.859216030029</c:v>
                </c:pt>
                <c:pt idx="17">
                  <c:v>170.682620580279</c:v>
                </c:pt>
                <c:pt idx="18">
                  <c:v>220.600045153997</c:v>
                </c:pt>
                <c:pt idx="19">
                  <c:v>276.020526299077</c:v>
                </c:pt>
                <c:pt idx="20">
                  <c:v>346.465021938078</c:v>
                </c:pt>
                <c:pt idx="21">
                  <c:v>440.385091980306</c:v>
                </c:pt>
                <c:pt idx="22">
                  <c:v>530.55442135112</c:v>
                </c:pt>
                <c:pt idx="23">
                  <c:v>635.49205101167</c:v>
                </c:pt>
                <c:pt idx="24">
                  <c:v>705.805860788812</c:v>
                </c:pt>
                <c:pt idx="25">
                  <c:v>831.42968828187</c:v>
                </c:pt>
                <c:pt idx="26">
                  <c:v>962.227395409379</c:v>
                </c:pt>
                <c:pt idx="27">
                  <c:v>1140.31094904253</c:v>
                </c:pt>
                <c:pt idx="28">
                  <c:v>1269.52053571083</c:v>
                </c:pt>
                <c:pt idx="29">
                  <c:v>1418.17004626655</c:v>
                </c:pt>
                <c:pt idx="30">
                  <c:v>1591.2135122193</c:v>
                </c:pt>
              </c:numCache>
            </c:numRef>
          </c:val>
          <c:smooth val="0"/>
        </c:ser>
        <c:ser>
          <c:idx val="1"/>
          <c:order val="1"/>
          <c:tx>
            <c:strRef>
              <c:f>label 1</c:f>
              <c:strCache>
                <c:ptCount val="1"/>
                <c:pt idx="0">
                  <c:v>Total</c:v>
                </c:pt>
              </c:strCache>
            </c:strRef>
          </c:tx>
          <c:spPr>
            <a:solidFill>
              <a:srgbClr val="c0504d"/>
            </a:solidFill>
            <a:ln cap="rnd" w="28440">
              <a:solidFill>
                <a:srgbClr val="c0504d"/>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strCache>
            </c:strRef>
          </c:cat>
          <c:val>
            <c:numRef>
              <c:f>1</c:f>
              <c:numCache>
                <c:formatCode>General</c:formatCode>
                <c:ptCount val="31"/>
                <c:pt idx="0">
                  <c:v>11957.3285594717</c:v>
                </c:pt>
                <c:pt idx="1">
                  <c:v>12218.4451795298</c:v>
                </c:pt>
                <c:pt idx="2">
                  <c:v>12329.7935791544</c:v>
                </c:pt>
                <c:pt idx="3">
                  <c:v>12591.7216340933</c:v>
                </c:pt>
                <c:pt idx="4">
                  <c:v>12916.590524636</c:v>
                </c:pt>
                <c:pt idx="5">
                  <c:v>13375.2439634053</c:v>
                </c:pt>
                <c:pt idx="6">
                  <c:v>13789.2495277064</c:v>
                </c:pt>
                <c:pt idx="7">
                  <c:v>14120.5171345097</c:v>
                </c:pt>
                <c:pt idx="8">
                  <c:v>14502.9192434368</c:v>
                </c:pt>
                <c:pt idx="9">
                  <c:v>14917.7637553936</c:v>
                </c:pt>
                <c:pt idx="10">
                  <c:v>15555.5482906317</c:v>
                </c:pt>
                <c:pt idx="11">
                  <c:v>15788.8606107222</c:v>
                </c:pt>
                <c:pt idx="12">
                  <c:v>16345.4843195876</c:v>
                </c:pt>
                <c:pt idx="13">
                  <c:v>16924.0184060025</c:v>
                </c:pt>
                <c:pt idx="14">
                  <c:v>17726.7475122076</c:v>
                </c:pt>
                <c:pt idx="15">
                  <c:v>18454.1188104507</c:v>
                </c:pt>
                <c:pt idx="16">
                  <c:v>19155.2911176488</c:v>
                </c:pt>
                <c:pt idx="17">
                  <c:v>20045.9829957051</c:v>
                </c:pt>
                <c:pt idx="18">
                  <c:v>20421.6373537822</c:v>
                </c:pt>
                <c:pt idx="19">
                  <c:v>20264.8910596485</c:v>
                </c:pt>
                <c:pt idx="20">
                  <c:v>21570.6888619834</c:v>
                </c:pt>
                <c:pt idx="21">
                  <c:v>22256.9952443638</c:v>
                </c:pt>
                <c:pt idx="22">
                  <c:v>22806.2764799403</c:v>
                </c:pt>
                <c:pt idx="23">
                  <c:v>23435.2382123808</c:v>
                </c:pt>
                <c:pt idx="24">
                  <c:v>24031.7070496167</c:v>
                </c:pt>
                <c:pt idx="25">
                  <c:v>24270.5009409496</c:v>
                </c:pt>
                <c:pt idx="26">
                  <c:v>24915.1871081891</c:v>
                </c:pt>
                <c:pt idx="27">
                  <c:v>25623.8922507835</c:v>
                </c:pt>
                <c:pt idx="28">
                  <c:v>26659.1362380924</c:v>
                </c:pt>
                <c:pt idx="29">
                  <c:v>27000.9508509267</c:v>
                </c:pt>
                <c:pt idx="30">
                  <c:v>26823.2483500223</c:v>
                </c:pt>
              </c:numCache>
            </c:numRef>
          </c:val>
          <c:smooth val="0"/>
        </c:ser>
        <c:hiLowLines>
          <c:spPr>
            <a:ln w="0">
              <a:noFill/>
            </a:ln>
          </c:spPr>
        </c:hiLowLines>
        <c:marker val="0"/>
        <c:axId val="20728258"/>
        <c:axId val="86528083"/>
      </c:lineChart>
      <c:catAx>
        <c:axId val="20728258"/>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6528083"/>
        <c:crosses val="autoZero"/>
        <c:auto val="1"/>
        <c:lblAlgn val="ctr"/>
        <c:lblOffset val="100"/>
        <c:noMultiLvlLbl val="0"/>
      </c:catAx>
      <c:valAx>
        <c:axId val="86528083"/>
        <c:scaling>
          <c:orientation val="minMax"/>
        </c:scaling>
        <c:delete val="0"/>
        <c:axPos val="l"/>
        <c:majorGridlines>
          <c:spPr>
            <a:ln w="9360">
              <a:solidFill>
                <a:srgbClr val="d9d9d9"/>
              </a:solidFill>
              <a:round/>
            </a:ln>
          </c:spPr>
        </c:majorGridlines>
        <c:numFmt formatCode="[&gt;0.05]0.0;[=0]\-;\^"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20728258"/>
        <c:crosses val="autoZero"/>
        <c:crossBetween val="between"/>
      </c:valAx>
      <c:spPr>
        <a:noFill/>
        <a:ln w="0">
          <a:noFill/>
        </a:ln>
      </c:spPr>
    </c:plotArea>
    <c:legend>
      <c:legendPos val="r"/>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ineChart>
        <c:grouping val="standard"/>
        <c:varyColors val="0"/>
        <c:ser>
          <c:idx val="0"/>
          <c:order val="0"/>
          <c:tx>
            <c:strRef>
              <c:f>label 0</c:f>
              <c:strCache>
                <c:ptCount val="1"/>
                <c:pt idx="0">
                  <c:v>Ряд1</c:v>
                </c:pt>
              </c:strCache>
            </c:strRef>
          </c:tx>
          <c:spPr>
            <a:solidFill>
              <a:srgbClr val="4f81bd"/>
            </a:solidFill>
            <a:ln cap="rnd" w="28440">
              <a:solidFill>
                <a:srgbClr val="4f81bd"/>
              </a:solidFill>
              <a:round/>
            </a:ln>
          </c:spPr>
          <c:marker>
            <c:symbol val="none"/>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strCache>
            </c:strRef>
          </c:cat>
          <c:val>
            <c:numRef>
              <c:f>0</c:f>
              <c:numCache>
                <c:formatCode>General</c:formatCode>
                <c:ptCount val="31"/>
                <c:pt idx="0">
                  <c:v>3.63247051589899</c:v>
                </c:pt>
                <c:pt idx="1">
                  <c:v>4.08670667470707</c:v>
                </c:pt>
                <c:pt idx="2">
                  <c:v>4.73321201915152</c:v>
                </c:pt>
                <c:pt idx="3">
                  <c:v>5.69756881939394</c:v>
                </c:pt>
                <c:pt idx="4">
                  <c:v>7.12292984424242</c:v>
                </c:pt>
                <c:pt idx="5">
                  <c:v>8.26192344363636</c:v>
                </c:pt>
                <c:pt idx="6">
                  <c:v>9.20460066059596</c:v>
                </c:pt>
                <c:pt idx="7">
                  <c:v>12.0178164697778</c:v>
                </c:pt>
                <c:pt idx="8">
                  <c:v>15.921260267805</c:v>
                </c:pt>
                <c:pt idx="9">
                  <c:v>21.2161740066094</c:v>
                </c:pt>
                <c:pt idx="10">
                  <c:v>31.4204345641309</c:v>
                </c:pt>
                <c:pt idx="11">
                  <c:v>38.3904519471421</c:v>
                </c:pt>
                <c:pt idx="12">
                  <c:v>52.3307819867071</c:v>
                </c:pt>
                <c:pt idx="13">
                  <c:v>62.9113953016839</c:v>
                </c:pt>
                <c:pt idx="14">
                  <c:v>85.1161924282732</c:v>
                </c:pt>
                <c:pt idx="15">
                  <c:v>104.083879757882</c:v>
                </c:pt>
                <c:pt idx="16">
                  <c:v>132.859216030029</c:v>
                </c:pt>
                <c:pt idx="17">
                  <c:v>170.682620580279</c:v>
                </c:pt>
                <c:pt idx="18">
                  <c:v>220.600045153997</c:v>
                </c:pt>
                <c:pt idx="19">
                  <c:v>276.020526299077</c:v>
                </c:pt>
                <c:pt idx="20">
                  <c:v>346.465021938078</c:v>
                </c:pt>
                <c:pt idx="21">
                  <c:v>440.385091980306</c:v>
                </c:pt>
                <c:pt idx="22">
                  <c:v>530.55442135112</c:v>
                </c:pt>
                <c:pt idx="23">
                  <c:v>635.49205101167</c:v>
                </c:pt>
                <c:pt idx="24">
                  <c:v>705.805860788812</c:v>
                </c:pt>
                <c:pt idx="25">
                  <c:v>831.42968828187</c:v>
                </c:pt>
                <c:pt idx="26">
                  <c:v>962.227395409379</c:v>
                </c:pt>
                <c:pt idx="27">
                  <c:v>1140.31094904253</c:v>
                </c:pt>
                <c:pt idx="28">
                  <c:v>1269.52053571083</c:v>
                </c:pt>
                <c:pt idx="29">
                  <c:v>1418.17004626655</c:v>
                </c:pt>
                <c:pt idx="30">
                  <c:v>1591.2135122193</c:v>
                </c:pt>
              </c:numCache>
            </c:numRef>
          </c:val>
          <c:smooth val="0"/>
        </c:ser>
        <c:hiLowLines>
          <c:spPr>
            <a:ln w="0">
              <a:noFill/>
            </a:ln>
          </c:spPr>
        </c:hiLowLines>
        <c:marker val="0"/>
        <c:axId val="25718054"/>
        <c:axId val="50051909"/>
      </c:lineChart>
      <c:catAx>
        <c:axId val="2571805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0051909"/>
        <c:crosses val="autoZero"/>
        <c:auto val="1"/>
        <c:lblAlgn val="ctr"/>
        <c:lblOffset val="100"/>
        <c:noMultiLvlLbl val="0"/>
      </c:catAx>
      <c:valAx>
        <c:axId val="50051909"/>
        <c:scaling>
          <c:orientation val="minMax"/>
        </c:scaling>
        <c:delete val="0"/>
        <c:axPos val="l"/>
        <c:majorGridlines>
          <c:spPr>
            <a:ln w="9360">
              <a:solidFill>
                <a:srgbClr val="d9d9d9"/>
              </a:solidFill>
              <a:round/>
            </a:ln>
          </c:spPr>
        </c:majorGridlines>
        <c:numFmt formatCode="[&gt;0.05]0.0;[=0]\-;\^"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25718054"/>
        <c:crosses val="autoZero"/>
        <c:crossBetween val="between"/>
      </c:valAx>
      <c:spPr>
        <a:noFill/>
        <a:ln w="0">
          <a:noFill/>
        </a:ln>
      </c:spPr>
    </c:plotArea>
    <c:plotVisOnly val="1"/>
    <c:dispBlanksAs val="gap"/>
  </c:chart>
  <c:spPr>
    <a:solidFill>
      <a:srgbClr val="ffffff"/>
    </a:solidFill>
    <a:ln w="9360">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4210ED0-F713-463A-A2BD-8D5679E54E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Application>LibreOffice/7.3.7.2$Linux_X86_64 LibreOffice_project/30$Build-2</Application>
  <AppVersion>15.0000</AppVersion>
  <Pages>5</Pages>
  <Words>1145</Words>
  <Characters>7765</Characters>
  <CharactersWithSpaces>8831</CharactersWithSpaces>
  <Paragraphs>98</Paragraphs>
  <Company>угту</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2021-10-26T09:02:00Z</dcterms:created>
  <dc:creator>Чесноков Валерий Павлович</dc:creator>
  <dc:description/>
  <dc:language>ru-RU</dc:language>
  <cp:lastModifiedBy/>
  <cp:lastPrinted>2022-11-21T10:14:00Z</cp:lastPrinted>
  <dcterms:modified xsi:type="dcterms:W3CDTF">2022-11-24T06:12:52Z</dcterms:modified>
  <cp:revision>322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