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18" w:rsidRPr="00612E18" w:rsidRDefault="00612E18" w:rsidP="00612E18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color w:val="2197D2"/>
          <w:szCs w:val="16"/>
          <w:lang w:val="en-US"/>
        </w:rPr>
      </w:pPr>
      <w:r w:rsidRPr="00612E18">
        <w:rPr>
          <w:rFonts w:ascii="AdvOT863180fb" w:hAnsi="AdvOT863180fb" w:cs="AdvOT863180fb"/>
          <w:color w:val="000000"/>
          <w:szCs w:val="16"/>
          <w:lang w:val="en-US"/>
        </w:rPr>
        <w:t>In addition to the above factors, the technology diffusion process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is usually the key factor affecting the development of wind power.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The technology diffusion model is a </w:t>
      </w:r>
      <w:proofErr w:type="gramStart"/>
      <w:r w:rsidRPr="00612E18">
        <w:rPr>
          <w:rFonts w:ascii="AdvOT863180fb" w:hAnsi="AdvOT863180fb" w:cs="AdvOT863180fb"/>
          <w:color w:val="000000"/>
          <w:szCs w:val="16"/>
          <w:lang w:val="en-US"/>
        </w:rPr>
        <w:t>generally-accepted</w:t>
      </w:r>
      <w:proofErr w:type="gramEnd"/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 approach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for studying the effects of technological progress on promoting new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technology applications, especially when analyzing the impacts of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different types of technology on product growth in their early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stages (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Guidolin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and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Mortarino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>, 2010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). The development of the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technology diffusion model began in the 1960s.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Fourt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and</w:t>
      </w:r>
    </w:p>
    <w:p w:rsidR="00612E18" w:rsidRPr="00612E18" w:rsidRDefault="00612E18" w:rsidP="00612E18">
      <w:pPr>
        <w:autoSpaceDE w:val="0"/>
        <w:autoSpaceDN w:val="0"/>
        <w:adjustRightInd w:val="0"/>
        <w:spacing w:after="0" w:line="240" w:lineRule="auto"/>
        <w:rPr>
          <w:rFonts w:ascii="AdvOT863180fb" w:hAnsi="AdvOT863180fb" w:cs="AdvOT863180fb"/>
          <w:color w:val="000000"/>
          <w:szCs w:val="16"/>
          <w:lang w:val="en-US"/>
        </w:rPr>
      </w:pP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Woodlock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(1960), Bass (1969)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propose the use of an S-shaped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curve to </w:t>
      </w:r>
      <w:r w:rsidRPr="00612E18">
        <w:rPr>
          <w:rFonts w:ascii="AdvOT863180fb+fb" w:hAnsi="AdvOT863180fb+fb" w:cs="AdvOT863180fb+fb"/>
          <w:color w:val="000000"/>
          <w:szCs w:val="16"/>
          <w:lang w:val="en-US"/>
        </w:rPr>
        <w:t>fi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t the diffusion of new technologies or products in markets.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The universal S-curve is employed by the logistic, </w:t>
      </w:r>
      <w:proofErr w:type="spellStart"/>
      <w:r w:rsidRPr="00612E18">
        <w:rPr>
          <w:rFonts w:ascii="AdvOT863180fb" w:hAnsi="AdvOT863180fb" w:cs="AdvOT863180fb"/>
          <w:color w:val="000000"/>
          <w:szCs w:val="16"/>
          <w:lang w:val="en-US"/>
        </w:rPr>
        <w:t>Gompertz</w:t>
      </w:r>
      <w:proofErr w:type="spellEnd"/>
    </w:p>
    <w:p w:rsidR="00164DC4" w:rsidRPr="00612E18" w:rsidRDefault="00612E18" w:rsidP="00612E18">
      <w:pPr>
        <w:autoSpaceDE w:val="0"/>
        <w:autoSpaceDN w:val="0"/>
        <w:adjustRightInd w:val="0"/>
        <w:spacing w:after="0" w:line="240" w:lineRule="auto"/>
        <w:rPr>
          <w:sz w:val="32"/>
          <w:lang w:val="en-US"/>
        </w:rPr>
      </w:pPr>
      <w:proofErr w:type="gramStart"/>
      <w:r w:rsidRPr="00612E18">
        <w:rPr>
          <w:rFonts w:ascii="AdvOT863180fb" w:hAnsi="AdvOT863180fb" w:cs="AdvOT863180fb"/>
          <w:color w:val="000000"/>
          <w:szCs w:val="16"/>
          <w:lang w:val="en-US"/>
        </w:rPr>
        <w:t>model</w:t>
      </w:r>
      <w:proofErr w:type="gramEnd"/>
      <w:r w:rsidRPr="00612E18">
        <w:rPr>
          <w:rFonts w:ascii="AdvOT863180fb" w:hAnsi="AdvOT863180fb" w:cs="AdvOT863180fb"/>
          <w:color w:val="000000"/>
          <w:szCs w:val="16"/>
          <w:lang w:val="en-US"/>
        </w:rPr>
        <w:t>, and Bass model (BM) of diffusion (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Dalla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Valle and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Furlan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>,</w:t>
      </w:r>
      <w:r>
        <w:rPr>
          <w:rFonts w:ascii="AdvOT863180fb" w:hAnsi="AdvOT863180fb" w:cs="AdvOT863180fb"/>
          <w:color w:val="2197D2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2197D2"/>
          <w:szCs w:val="16"/>
          <w:lang w:val="en-US"/>
        </w:rPr>
        <w:t>2011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). Then </w:t>
      </w:r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Bass et al. (1994)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propose Generalized Bass Model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(GBM), which is the generalization of BM. In previous studies, the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logistic model, </w:t>
      </w:r>
      <w:proofErr w:type="spellStart"/>
      <w:r w:rsidRPr="00612E18">
        <w:rPr>
          <w:rFonts w:ascii="AdvOT863180fb" w:hAnsi="AdvOT863180fb" w:cs="AdvOT863180fb"/>
          <w:color w:val="000000"/>
          <w:szCs w:val="16"/>
          <w:lang w:val="en-US"/>
        </w:rPr>
        <w:t>Gompertz</w:t>
      </w:r>
      <w:proofErr w:type="spellEnd"/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 model, BM and GBM have been popular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approaches for analyzing the diffusion of wind power technology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from a national or regional perspective (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Dalla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Valle and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Furlan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>,</w:t>
      </w:r>
      <w:r>
        <w:rPr>
          <w:rFonts w:ascii="AdvOT863180fb" w:hAnsi="AdvOT863180fb" w:cs="AdvOT863180fb"/>
          <w:color w:val="2197D2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2011;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Guseo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and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Guidolin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, 2009;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Usha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Rao and Kishore, 2010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).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Dalla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Valle and </w:t>
      </w:r>
      <w:proofErr w:type="spellStart"/>
      <w:r w:rsidRPr="00612E18">
        <w:rPr>
          <w:rFonts w:ascii="AdvOT863180fb" w:hAnsi="AdvOT863180fb" w:cs="AdvOT863180fb"/>
          <w:color w:val="2197D2"/>
          <w:szCs w:val="16"/>
          <w:lang w:val="en-US"/>
        </w:rPr>
        <w:t>Furlan</w:t>
      </w:r>
      <w:proofErr w:type="spellEnd"/>
      <w:r w:rsidRPr="00612E18">
        <w:rPr>
          <w:rFonts w:ascii="AdvOT863180fb" w:hAnsi="AdvOT863180fb" w:cs="AdvOT863180fb"/>
          <w:color w:val="2197D2"/>
          <w:szCs w:val="16"/>
          <w:lang w:val="en-US"/>
        </w:rPr>
        <w:t xml:space="preserve"> (2011)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compare four diffusion models to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>study the spread of wind power technology, i.e., the GBM, BM, logistic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model, and </w:t>
      </w:r>
      <w:proofErr w:type="spellStart"/>
      <w:r w:rsidRPr="00612E18">
        <w:rPr>
          <w:rFonts w:ascii="AdvOT863180fb" w:hAnsi="AdvOT863180fb" w:cs="AdvOT863180fb"/>
          <w:color w:val="000000"/>
          <w:szCs w:val="16"/>
          <w:lang w:val="en-US"/>
        </w:rPr>
        <w:t>Gompertz</w:t>
      </w:r>
      <w:proofErr w:type="spellEnd"/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 model, and it shows that the GBM</w:t>
      </w:r>
      <w:r>
        <w:rPr>
          <w:rFonts w:ascii="AdvOT863180fb" w:hAnsi="AdvOT863180fb" w:cs="AdvOT863180fb"/>
          <w:color w:val="000000"/>
          <w:szCs w:val="16"/>
          <w:lang w:val="en-US"/>
        </w:rPr>
        <w:t xml:space="preserve"> </w:t>
      </w:r>
      <w:bookmarkStart w:id="0" w:name="_GoBack"/>
      <w:bookmarkEnd w:id="0"/>
      <w:r w:rsidRPr="00612E18">
        <w:rPr>
          <w:rFonts w:ascii="AdvOT863180fb" w:hAnsi="AdvOT863180fb" w:cs="AdvOT863180fb"/>
          <w:color w:val="000000"/>
          <w:szCs w:val="16"/>
          <w:lang w:val="en-US"/>
        </w:rPr>
        <w:t xml:space="preserve">model predict </w:t>
      </w:r>
      <w:proofErr w:type="gramStart"/>
      <w:r w:rsidRPr="00612E18">
        <w:rPr>
          <w:rFonts w:ascii="AdvOT863180fb" w:hAnsi="AdvOT863180fb" w:cs="AdvOT863180fb"/>
          <w:color w:val="000000"/>
          <w:szCs w:val="16"/>
          <w:lang w:val="en-US"/>
        </w:rPr>
        <w:t>more accurate results</w:t>
      </w:r>
      <w:proofErr w:type="gramEnd"/>
      <w:r w:rsidRPr="00612E18">
        <w:rPr>
          <w:rFonts w:ascii="AdvOT863180fb" w:hAnsi="AdvOT863180fb" w:cs="AdvOT863180fb"/>
          <w:color w:val="000000"/>
          <w:szCs w:val="16"/>
          <w:lang w:val="en-US"/>
        </w:rPr>
        <w:t>.</w:t>
      </w:r>
    </w:p>
    <w:sectPr w:rsidR="00164DC4" w:rsidRPr="00612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vOT863180f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863180fb+fb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18"/>
    <w:rsid w:val="00164DC4"/>
    <w:rsid w:val="00612E18"/>
    <w:rsid w:val="00E1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7BEB"/>
  <w15:chartTrackingRefBased/>
  <w15:docId w15:val="{196AD73A-226E-46C9-A772-E7F31423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APG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2022-08-08T15:47:00Z</dcterms:created>
  <dcterms:modified xsi:type="dcterms:W3CDTF">2022-08-09T04:41:00Z</dcterms:modified>
</cp:coreProperties>
</file>