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DAB" w:rsidRPr="001C41DD" w:rsidRDefault="002C0DAB" w:rsidP="002C0DAB">
      <w:pPr>
        <w:widowControl/>
        <w:spacing w:after="160" w:line="259" w:lineRule="auto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2</w:t>
      </w:r>
      <w:r w:rsidRPr="001C41DD">
        <w:rPr>
          <w:rFonts w:ascii="Times New Roman" w:hAnsi="Times New Roman" w:cs="Times New Roman"/>
          <w:b/>
          <w:sz w:val="22"/>
        </w:rPr>
        <w:t xml:space="preserve">. </w:t>
      </w:r>
      <w:r>
        <w:rPr>
          <w:rFonts w:ascii="Times New Roman" w:hAnsi="Times New Roman" w:cs="Times New Roman"/>
          <w:b/>
          <w:sz w:val="22"/>
        </w:rPr>
        <w:t>RESULTS</w:t>
      </w:r>
    </w:p>
    <w:p w:rsidR="002C0DAB" w:rsidRPr="00971CE9" w:rsidRDefault="002C0DAB" w:rsidP="002C0DAB">
      <w:pPr>
        <w:widowControl/>
        <w:spacing w:after="160"/>
        <w:jc w:val="both"/>
        <w:rPr>
          <w:rFonts w:ascii="Times New Roman" w:hAnsi="Times New Roman" w:cs="Times New Roman"/>
          <w:sz w:val="22"/>
          <w:szCs w:val="22"/>
        </w:rPr>
      </w:pPr>
      <w:r w:rsidRPr="005475F8">
        <w:rPr>
          <w:rFonts w:ascii="Times New Roman" w:hAnsi="Times New Roman" w:cs="Times New Roman"/>
          <w:sz w:val="22"/>
          <w:szCs w:val="22"/>
        </w:rPr>
        <w:t xml:space="preserve">All models give excellent results describing the full process for different objects (see Appendix B). For most objects, models describe more than 99% of data variation excepting Canada (0.97-0.96), France (0.98), Germany (0.98-0.97), Argentina (0.99-0.88), and Sweden (0.97) where the values are slightly lower. The “worst” p-value is </w:t>
      </w:r>
      <w:r w:rsidRPr="005475F8">
        <w:rPr>
          <w:rFonts w:ascii="Times New Roman" w:eastAsia="Times New Roman" w:hAnsi="Times New Roman" w:cs="Times New Roman"/>
          <w:sz w:val="22"/>
          <w:szCs w:val="22"/>
          <w:lang w:eastAsia="ru-RU"/>
        </w:rPr>
        <w:t>2.437E-12, which denies any chance to exclude some model from the analysis</w:t>
      </w:r>
      <w:r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on this step </w:t>
      </w:r>
      <w:r w:rsidRPr="005475F8">
        <w:rPr>
          <w:rFonts w:ascii="Times New Roman" w:hAnsi="Times New Roman" w:cs="Times New Roman"/>
          <w:sz w:val="22"/>
          <w:szCs w:val="22"/>
        </w:rPr>
        <w:t>(See picture 7)</w:t>
      </w:r>
      <w:r w:rsidRPr="005475F8">
        <w:rPr>
          <w:rFonts w:ascii="Times New Roman" w:eastAsia="Times New Roman" w:hAnsi="Times New Roman" w:cs="Times New Roman"/>
          <w:sz w:val="22"/>
          <w:szCs w:val="22"/>
          <w:lang w:eastAsia="ru-RU"/>
        </w:rPr>
        <w:t>.</w:t>
      </w:r>
      <w:r w:rsidRPr="005475F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In most cases, the choice between models based on its fitness is </w:t>
      </w:r>
      <w:r>
        <w:rPr>
          <w:rFonts w:ascii="Times New Roman" w:hAnsi="Times New Roman" w:cs="Times New Roman"/>
          <w:sz w:val="22"/>
          <w:szCs w:val="22"/>
        </w:rPr>
        <w:t>equivalent</w:t>
      </w:r>
      <w:r>
        <w:rPr>
          <w:rFonts w:ascii="Times New Roman" w:hAnsi="Times New Roman" w:cs="Times New Roman"/>
          <w:sz w:val="22"/>
          <w:szCs w:val="22"/>
        </w:rPr>
        <w:t xml:space="preserve">, while the prognosis given by those models could be significantly different. For example, the world trend in positive and negative models by 2050 would be </w:t>
      </w:r>
      <w:r w:rsidRPr="002A2F66">
        <w:rPr>
          <w:rFonts w:ascii="Times New Roman" w:hAnsi="Times New Roman" w:cs="Times New Roman"/>
          <w:sz w:val="22"/>
          <w:szCs w:val="22"/>
        </w:rPr>
        <w:t>7392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A2F66">
        <w:rPr>
          <w:rFonts w:ascii="Times New Roman" w:hAnsi="Times New Roman" w:cs="Times New Roman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A2F66">
        <w:rPr>
          <w:rFonts w:ascii="Times New Roman" w:hAnsi="Times New Roman" w:cs="Times New Roman"/>
          <w:sz w:val="22"/>
          <w:szCs w:val="22"/>
        </w:rPr>
        <w:t>2406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TWh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respectively (1591 </w:t>
      </w:r>
      <w:proofErr w:type="spellStart"/>
      <w:r>
        <w:rPr>
          <w:rFonts w:ascii="Times New Roman" w:hAnsi="Times New Roman" w:cs="Times New Roman"/>
          <w:sz w:val="22"/>
          <w:szCs w:val="22"/>
        </w:rPr>
        <w:t>TWh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by the end of 2020).</w:t>
      </w:r>
    </w:p>
    <w:p w:rsidR="002C0DAB" w:rsidRDefault="002C0DAB" w:rsidP="002C0DAB">
      <w:pPr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  <w:lang w:val="ru-RU" w:eastAsia="ru-RU" w:bidi="ar-SA"/>
        </w:rPr>
        <w:drawing>
          <wp:inline distT="0" distB="0" distL="0" distR="0" wp14:anchorId="3C45F7A5" wp14:editId="0B1451E0">
            <wp:extent cx="2990850" cy="2520950"/>
            <wp:effectExtent l="0" t="0" r="0" b="1270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50AD8C27" wp14:editId="2535E524">
            <wp:extent cx="2895600" cy="2520950"/>
            <wp:effectExtent l="0" t="0" r="0" b="1270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C0DAB" w:rsidRDefault="002C0DAB" w:rsidP="002C0DAB">
      <w:pPr>
        <w:widowControl/>
        <w:spacing w:after="160"/>
        <w:jc w:val="center"/>
        <w:rPr>
          <w:rFonts w:ascii="Times New Roman" w:hAnsi="Times New Roman" w:cs="Times New Roman"/>
          <w:sz w:val="22"/>
          <w:szCs w:val="22"/>
        </w:rPr>
      </w:pPr>
      <w:r w:rsidRPr="00AA616C">
        <w:rPr>
          <w:rFonts w:ascii="Times New Roman" w:eastAsia="Times New Roman" w:hAnsi="Times New Roman" w:cs="Times New Roman"/>
          <w:b/>
          <w:color w:val="3A3A3A"/>
          <w:sz w:val="16"/>
          <w:lang w:eastAsia="ru-RU" w:bidi="ar-SA"/>
        </w:rPr>
        <w:t xml:space="preserve">Picture </w:t>
      </w:r>
      <w:r>
        <w:rPr>
          <w:rFonts w:ascii="Times New Roman" w:eastAsia="Times New Roman" w:hAnsi="Times New Roman" w:cs="Times New Roman"/>
          <w:b/>
          <w:color w:val="3A3A3A"/>
          <w:sz w:val="16"/>
          <w:lang w:eastAsia="ru-RU" w:bidi="ar-SA"/>
        </w:rPr>
        <w:t>6. The best and the worst models training result</w:t>
      </w:r>
      <w:r w:rsidRPr="00BD48CC">
        <w:rPr>
          <w:rFonts w:ascii="Times New Roman" w:hAnsi="Times New Roman" w:cs="Times New Roman"/>
          <w:b/>
          <w:sz w:val="16"/>
        </w:rPr>
        <w:t>.</w:t>
      </w:r>
    </w:p>
    <w:p w:rsidR="002C0DAB" w:rsidRDefault="002C0DAB" w:rsidP="002C0DAB">
      <w:pPr>
        <w:widowControl/>
        <w:spacing w:line="259" w:lineRule="auto"/>
        <w:jc w:val="both"/>
        <w:rPr>
          <w:rFonts w:ascii="Times New Roman" w:hAnsi="Times New Roman" w:cs="Times New Roman"/>
          <w:sz w:val="22"/>
          <w:szCs w:val="16"/>
        </w:rPr>
      </w:pPr>
      <w:r>
        <w:rPr>
          <w:rFonts w:ascii="Times New Roman" w:hAnsi="Times New Roman" w:cs="Times New Roman"/>
          <w:sz w:val="22"/>
          <w:szCs w:val="16"/>
        </w:rPr>
        <w:t xml:space="preserve">The results of success analysis for those models (See Appendix C) </w:t>
      </w:r>
      <w:proofErr w:type="gramStart"/>
      <w:r>
        <w:rPr>
          <w:rFonts w:ascii="Times New Roman" w:hAnsi="Times New Roman" w:cs="Times New Roman"/>
          <w:sz w:val="22"/>
          <w:szCs w:val="16"/>
        </w:rPr>
        <w:t>is represented</w:t>
      </w:r>
      <w:proofErr w:type="gramEnd"/>
      <w:r>
        <w:rPr>
          <w:rFonts w:ascii="Times New Roman" w:hAnsi="Times New Roman" w:cs="Times New Roman"/>
          <w:sz w:val="22"/>
          <w:szCs w:val="16"/>
        </w:rPr>
        <w:t xml:space="preserve"> in Table 1.</w:t>
      </w:r>
    </w:p>
    <w:p w:rsidR="002C0DAB" w:rsidRDefault="002C0DAB" w:rsidP="002C0DAB">
      <w:pPr>
        <w:widowControl/>
        <w:spacing w:after="160"/>
        <w:jc w:val="center"/>
        <w:rPr>
          <w:rFonts w:ascii="Times New Roman" w:eastAsia="Times New Roman" w:hAnsi="Times New Roman" w:cs="Times New Roman"/>
          <w:b/>
          <w:color w:val="3A3A3A"/>
          <w:sz w:val="16"/>
          <w:lang w:eastAsia="ru-RU" w:bidi="ar-SA"/>
        </w:rPr>
      </w:pPr>
    </w:p>
    <w:p w:rsidR="002C0DAB" w:rsidRPr="00F211C9" w:rsidRDefault="002C0DAB" w:rsidP="002C0DAB">
      <w:pPr>
        <w:widowControl/>
        <w:spacing w:after="16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3A3A3A"/>
          <w:sz w:val="16"/>
          <w:lang w:eastAsia="ru-RU" w:bidi="ar-SA"/>
        </w:rPr>
        <w:t>Table 1. The models consistency check brief results</w:t>
      </w:r>
      <w:r w:rsidRPr="00BD48CC">
        <w:rPr>
          <w:rFonts w:ascii="Times New Roman" w:hAnsi="Times New Roman" w:cs="Times New Roman"/>
          <w:b/>
          <w:sz w:val="16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1"/>
        <w:gridCol w:w="754"/>
        <w:gridCol w:w="776"/>
        <w:gridCol w:w="854"/>
        <w:gridCol w:w="755"/>
        <w:gridCol w:w="776"/>
        <w:gridCol w:w="854"/>
        <w:gridCol w:w="755"/>
        <w:gridCol w:w="776"/>
        <w:gridCol w:w="854"/>
      </w:tblGrid>
      <w:tr w:rsidR="002C0DAB" w:rsidRPr="00B01FCF" w:rsidTr="00EA7EE9">
        <w:trPr>
          <w:trHeight w:val="300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0DAB" w:rsidRPr="00B01FCF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2C0DAB" w:rsidRPr="00B01FCF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lang w:eastAsia="ru-RU"/>
              </w:rPr>
              <w:t>Logistic Model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2C0DAB" w:rsidRPr="00B01FCF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lang w:eastAsia="ru-RU"/>
              </w:rPr>
              <w:t>Bass Model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2C0DAB" w:rsidRPr="00B01FCF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lang w:eastAsia="ru-RU"/>
              </w:rPr>
            </w:pPr>
            <w:proofErr w:type="spellStart"/>
            <w:r w:rsidRPr="00B01FCF"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lang w:eastAsia="ru-RU"/>
              </w:rPr>
              <w:t>Gompertz</w:t>
            </w:r>
            <w:proofErr w:type="spellEnd"/>
            <w:r w:rsidRPr="00B01FCF">
              <w:rPr>
                <w:rFonts w:ascii="Times New Roman" w:eastAsia="Times New Roman" w:hAnsi="Times New Roman" w:cs="Times New Roman"/>
                <w:b/>
                <w:bCs/>
                <w:i/>
                <w:sz w:val="16"/>
                <w:szCs w:val="16"/>
                <w:lang w:eastAsia="ru-RU"/>
              </w:rPr>
              <w:t xml:space="preserve"> Model</w:t>
            </w:r>
          </w:p>
        </w:tc>
      </w:tr>
      <w:tr w:rsidR="002C0DAB" w:rsidRPr="008A3285" w:rsidTr="00EA7EE9">
        <w:trPr>
          <w:trHeight w:val="264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0DAB" w:rsidRPr="00D87EC0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2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7E6E6" w:themeFill="background2"/>
            <w:vAlign w:val="center"/>
          </w:tcPr>
          <w:p w:rsidR="002C0DAB" w:rsidRPr="00A8518C" w:rsidRDefault="002C0DAB" w:rsidP="00EA7EE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14"/>
                <w:szCs w:val="16"/>
                <w:lang w:eastAsia="ru-RU"/>
              </w:rPr>
              <w:t xml:space="preserve">Basic </w:t>
            </w:r>
            <w:r w:rsidRPr="00A8518C">
              <w:rPr>
                <w:rFonts w:ascii="Times New Roman" w:eastAsia="Times New Roman" w:hAnsi="Times New Roman" w:cs="Times New Roman"/>
                <w:b/>
                <w:i/>
                <w:sz w:val="14"/>
                <w:szCs w:val="16"/>
                <w:lang w:eastAsia="ru-RU"/>
              </w:rPr>
              <w:t>equation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E7E6E6" w:themeFill="background2"/>
            <w:vAlign w:val="center"/>
          </w:tcPr>
          <w:p w:rsidR="002C0DAB" w:rsidRPr="00A8518C" w:rsidRDefault="002C0DAB" w:rsidP="00EA7EE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lang w:eastAsia="ru-RU"/>
              </w:rPr>
            </w:pPr>
            <w:r w:rsidRPr="00A8518C">
              <w:rPr>
                <w:rFonts w:ascii="Times New Roman" w:eastAsia="Times New Roman" w:hAnsi="Times New Roman" w:cs="Times New Roman"/>
                <w:b/>
                <w:i/>
                <w:sz w:val="14"/>
                <w:szCs w:val="16"/>
                <w:lang w:eastAsia="ru-RU"/>
              </w:rPr>
              <w:t>Variable upper limit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</w:tcPr>
          <w:p w:rsidR="002C0DAB" w:rsidRPr="00A8518C" w:rsidRDefault="002C0DAB" w:rsidP="00EA7EE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lang w:eastAsia="ru-RU"/>
              </w:rPr>
            </w:pPr>
            <w:r w:rsidRPr="00A8518C">
              <w:rPr>
                <w:rFonts w:ascii="Times New Roman" w:eastAsia="Times New Roman" w:hAnsi="Times New Roman" w:cs="Times New Roman"/>
                <w:b/>
                <w:i/>
                <w:sz w:val="14"/>
                <w:szCs w:val="16"/>
                <w:lang w:eastAsia="ru-RU"/>
              </w:rPr>
              <w:t>Variable upper limit, variable costs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7E6E6" w:themeFill="background2"/>
            <w:vAlign w:val="center"/>
          </w:tcPr>
          <w:p w:rsidR="002C0DAB" w:rsidRPr="00A8518C" w:rsidRDefault="002C0DAB" w:rsidP="00EA7EE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lang w:eastAsia="ru-RU"/>
              </w:rPr>
            </w:pPr>
            <w:r w:rsidRPr="00A8518C">
              <w:rPr>
                <w:rFonts w:ascii="Times New Roman" w:eastAsia="Times New Roman" w:hAnsi="Times New Roman" w:cs="Times New Roman"/>
                <w:b/>
                <w:i/>
                <w:sz w:val="14"/>
                <w:szCs w:val="16"/>
                <w:lang w:eastAsia="ru-RU"/>
              </w:rPr>
              <w:t>Basic equation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E7E6E6" w:themeFill="background2"/>
            <w:vAlign w:val="center"/>
          </w:tcPr>
          <w:p w:rsidR="002C0DAB" w:rsidRPr="00A8518C" w:rsidRDefault="002C0DAB" w:rsidP="00EA7EE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lang w:eastAsia="ru-RU"/>
              </w:rPr>
            </w:pPr>
            <w:r w:rsidRPr="00A8518C">
              <w:rPr>
                <w:rFonts w:ascii="Times New Roman" w:eastAsia="Times New Roman" w:hAnsi="Times New Roman" w:cs="Times New Roman"/>
                <w:b/>
                <w:i/>
                <w:sz w:val="14"/>
                <w:szCs w:val="16"/>
                <w:lang w:eastAsia="ru-RU"/>
              </w:rPr>
              <w:t>Variable upper limit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</w:tcPr>
          <w:p w:rsidR="002C0DAB" w:rsidRPr="00A8518C" w:rsidRDefault="002C0DAB" w:rsidP="00EA7EE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lang w:eastAsia="ru-RU"/>
              </w:rPr>
            </w:pPr>
            <w:r w:rsidRPr="00A8518C">
              <w:rPr>
                <w:rFonts w:ascii="Times New Roman" w:eastAsia="Times New Roman" w:hAnsi="Times New Roman" w:cs="Times New Roman"/>
                <w:b/>
                <w:i/>
                <w:sz w:val="14"/>
                <w:szCs w:val="16"/>
                <w:lang w:eastAsia="ru-RU"/>
              </w:rPr>
              <w:t>Variable upper limit, variable costs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7E6E6" w:themeFill="background2"/>
            <w:vAlign w:val="center"/>
          </w:tcPr>
          <w:p w:rsidR="002C0DAB" w:rsidRPr="00A8518C" w:rsidRDefault="002C0DAB" w:rsidP="00EA7EE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lang w:eastAsia="ru-RU"/>
              </w:rPr>
            </w:pPr>
            <w:r w:rsidRPr="00A8518C">
              <w:rPr>
                <w:rFonts w:ascii="Times New Roman" w:eastAsia="Times New Roman" w:hAnsi="Times New Roman" w:cs="Times New Roman"/>
                <w:b/>
                <w:i/>
                <w:sz w:val="14"/>
                <w:szCs w:val="16"/>
                <w:lang w:eastAsia="ru-RU"/>
              </w:rPr>
              <w:t>Basic equation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E7E6E6" w:themeFill="background2"/>
            <w:vAlign w:val="center"/>
          </w:tcPr>
          <w:p w:rsidR="002C0DAB" w:rsidRPr="00A8518C" w:rsidRDefault="002C0DAB" w:rsidP="00EA7EE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lang w:eastAsia="ru-RU"/>
              </w:rPr>
            </w:pPr>
            <w:r w:rsidRPr="00A8518C">
              <w:rPr>
                <w:rFonts w:ascii="Times New Roman" w:eastAsia="Times New Roman" w:hAnsi="Times New Roman" w:cs="Times New Roman"/>
                <w:b/>
                <w:i/>
                <w:sz w:val="14"/>
                <w:szCs w:val="16"/>
                <w:lang w:eastAsia="ru-RU"/>
              </w:rPr>
              <w:t>Variable upper limit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vAlign w:val="center"/>
          </w:tcPr>
          <w:p w:rsidR="002C0DAB" w:rsidRPr="00A8518C" w:rsidRDefault="002C0DAB" w:rsidP="00EA7EE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6"/>
                <w:lang w:eastAsia="ru-RU"/>
              </w:rPr>
            </w:pPr>
            <w:r w:rsidRPr="00A8518C">
              <w:rPr>
                <w:rFonts w:ascii="Times New Roman" w:eastAsia="Times New Roman" w:hAnsi="Times New Roman" w:cs="Times New Roman"/>
                <w:b/>
                <w:i/>
                <w:sz w:val="14"/>
                <w:szCs w:val="16"/>
                <w:lang w:eastAsia="ru-RU"/>
              </w:rPr>
              <w:t>Variable upper limit, variable costs</w:t>
            </w:r>
          </w:p>
        </w:tc>
      </w:tr>
      <w:tr w:rsidR="002C0DAB" w:rsidRPr="00B01FCF" w:rsidTr="00EA7EE9">
        <w:trPr>
          <w:trHeight w:val="11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0DAB" w:rsidRPr="00D87EC0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WORLD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SU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U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U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U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DEEAF6" w:themeFill="accent1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U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20"/>
                <w:szCs w:val="16"/>
                <w:lang w:eastAsia="ru-RU"/>
              </w:rPr>
              <w:t>G*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G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G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G</w:t>
            </w:r>
          </w:p>
        </w:tc>
      </w:tr>
      <w:tr w:rsidR="002C0DAB" w:rsidRPr="00B01FCF" w:rsidTr="00EA7EE9">
        <w:trPr>
          <w:trHeight w:val="13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0DAB" w:rsidRPr="00914226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EUROPE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G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shd w:val="clear" w:color="auto" w:fill="E2EFD9" w:themeFill="accent6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G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C5E0B3" w:themeFill="accent6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20"/>
                <w:szCs w:val="16"/>
                <w:lang w:eastAsia="ru-RU"/>
              </w:rPr>
              <w:t>G*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G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G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G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G</w:t>
            </w:r>
          </w:p>
        </w:tc>
      </w:tr>
      <w:tr w:rsidR="002C0DAB" w:rsidRPr="00B01FCF" w:rsidTr="00EA7EE9">
        <w:trPr>
          <w:trHeight w:val="26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0DAB" w:rsidRPr="00B01FCF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NORTH AMERICA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SU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SU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SU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shd w:val="clear" w:color="auto" w:fill="E2EFD9" w:themeFill="accent6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G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C5E0B3" w:themeFill="accent6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G*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O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U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DEEAF6" w:themeFill="accent1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U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U</w:t>
            </w:r>
          </w:p>
        </w:tc>
      </w:tr>
      <w:tr w:rsidR="002C0DAB" w:rsidRPr="00B01FCF" w:rsidTr="00EA7EE9">
        <w:trPr>
          <w:trHeight w:val="11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0DAB" w:rsidRPr="00B01FCF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SOUTH AND C. AMERICA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SO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SO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SO</w:t>
            </w:r>
          </w:p>
        </w:tc>
        <w:tc>
          <w:tcPr>
            <w:tcW w:w="0" w:type="auto"/>
            <w:tcBorders>
              <w:left w:val="single" w:sz="8" w:space="0" w:color="auto"/>
            </w:tcBorders>
            <w:shd w:val="clear" w:color="auto" w:fill="FBE4D5" w:themeFill="accent2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O*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SO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shd w:val="clear" w:color="auto" w:fill="FBE4D5" w:themeFill="accent2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O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SO</w:t>
            </w:r>
          </w:p>
        </w:tc>
      </w:tr>
      <w:tr w:rsidR="002C0DAB" w:rsidRPr="00B01FCF" w:rsidTr="00EA7EE9">
        <w:trPr>
          <w:trHeight w:val="13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0DAB" w:rsidRPr="00914226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ASIA PACIFIC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SU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shd w:val="clear" w:color="auto" w:fill="E2EFD9" w:themeFill="accent6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G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FBE4D5" w:themeFill="accent2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U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G*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SU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SU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SU</w:t>
            </w:r>
          </w:p>
        </w:tc>
      </w:tr>
      <w:tr w:rsidR="002C0DAB" w:rsidRPr="00B01FCF" w:rsidTr="00EA7EE9">
        <w:trPr>
          <w:trHeight w:val="26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0DAB" w:rsidRPr="00426F57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CANADA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SO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shd w:val="clear" w:color="auto" w:fill="F7CAAC" w:themeFill="accen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SO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7CAAC" w:themeFill="accen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SO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O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U*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BE4D5" w:themeFill="accent2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O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U</w:t>
            </w:r>
          </w:p>
        </w:tc>
      </w:tr>
      <w:tr w:rsidR="002C0DAB" w:rsidRPr="00B01FCF" w:rsidTr="00EA7EE9">
        <w:trPr>
          <w:trHeight w:val="11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0DAB" w:rsidRPr="00B01FCF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USA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SU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SU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SU</w:t>
            </w:r>
          </w:p>
        </w:tc>
        <w:tc>
          <w:tcPr>
            <w:tcW w:w="0" w:type="auto"/>
            <w:tcBorders>
              <w:left w:val="single" w:sz="8" w:space="0" w:color="auto"/>
            </w:tcBorders>
            <w:shd w:val="clear" w:color="auto" w:fill="E2EFD9" w:themeFill="accent6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G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G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shd w:val="clear" w:color="auto" w:fill="C5E0B3" w:themeFill="accent6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20"/>
                <w:szCs w:val="16"/>
                <w:lang w:eastAsia="ru-RU"/>
              </w:rPr>
              <w:t>G*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U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U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U</w:t>
            </w:r>
          </w:p>
        </w:tc>
      </w:tr>
      <w:tr w:rsidR="002C0DAB" w:rsidRPr="00B01FCF" w:rsidTr="00EA7EE9">
        <w:trPr>
          <w:trHeight w:val="13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0DAB" w:rsidRPr="00914226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ARGENTINA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SU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SU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SU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SU*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SU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SU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1B1909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SU</w:t>
            </w:r>
          </w:p>
        </w:tc>
      </w:tr>
      <w:tr w:rsidR="002C0DAB" w:rsidRPr="00B01FCF" w:rsidTr="00EA7EE9">
        <w:trPr>
          <w:trHeight w:val="26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0DAB" w:rsidRPr="00B01FCF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BRASIL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SO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SO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shd w:val="clear" w:color="auto" w:fill="C5E0B3" w:themeFill="accent6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20"/>
                <w:szCs w:val="16"/>
              </w:rPr>
              <w:t>G*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E2EFD9" w:themeFill="accent6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G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G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shd w:val="clear" w:color="auto" w:fill="F7CAAC" w:themeFill="accen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SO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F7CAAC" w:themeFill="accen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SO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G</w:t>
            </w:r>
          </w:p>
        </w:tc>
      </w:tr>
      <w:tr w:rsidR="002C0DAB" w:rsidRPr="00B01FCF" w:rsidTr="00EA7EE9">
        <w:trPr>
          <w:trHeight w:val="11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0DAB" w:rsidRPr="00B01FCF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UK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G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O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O</w:t>
            </w:r>
          </w:p>
        </w:tc>
        <w:tc>
          <w:tcPr>
            <w:tcW w:w="0" w:type="auto"/>
            <w:tcBorders>
              <w:left w:val="single" w:sz="8" w:space="0" w:color="auto"/>
            </w:tcBorders>
            <w:shd w:val="clear" w:color="auto" w:fill="FBE4D5" w:themeFill="accent2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SO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shd w:val="clear" w:color="auto" w:fill="FBE4D5" w:themeFill="accent2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O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20"/>
                <w:szCs w:val="16"/>
              </w:rPr>
              <w:t>G*</w:t>
            </w:r>
          </w:p>
        </w:tc>
      </w:tr>
      <w:tr w:rsidR="002C0DAB" w:rsidRPr="00B01FCF" w:rsidTr="00EA7EE9">
        <w:trPr>
          <w:trHeight w:val="13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0DAB" w:rsidRPr="00914226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GERMANY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U*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SU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5DCE4" w:themeFill="text2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U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shd w:val="clear" w:color="auto" w:fill="D5DCE4" w:themeFill="text2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U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SU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SU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SU</w:t>
            </w:r>
          </w:p>
        </w:tc>
      </w:tr>
      <w:tr w:rsidR="002C0DAB" w:rsidRPr="00B01FCF" w:rsidTr="00EA7EE9">
        <w:trPr>
          <w:trHeight w:val="26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0DAB" w:rsidRPr="00B01FCF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FRANCE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SU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SU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SU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shd w:val="clear" w:color="auto" w:fill="FBE4D5" w:themeFill="accent2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O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SU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SU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shd w:val="clear" w:color="auto" w:fill="DEEAF6" w:themeFill="accent1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U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SU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20"/>
                <w:szCs w:val="16"/>
              </w:rPr>
              <w:t>G*</w:t>
            </w:r>
          </w:p>
        </w:tc>
      </w:tr>
      <w:tr w:rsidR="002C0DAB" w:rsidRPr="00B01FCF" w:rsidTr="00EA7EE9">
        <w:trPr>
          <w:trHeight w:val="11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0DAB" w:rsidRPr="00B01FCF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SWEDEN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SO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SO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7CAAC" w:themeFill="accen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SO</w:t>
            </w:r>
          </w:p>
        </w:tc>
        <w:tc>
          <w:tcPr>
            <w:tcW w:w="0" w:type="auto"/>
            <w:tcBorders>
              <w:left w:val="single" w:sz="8" w:space="0" w:color="auto"/>
            </w:tcBorders>
            <w:shd w:val="clear" w:color="auto" w:fill="E2EFD9" w:themeFill="accent6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G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SO</w:t>
            </w:r>
          </w:p>
        </w:tc>
        <w:tc>
          <w:tcPr>
            <w:tcW w:w="0" w:type="auto"/>
            <w:tcBorders>
              <w:right w:val="single" w:sz="8" w:space="0" w:color="auto"/>
            </w:tcBorders>
            <w:shd w:val="clear" w:color="auto" w:fill="F7CAAC" w:themeFill="accen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SO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20"/>
                <w:szCs w:val="16"/>
              </w:rPr>
              <w:t>G*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U</w:t>
            </w:r>
          </w:p>
        </w:tc>
      </w:tr>
      <w:tr w:rsidR="002C0DAB" w:rsidRPr="00B01FCF" w:rsidTr="00EA7EE9">
        <w:trPr>
          <w:trHeight w:val="13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0DAB" w:rsidRPr="00914226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CHINA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SU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SU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SU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SU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20"/>
                <w:szCs w:val="16"/>
              </w:rPr>
              <w:t>G*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SU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G</w:t>
            </w:r>
          </w:p>
        </w:tc>
      </w:tr>
      <w:tr w:rsidR="002C0DAB" w:rsidRPr="00B01FCF" w:rsidTr="00EA7EE9">
        <w:trPr>
          <w:trHeight w:val="13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0DAB" w:rsidRPr="00914226" w:rsidRDefault="002C0DAB" w:rsidP="00EA7EE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</w:pPr>
            <w:r w:rsidRPr="00B01FCF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AUSTRALIA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U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SU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CB9CA" w:themeFill="text2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SU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U</w:t>
            </w:r>
          </w:p>
        </w:tc>
        <w:tc>
          <w:tcPr>
            <w:tcW w:w="0" w:type="auto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U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U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C5E0B3" w:themeFill="accent6" w:themeFillTint="66"/>
            <w:vAlign w:val="center"/>
          </w:tcPr>
          <w:p w:rsidR="002C0DAB" w:rsidRPr="001B1909" w:rsidRDefault="002C0DAB" w:rsidP="00EA7EE9">
            <w:pPr>
              <w:jc w:val="center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1B1909">
              <w:rPr>
                <w:rFonts w:ascii="Times New Roman" w:hAnsi="Times New Roman" w:cs="Times New Roman"/>
                <w:b/>
                <w:i/>
                <w:sz w:val="20"/>
                <w:szCs w:val="16"/>
              </w:rPr>
              <w:t>G*</w:t>
            </w:r>
          </w:p>
        </w:tc>
      </w:tr>
    </w:tbl>
    <w:p w:rsidR="002C0DAB" w:rsidRPr="00F211C9" w:rsidRDefault="002C0DAB" w:rsidP="002C0DAB">
      <w:pPr>
        <w:ind w:firstLine="708"/>
        <w:rPr>
          <w:rFonts w:ascii="Times New Roman" w:hAnsi="Times New Roman" w:cs="Times New Roman"/>
          <w:sz w:val="16"/>
        </w:rPr>
      </w:pPr>
      <w:r w:rsidRPr="00F211C9">
        <w:rPr>
          <w:rFonts w:ascii="Times New Roman" w:hAnsi="Times New Roman" w:cs="Times New Roman"/>
          <w:sz w:val="16"/>
        </w:rPr>
        <w:t>* – The best model;</w:t>
      </w:r>
    </w:p>
    <w:p w:rsidR="002C0DAB" w:rsidRPr="00F211C9" w:rsidRDefault="002C0DAB" w:rsidP="002C0DAB">
      <w:pPr>
        <w:rPr>
          <w:rFonts w:ascii="Times New Roman" w:hAnsi="Times New Roman" w:cs="Times New Roman"/>
          <w:sz w:val="16"/>
        </w:rPr>
      </w:pPr>
      <w:r w:rsidRPr="00F211C9">
        <w:rPr>
          <w:rFonts w:ascii="Times New Roman" w:hAnsi="Times New Roman" w:cs="Times New Roman"/>
          <w:sz w:val="16"/>
        </w:rPr>
        <w:tab/>
        <w:t xml:space="preserve">SU – Substantial Underestimation (Absolute error and Relational error more than 25%); </w:t>
      </w:r>
    </w:p>
    <w:p w:rsidR="002C0DAB" w:rsidRPr="00F211C9" w:rsidRDefault="002C0DAB" w:rsidP="002C0DAB">
      <w:pPr>
        <w:ind w:firstLine="708"/>
        <w:rPr>
          <w:rFonts w:ascii="Times New Roman" w:hAnsi="Times New Roman" w:cs="Times New Roman"/>
          <w:sz w:val="16"/>
        </w:rPr>
      </w:pPr>
      <w:r w:rsidRPr="00F211C9">
        <w:rPr>
          <w:rFonts w:ascii="Times New Roman" w:hAnsi="Times New Roman" w:cs="Times New Roman"/>
          <w:sz w:val="16"/>
        </w:rPr>
        <w:t>U – Underestimation (Absolute error or Relational error between 5% and 25%);</w:t>
      </w:r>
    </w:p>
    <w:p w:rsidR="002C0DAB" w:rsidRPr="00F211C9" w:rsidRDefault="002C0DAB" w:rsidP="002C0DAB">
      <w:pPr>
        <w:ind w:firstLine="708"/>
        <w:rPr>
          <w:rFonts w:ascii="Times New Roman" w:hAnsi="Times New Roman" w:cs="Times New Roman"/>
          <w:sz w:val="16"/>
        </w:rPr>
      </w:pPr>
      <w:r w:rsidRPr="00F211C9">
        <w:rPr>
          <w:rFonts w:ascii="Times New Roman" w:hAnsi="Times New Roman" w:cs="Times New Roman"/>
          <w:sz w:val="16"/>
        </w:rPr>
        <w:t>G – Good (Absolute error or Relational error within 5% divergence);</w:t>
      </w:r>
    </w:p>
    <w:p w:rsidR="002C0DAB" w:rsidRPr="00F211C9" w:rsidRDefault="002C0DAB" w:rsidP="002C0DAB">
      <w:pPr>
        <w:ind w:firstLine="708"/>
        <w:rPr>
          <w:rFonts w:ascii="Times New Roman" w:hAnsi="Times New Roman" w:cs="Times New Roman"/>
          <w:sz w:val="16"/>
        </w:rPr>
      </w:pPr>
      <w:r w:rsidRPr="00F211C9">
        <w:rPr>
          <w:rFonts w:ascii="Times New Roman" w:hAnsi="Times New Roman" w:cs="Times New Roman"/>
          <w:sz w:val="16"/>
        </w:rPr>
        <w:t>O – Overestimation (Absolute error or Relational error between -5% and -25%);</w:t>
      </w:r>
    </w:p>
    <w:p w:rsidR="002C0DAB" w:rsidRPr="00F211C9" w:rsidRDefault="002C0DAB" w:rsidP="002C0DAB">
      <w:pPr>
        <w:ind w:firstLine="708"/>
        <w:rPr>
          <w:rFonts w:ascii="Times New Roman" w:hAnsi="Times New Roman" w:cs="Times New Roman"/>
          <w:sz w:val="16"/>
        </w:rPr>
      </w:pPr>
      <w:r w:rsidRPr="00F211C9">
        <w:rPr>
          <w:rFonts w:ascii="Times New Roman" w:hAnsi="Times New Roman" w:cs="Times New Roman"/>
          <w:sz w:val="16"/>
        </w:rPr>
        <w:t>SO – Substantial Overestimation (Absolute error and Relational error below -25%).</w:t>
      </w:r>
    </w:p>
    <w:p w:rsidR="002C0DAB" w:rsidRDefault="002C0DAB" w:rsidP="002C0DAB">
      <w:pPr>
        <w:widowControl/>
        <w:spacing w:after="160"/>
        <w:jc w:val="center"/>
        <w:rPr>
          <w:rFonts w:ascii="Times New Roman" w:eastAsia="Times New Roman" w:hAnsi="Times New Roman" w:cs="Times New Roman"/>
          <w:b/>
          <w:color w:val="3A3A3A"/>
          <w:sz w:val="16"/>
          <w:lang w:eastAsia="ru-RU" w:bidi="ar-SA"/>
        </w:rPr>
      </w:pPr>
    </w:p>
    <w:p w:rsidR="002C0DAB" w:rsidRPr="00B64166" w:rsidRDefault="002C0DAB" w:rsidP="002C0DAB">
      <w:pPr>
        <w:widowControl/>
        <w:spacing w:after="160" w:line="259" w:lineRule="auto"/>
        <w:jc w:val="center"/>
        <w:rPr>
          <w:rFonts w:ascii="Times New Roman" w:hAnsi="Times New Roman" w:cs="Times New Roman"/>
          <w:sz w:val="22"/>
        </w:rPr>
      </w:pPr>
      <w:bookmarkStart w:id="0" w:name="_GoBack"/>
      <w:bookmarkEnd w:id="0"/>
    </w:p>
    <w:sectPr w:rsidR="002C0DAB" w:rsidRPr="00B64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AB"/>
    <w:rsid w:val="002C0DAB"/>
    <w:rsid w:val="00EE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33872-65D9-48BA-8D7A-60C853DF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C0DAB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6;&#1072;&#1073;&#1086;&#1095;&#1080;&#1081;%20&#1089;&#1090;&#1086;&#1083;\KTH\!Work2\XLS\New%20Bas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6;&#1072;&#1073;&#1086;&#1095;&#1080;&#1081;%20&#1089;&#1090;&#1086;&#1083;\KTH\!Work2\XLS\New%20Bas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Bass model variable upper limit considering costs training for the whole World</a:t>
            </a:r>
            <a:r>
              <a:rPr lang="en-US" sz="1100" baseline="0"/>
              <a:t>  </a:t>
            </a:r>
            <a:endParaRPr lang="ru-RU" sz="11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Fact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'Var M&amp;P gen growth costs decrea'!$J$1:$AH$1</c:f>
              <c:numCache>
                <c:formatCode>General</c:formatCode>
                <c:ptCount val="25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  <c:pt idx="23">
                  <c:v>2019</c:v>
                </c:pt>
                <c:pt idx="24">
                  <c:v>2020</c:v>
                </c:pt>
              </c:numCache>
            </c:numRef>
          </c:cat>
          <c:val>
            <c:numRef>
              <c:f>'Var M&amp;P gen growth costs decrea'!$J$3:$AH$3</c:f>
              <c:numCache>
                <c:formatCode>[&gt;0.05]0.0;[=0]\-;\^</c:formatCode>
                <c:ptCount val="25"/>
                <c:pt idx="0">
                  <c:v>9.2046006605959612</c:v>
                </c:pt>
                <c:pt idx="1">
                  <c:v>12.017816469777779</c:v>
                </c:pt>
                <c:pt idx="2">
                  <c:v>15.921260267804952</c:v>
                </c:pt>
                <c:pt idx="3">
                  <c:v>21.216174006609396</c:v>
                </c:pt>
                <c:pt idx="4">
                  <c:v>31.42043456413095</c:v>
                </c:pt>
                <c:pt idx="5">
                  <c:v>38.390451947142061</c:v>
                </c:pt>
                <c:pt idx="6">
                  <c:v>52.330781986707123</c:v>
                </c:pt>
                <c:pt idx="7">
                  <c:v>62.911395301683939</c:v>
                </c:pt>
                <c:pt idx="8">
                  <c:v>85.116192428273166</c:v>
                </c:pt>
                <c:pt idx="9">
                  <c:v>104.08387975788209</c:v>
                </c:pt>
                <c:pt idx="10">
                  <c:v>132.85921603002876</c:v>
                </c:pt>
                <c:pt idx="11">
                  <c:v>170.68262058027867</c:v>
                </c:pt>
                <c:pt idx="12">
                  <c:v>220.60004515399677</c:v>
                </c:pt>
                <c:pt idx="13">
                  <c:v>276.02052629907718</c:v>
                </c:pt>
                <c:pt idx="14">
                  <c:v>346.46502193807811</c:v>
                </c:pt>
                <c:pt idx="15">
                  <c:v>440.38509198030556</c:v>
                </c:pt>
                <c:pt idx="16">
                  <c:v>530.55442135112025</c:v>
                </c:pt>
                <c:pt idx="17">
                  <c:v>635.49205101167001</c:v>
                </c:pt>
                <c:pt idx="18">
                  <c:v>705.80586078881231</c:v>
                </c:pt>
                <c:pt idx="19">
                  <c:v>831.42968828186997</c:v>
                </c:pt>
                <c:pt idx="20">
                  <c:v>962.22739540937869</c:v>
                </c:pt>
                <c:pt idx="21">
                  <c:v>1140.3109490425286</c:v>
                </c:pt>
                <c:pt idx="22">
                  <c:v>1269.5205357108334</c:v>
                </c:pt>
                <c:pt idx="23">
                  <c:v>1418.1700462665481</c:v>
                </c:pt>
                <c:pt idx="24">
                  <c:v>1591.2135122192983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B6-45E4-AF27-594D715DDC27}"/>
            </c:ext>
          </c:extLst>
        </c:ser>
        <c:ser>
          <c:idx val="1"/>
          <c:order val="1"/>
          <c:tx>
            <c:v>Model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'Var M&amp;P gen growth costs decrea'!$J$1:$AH$1</c:f>
              <c:numCache>
                <c:formatCode>General</c:formatCode>
                <c:ptCount val="25"/>
                <c:pt idx="0">
                  <c:v>1996</c:v>
                </c:pt>
                <c:pt idx="1">
                  <c:v>1997</c:v>
                </c:pt>
                <c:pt idx="2">
                  <c:v>1998</c:v>
                </c:pt>
                <c:pt idx="3">
                  <c:v>1999</c:v>
                </c:pt>
                <c:pt idx="4">
                  <c:v>2000</c:v>
                </c:pt>
                <c:pt idx="5">
                  <c:v>2001</c:v>
                </c:pt>
                <c:pt idx="6">
                  <c:v>2002</c:v>
                </c:pt>
                <c:pt idx="7">
                  <c:v>2003</c:v>
                </c:pt>
                <c:pt idx="8">
                  <c:v>2004</c:v>
                </c:pt>
                <c:pt idx="9">
                  <c:v>2005</c:v>
                </c:pt>
                <c:pt idx="10">
                  <c:v>2006</c:v>
                </c:pt>
                <c:pt idx="11">
                  <c:v>2007</c:v>
                </c:pt>
                <c:pt idx="12">
                  <c:v>2008</c:v>
                </c:pt>
                <c:pt idx="13">
                  <c:v>2009</c:v>
                </c:pt>
                <c:pt idx="14">
                  <c:v>2010</c:v>
                </c:pt>
                <c:pt idx="15">
                  <c:v>2011</c:v>
                </c:pt>
                <c:pt idx="16">
                  <c:v>2012</c:v>
                </c:pt>
                <c:pt idx="17">
                  <c:v>2013</c:v>
                </c:pt>
                <c:pt idx="18">
                  <c:v>2014</c:v>
                </c:pt>
                <c:pt idx="19">
                  <c:v>2015</c:v>
                </c:pt>
                <c:pt idx="20">
                  <c:v>2016</c:v>
                </c:pt>
                <c:pt idx="21">
                  <c:v>2017</c:v>
                </c:pt>
                <c:pt idx="22">
                  <c:v>2018</c:v>
                </c:pt>
                <c:pt idx="23">
                  <c:v>2019</c:v>
                </c:pt>
                <c:pt idx="24">
                  <c:v>2020</c:v>
                </c:pt>
              </c:numCache>
            </c:numRef>
          </c:cat>
          <c:val>
            <c:numRef>
              <c:f>'Var M&amp;P gen growth costs decrea'!$J$8:$AH$8</c:f>
              <c:numCache>
                <c:formatCode>General</c:formatCode>
                <c:ptCount val="25"/>
                <c:pt idx="0">
                  <c:v>10.811921666492889</c:v>
                </c:pt>
                <c:pt idx="1">
                  <c:v>14.133721723269158</c:v>
                </c:pt>
                <c:pt idx="2">
                  <c:v>18.451198029277542</c:v>
                </c:pt>
                <c:pt idx="3">
                  <c:v>24.048968859497041</c:v>
                </c:pt>
                <c:pt idx="4">
                  <c:v>31.285105621551715</c:v>
                </c:pt>
                <c:pt idx="5">
                  <c:v>40.612768008276788</c:v>
                </c:pt>
                <c:pt idx="6">
                  <c:v>52.567484508073079</c:v>
                </c:pt>
                <c:pt idx="7">
                  <c:v>67.827727188813071</c:v>
                </c:pt>
                <c:pt idx="8">
                  <c:v>87.194709673665656</c:v>
                </c:pt>
                <c:pt idx="9">
                  <c:v>111.641921977424</c:v>
                </c:pt>
                <c:pt idx="10">
                  <c:v>142.25490761047291</c:v>
                </c:pt>
                <c:pt idx="11">
                  <c:v>180.23753634147965</c:v>
                </c:pt>
                <c:pt idx="12">
                  <c:v>226.96854299452724</c:v>
                </c:pt>
                <c:pt idx="13">
                  <c:v>283.45644497310076</c:v>
                </c:pt>
                <c:pt idx="14">
                  <c:v>350.08316041582316</c:v>
                </c:pt>
                <c:pt idx="15">
                  <c:v>429.14941965151735</c:v>
                </c:pt>
                <c:pt idx="16">
                  <c:v>520.60075444231916</c:v>
                </c:pt>
                <c:pt idx="17">
                  <c:v>624.10833613899513</c:v>
                </c:pt>
                <c:pt idx="18">
                  <c:v>739.16567903345356</c:v>
                </c:pt>
                <c:pt idx="19">
                  <c:v>864.39034595027454</c:v>
                </c:pt>
                <c:pt idx="20">
                  <c:v>995.9321465900357</c:v>
                </c:pt>
                <c:pt idx="21">
                  <c:v>1133.6946445721792</c:v>
                </c:pt>
                <c:pt idx="22">
                  <c:v>1276.2566155053453</c:v>
                </c:pt>
                <c:pt idx="23">
                  <c:v>1425.0960924454425</c:v>
                </c:pt>
                <c:pt idx="24">
                  <c:v>1571.7149283263025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B6-45E4-AF27-594D715DDC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2796687"/>
        <c:axId val="1833390175"/>
      </c:lineChart>
      <c:catAx>
        <c:axId val="1822796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3390175"/>
        <c:crosses val="autoZero"/>
        <c:auto val="1"/>
        <c:lblAlgn val="ctr"/>
        <c:lblOffset val="100"/>
        <c:noMultiLvlLbl val="0"/>
      </c:catAx>
      <c:valAx>
        <c:axId val="1833390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&gt;0.05]0.0;[=0]\-;\^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22796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0" i="0" baseline="0">
                <a:effectLst/>
              </a:rPr>
              <a:t>Bass model variable upper limit considering costs training for Argentina</a:t>
            </a:r>
            <a:endParaRPr lang="ru-RU" sz="1000">
              <a:effectLst/>
            </a:endParaRPr>
          </a:p>
        </c:rich>
      </c:tx>
      <c:layout>
        <c:manualLayout>
          <c:xMode val="edge"/>
          <c:yMode val="edge"/>
          <c:x val="0.11453930100842658"/>
          <c:y val="3.50877192982456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Fact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'Var M Gen Grows'!$J$242:$AH$242</c:f>
              <c:numCache>
                <c:formatCode>0.0000_ ;\-0.0000\ </c:formatCode>
                <c:ptCount val="25"/>
                <c:pt idx="0">
                  <c:v>9.6179999999999998E-3</c:v>
                </c:pt>
                <c:pt idx="1">
                  <c:v>1.4592000000000003E-2</c:v>
                </c:pt>
                <c:pt idx="2">
                  <c:v>3.2541E-2</c:v>
                </c:pt>
                <c:pt idx="3">
                  <c:v>3.4780999999999999E-2</c:v>
                </c:pt>
                <c:pt idx="4">
                  <c:v>3.4757999999999997E-2</c:v>
                </c:pt>
                <c:pt idx="5">
                  <c:v>4.9361000000000002E-2</c:v>
                </c:pt>
                <c:pt idx="6">
                  <c:v>7.3405000000000012E-2</c:v>
                </c:pt>
                <c:pt idx="7">
                  <c:v>7.7953999999999996E-2</c:v>
                </c:pt>
                <c:pt idx="8">
                  <c:v>7.2445999999999969E-2</c:v>
                </c:pt>
                <c:pt idx="9">
                  <c:v>7.1719665000000002E-2</c:v>
                </c:pt>
                <c:pt idx="10">
                  <c:v>6.9640000000000007E-2</c:v>
                </c:pt>
                <c:pt idx="11">
                  <c:v>6.1592999999999988E-2</c:v>
                </c:pt>
                <c:pt idx="12">
                  <c:v>4.1951077999999989E-2</c:v>
                </c:pt>
                <c:pt idx="13">
                  <c:v>3.6831528599999996E-2</c:v>
                </c:pt>
                <c:pt idx="14">
                  <c:v>2.5351606199999998E-2</c:v>
                </c:pt>
                <c:pt idx="15">
                  <c:v>2.6590549999999998E-2</c:v>
                </c:pt>
                <c:pt idx="16">
                  <c:v>0.3698619993329999</c:v>
                </c:pt>
                <c:pt idx="17">
                  <c:v>0.45335487600000002</c:v>
                </c:pt>
                <c:pt idx="18">
                  <c:v>0.61949100000000001</c:v>
                </c:pt>
                <c:pt idx="19">
                  <c:v>0.59333496299999977</c:v>
                </c:pt>
                <c:pt idx="20">
                  <c:v>0.54735899999999993</c:v>
                </c:pt>
                <c:pt idx="21">
                  <c:v>0.61156699999999986</c:v>
                </c:pt>
                <c:pt idx="22">
                  <c:v>1.4127429999999996</c:v>
                </c:pt>
                <c:pt idx="23">
                  <c:v>4.995966423999997</c:v>
                </c:pt>
                <c:pt idx="24">
                  <c:v>9.470297616854376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DC-4457-A8FC-BA5829478F07}"/>
            </c:ext>
          </c:extLst>
        </c:ser>
        <c:ser>
          <c:idx val="1"/>
          <c:order val="1"/>
          <c:tx>
            <c:v>Model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'Var M Gen Grows'!$J$246:$AH$246</c:f>
              <c:numCache>
                <c:formatCode>General</c:formatCode>
                <c:ptCount val="25"/>
                <c:pt idx="0">
                  <c:v>1.8937861849371338E-5</c:v>
                </c:pt>
                <c:pt idx="1">
                  <c:v>5.1251587863337898E-5</c:v>
                </c:pt>
                <c:pt idx="2">
                  <c:v>1.0590415282580362E-4</c:v>
                </c:pt>
                <c:pt idx="3">
                  <c:v>1.9753073478711298E-4</c:v>
                </c:pt>
                <c:pt idx="4">
                  <c:v>3.5219122380146203E-4</c:v>
                </c:pt>
                <c:pt idx="5">
                  <c:v>6.1243903069866192E-4</c:v>
                </c:pt>
                <c:pt idx="6">
                  <c:v>1.0467711594803393E-3</c:v>
                </c:pt>
                <c:pt idx="7">
                  <c:v>1.7694959762219063E-3</c:v>
                </c:pt>
                <c:pt idx="8">
                  <c:v>2.9767664524375115E-3</c:v>
                </c:pt>
                <c:pt idx="9">
                  <c:v>4.9921001492563375E-3</c:v>
                </c:pt>
                <c:pt idx="10">
                  <c:v>8.3536426743941843E-3</c:v>
                </c:pt>
                <c:pt idx="11">
                  <c:v>1.3959264447679469E-2</c:v>
                </c:pt>
                <c:pt idx="12">
                  <c:v>2.3300132493774772E-2</c:v>
                </c:pt>
                <c:pt idx="13">
                  <c:v>3.8861062836072179E-2</c:v>
                </c:pt>
                <c:pt idx="14">
                  <c:v>6.4756366483162187E-2</c:v>
                </c:pt>
                <c:pt idx="15">
                  <c:v>0.10779445167340754</c:v>
                </c:pt>
                <c:pt idx="16">
                  <c:v>0.1791685201770622</c:v>
                </c:pt>
                <c:pt idx="17">
                  <c:v>0.29715929410243669</c:v>
                </c:pt>
                <c:pt idx="18">
                  <c:v>0.49110100826942793</c:v>
                </c:pt>
                <c:pt idx="19">
                  <c:v>0.80663667451416743</c:v>
                </c:pt>
                <c:pt idx="20">
                  <c:v>1.3133498887404911</c:v>
                </c:pt>
                <c:pt idx="21">
                  <c:v>2.1066872192894532</c:v>
                </c:pt>
                <c:pt idx="22">
                  <c:v>3.2958142729438653</c:v>
                </c:pt>
                <c:pt idx="23">
                  <c:v>4.9681405636354485</c:v>
                </c:pt>
                <c:pt idx="24">
                  <c:v>7.0224572606684692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DC-4457-A8FC-BA5829478F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5039664"/>
        <c:axId val="1085033424"/>
      </c:lineChart>
      <c:catAx>
        <c:axId val="10850396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5033424"/>
        <c:crosses val="autoZero"/>
        <c:auto val="1"/>
        <c:lblAlgn val="ctr"/>
        <c:lblOffset val="100"/>
        <c:noMultiLvlLbl val="0"/>
      </c:catAx>
      <c:valAx>
        <c:axId val="1085033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_ ;\-0.0000\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5039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APG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ART</cp:lastModifiedBy>
  <cp:revision>1</cp:revision>
  <dcterms:created xsi:type="dcterms:W3CDTF">2022-08-03T07:51:00Z</dcterms:created>
  <dcterms:modified xsi:type="dcterms:W3CDTF">2022-08-03T07:52:00Z</dcterms:modified>
</cp:coreProperties>
</file>