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76" w:lineRule="auto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</w:rPr>
        <w:t>ЗАКЛЮЧЕНИЕ</w:t>
      </w:r>
    </w:p>
    <w:p>
      <w:pPr>
        <w:spacing w:after="0" w:before="0" w:line="276" w:lineRule="auto"/>
        <w:jc w:val="center"/>
      </w:pPr>
      <w:r>
        <w:rPr>
          <w:rFonts w:ascii="Times New Roman" w:hAnsi="Times New Roman" w:cs="Times New Roman" w:eastAsia="Times New Roman"/>
          <w:b/>
          <w:i w:val="0"/>
          <w:sz w:val="26"/>
        </w:rPr>
        <w:t>о правовой оценке проекта договора о передаче в безвозмездное пользование</w:t>
      </w:r>
    </w:p>
    <w:p>
      <w:pPr>
        <w:spacing w:after="240" w:before="0" w:line="276" w:lineRule="auto"/>
        <w:jc w:val="center"/>
      </w:pPr>
      <w:r>
        <w:rPr>
          <w:rFonts w:ascii="Times New Roman" w:hAnsi="Times New Roman" w:cs="Times New Roman" w:eastAsia="Times New Roman"/>
          <w:b/>
          <w:i w:val="0"/>
          <w:sz w:val="26"/>
        </w:rPr>
        <w:t>муниципального имущества и вносимых правок</w:t>
      </w:r>
    </w:p>
    <w:p>
      <w:pPr>
        <w:spacing w:after="240" w:before="0" w:line="276" w:lineRule="auto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г. Чебоксары                                                                  27 августа 2026 г.</w:t>
      </w:r>
    </w:p>
    <w:p>
      <w:pPr>
        <w:spacing w:after="160" w:before="240" w:line="276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1. Предмет заключения и исходные документы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Рассмотрены: (1) проект договора о передаче в безвозмездное пользование муниципального имущества, представленный другой стороной; (2) редакция того же договора с вносимыми правками и пояснительной запиской; (3) форма протокола разногласий КонсультантПлюс.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Стороны проекта: МАОУДО «ДДЮТ» г. Чебоксары — Ссудодатель; АПОНО «Сингулярити Хаб» — Ссудополучатель. Предмет — нежилые помещения общей площадью 596,4 кв. м по адресу: г. Чебоксары, Президентский бульвар, д. 14, в здании с кадастровым номером 21:01:020103:758.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Пакет правок в целом защищает интересы балансодержателя муниципального имущества и возвращает договор к модели главы 36 ГК РФ (безвозмездное пользование). Поэтому проект протокола разногласий составлен от имени Ссудодателя. Если правки готовились с другой стороны, таблицу протокола достаточно инвертировать, но правовая оценка не изменится: ряд условий проекта контрагента для учреждения неприемлем.</w:t>
      </w:r>
    </w:p>
    <w:p>
      <w:pPr>
        <w:spacing w:after="160" w:before="240" w:line="276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2. Общая характеристика проекта другой стороны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Проект по конструкции является договором ссуды, но по содержанию во многом напоминает договор аренды, в котором основные имущественные риски и расходы переложены на ссудодателя, хотя встречного предоставления нет. Для муниципального автономного образовательного учреждения это опасно.</w:t>
      </w:r>
    </w:p>
    <w:p>
      <w:pPr>
        <w:spacing w:after="80" w:before="0" w:line="276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Наиболее спорные условия проекта контрагента:</w:t>
      </w:r>
    </w:p>
    <w:p>
      <w:pPr>
        <w:spacing w:after="60" w:before="0" w:line="276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неверное основание без торгов — часть 3.3 статьи 17.1 Закона о защите конкуренции вместо пункта 4 части 3.2;</w:t>
      </w:r>
    </w:p>
    <w:p>
      <w:pPr>
        <w:spacing w:after="60" w:before="0" w:line="276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текущий и капитальный ремонт помещений за счет ссудодателя при одновременном возмещении коммунальных услуг ссудополучателем — внутреннее противоречие;</w:t>
      </w:r>
    </w:p>
    <w:p>
      <w:pPr>
        <w:spacing w:after="60" w:before="0" w:line="276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безусловное возмещение любых неотделимых улучшений;</w:t>
      </w:r>
    </w:p>
    <w:p>
      <w:pPr>
        <w:spacing w:after="60" w:before="0" w:line="276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право не оплачивать компенсацию коммунальных ресурсов при любом дефекте документов;</w:t>
      </w:r>
    </w:p>
    <w:p>
      <w:pPr>
        <w:spacing w:after="60" w:before="0" w:line="276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полная ответственность ссудодателя за штрафы и «все убытки» ссудополучателя, связанные с несоответствием помещений нормам;</w:t>
      </w:r>
    </w:p>
    <w:p>
      <w:pPr>
        <w:spacing w:after="60" w:before="0" w:line="276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запрет расторжения до окончания учебного модуля при шестимесячном сроке предупреждения;</w:t>
      </w:r>
    </w:p>
    <w:p>
      <w:pPr>
        <w:spacing w:after="60" w:before="0" w:line="276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юридически бессодержательный пункт 1.3 о возврате «при наличии письменных возражений»;</w:t>
      </w:r>
    </w:p>
    <w:p>
      <w:pPr>
        <w:spacing w:after="60" w:before="0" w:line="276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сбитая нумерация пунктов и приложений, термин «Арендодатель», незаполненный собственник улучшений, слово «модование».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Отдельные условия проекта разумны и в протоколе сохранены: согласие собственника, запрет передачи права собственности, образовательный модуль как ограничение расторжения, тридцатидневный срок на устранение нарушений, регламент совместной эксплуатации, обязанность ссудодателя содержать общие инженерные системы.</w:t>
      </w:r>
    </w:p>
    <w:p>
      <w:pPr>
        <w:spacing w:after="160" w:before="240" w:line="276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3. Оценка вносимых правок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Общий вывод: направление правок верное. Большинство из них опирается на императивные или диспозитивные нормы главы 36 ГК РФ и на требования индивидуализации муниципального имущества. Пакет нельзя направлять контрагенту в сыром виде: внутри него есть прямые противоречия, потерянные полезные запреты и языковые ошибки, которые ослабляют позицию при толковании (статья 431 ГК РФ).</w:t>
      </w:r>
    </w:p>
    <w:tbl>
      <w:tblPr>
        <w:tblW w:type="dxa" w:w="9922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2494"/>
            <w:shd w:val="clear" w:color="auto" w:fill="1F4E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>
            <w:pPr>
              <w:spacing w:after="40" w:before="0" w:line="259" w:lineRule="auto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Правка</w:t>
            </w:r>
          </w:p>
        </w:tc>
        <w:tc>
          <w:tcPr>
            <w:tcW w:type="dxa" w:w="2041"/>
            <w:shd w:val="clear" w:color="auto" w:fill="1F4E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>
            <w:pPr>
              <w:spacing w:after="40" w:before="0" w:line="259" w:lineRule="auto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Вердикт</w:t>
            </w:r>
          </w:p>
        </w:tc>
        <w:tc>
          <w:tcPr>
            <w:tcW w:type="dxa" w:w="5386"/>
            <w:shd w:val="clear" w:color="auto" w:fill="1F4E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>
            <w:pPr>
              <w:spacing w:after="40" w:before="0" w:line="259" w:lineRule="auto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Комментарий</w:t>
            </w:r>
          </w:p>
        </w:tc>
      </w:tr>
      <w:tr>
        <w:tc>
          <w:tcPr>
            <w:tcW w:type="dxa" w:w="33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>
            <w:pPr>
              <w:spacing w:after="40" w:before="0" w:line="259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Преамбула: п. 4 ч. 3.2 ст. 17.1 Закона № 135-ФЗ вместо п. 3.3 ст. 17.1</w:t>
            </w:r>
          </w:p>
        </w:tc>
        <w:tc>
          <w:tcPr>
            <w:tcW w:type="dxa" w:w="3307"/>
            <w:shd w:val="clear" w:color="auto" w:fill="C6EFC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>
            <w:pPr>
              <w:spacing w:after="40" w:before="0" w:line="259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Обосновано полностью</w:t>
            </w:r>
          </w:p>
        </w:tc>
        <w:tc>
          <w:tcPr>
            <w:tcW w:type="dxa" w:w="33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>
            <w:pPr>
              <w:spacing w:after="40" w:before="0" w:line="259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Часть 3.3 статьи 17.1 касается унитарных предприятий. Ссудодатель — муниципальная образовательная организация, поэтому применяется пункт 4 части 3.2. Правка юридически необходима.</w:t>
            </w:r>
          </w:p>
        </w:tc>
      </w:tr>
      <w:tr>
        <w:tc>
          <w:tcPr>
            <w:tcW w:type="dxa" w:w="33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>
            <w:pPr>
              <w:spacing w:after="40" w:before="0" w:line="259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П. 1.1: обязанность принять и вернуть; кадастровый номер; определение «Имущества»</w:t>
            </w:r>
          </w:p>
        </w:tc>
        <w:tc>
          <w:tcPr>
            <w:tcW w:type="dxa" w:w="3307"/>
            <w:shd w:val="clear" w:color="auto" w:fill="C6EFC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>
            <w:pPr>
              <w:spacing w:after="40" w:before="0" w:line="259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Обосновано полностью</w:t>
            </w:r>
          </w:p>
        </w:tc>
        <w:tc>
          <w:tcPr>
            <w:tcW w:type="dxa" w:w="33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>
            <w:pPr>
              <w:spacing w:after="40" w:before="0" w:line="259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Соответствует статье 689 и статье 607 ГК РФ. Кадастровый номер здания 21:01:020103:758 индивидуализирует объект. В сырой правке остались ошибки: «согласно по акту», «Помещения предоставляется». В протоколе исправлено.</w:t>
            </w:r>
          </w:p>
        </w:tc>
      </w:tr>
      <w:tr>
        <w:tc>
          <w:tcPr>
            <w:tcW w:type="dxa" w:w="33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>
            <w:pPr>
              <w:spacing w:after="40" w:before="0" w:line="259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П. 1.2: «Помещения принадлежат» вместо «Имущество принадлежит»</w:t>
            </w:r>
          </w:p>
        </w:tc>
        <w:tc>
          <w:tcPr>
            <w:tcW w:type="dxa" w:w="3307"/>
            <w:shd w:val="clear" w:color="auto" w:fill="C6EFC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>
            <w:pPr>
              <w:spacing w:after="40" w:before="0" w:line="259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Обосновано</w:t>
            </w:r>
          </w:p>
        </w:tc>
        <w:tc>
          <w:tcPr>
            <w:tcW w:type="dxa" w:w="33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>
            <w:pPr>
              <w:spacing w:after="40" w:before="0" w:line="259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Терминологическая правка. Принять.</w:t>
            </w:r>
          </w:p>
        </w:tc>
      </w:tr>
      <w:tr>
        <w:tc>
          <w:tcPr>
            <w:tcW w:type="dxa" w:w="33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>
            <w:pPr>
              <w:spacing w:after="40" w:before="0" w:line="259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П. 1.3: возобновление на неопределенный срок</w:t>
            </w:r>
          </w:p>
        </w:tc>
        <w:tc>
          <w:tcPr>
            <w:tcW w:type="dxa" w:w="3307"/>
            <w:shd w:val="clear" w:color="auto" w:fill="FFF2C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>
            <w:pPr>
              <w:spacing w:after="40" w:before="0" w:line="259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Обосновано, формулировку уточнить</w:t>
            </w:r>
          </w:p>
        </w:tc>
        <w:tc>
          <w:tcPr>
            <w:tcW w:type="dxa" w:w="33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>
            <w:pPr>
              <w:spacing w:after="40" w:before="0" w:line="259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Пункт 2 статьи 621 ГК РФ через пункт 2 статьи 689 ГК РФ и Обзор ВС РФ № 2 (2020) подтверждают возобновление при молчании. Редакция проекта бессмысленна. Для муниципального имущества нужно сохранить право возразить при отсутствии согласия собственника и отсылку к статье 699 ГК РФ. Сырая правка этого не содержала.</w:t>
            </w:r>
          </w:p>
        </w:tc>
      </w:tr>
      <w:tr>
        <w:tc>
          <w:tcPr>
            <w:tcW w:type="dxa" w:w="33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>
            <w:pPr>
              <w:spacing w:after="40" w:before="0" w:line="259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П. 1.9: распространение оговорки на движимое имущество</w:t>
            </w:r>
          </w:p>
        </w:tc>
        <w:tc>
          <w:tcPr>
            <w:tcW w:type="dxa" w:w="3307"/>
            <w:shd w:val="clear" w:color="auto" w:fill="C6EFC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>
            <w:pPr>
              <w:spacing w:after="40" w:before="0" w:line="259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Обосновано</w:t>
            </w:r>
          </w:p>
        </w:tc>
        <w:tc>
          <w:tcPr>
            <w:tcW w:type="dxa" w:w="33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>
            <w:pPr>
              <w:spacing w:after="40" w:before="0" w:line="259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Акт предусматривает передачу движимого имущества вместе с помещениями. Принять с правкой «находящегося в них».</w:t>
            </w:r>
          </w:p>
        </w:tc>
      </w:tr>
      <w:tr>
        <w:tc>
          <w:tcPr>
            <w:tcW w:type="dxa" w:w="33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>
            <w:pPr>
              <w:spacing w:after="40" w:before="0" w:line="259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П. 2.2: пять рабочих дней вместо одного дня</w:t>
            </w:r>
          </w:p>
        </w:tc>
        <w:tc>
          <w:tcPr>
            <w:tcW w:type="dxa" w:w="3307"/>
            <w:shd w:val="clear" w:color="auto" w:fill="C6EFC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>
            <w:pPr>
              <w:spacing w:after="40" w:before="0" w:line="259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Обосновано</w:t>
            </w:r>
          </w:p>
        </w:tc>
        <w:tc>
          <w:tcPr>
            <w:tcW w:type="dxa" w:w="33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>
            <w:pPr>
              <w:spacing w:after="40" w:before="0" w:line="259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Срок «один день» для 596,4 кв. м нереален. Исправить согласование: «Помещения, указанные», не «указанное».</w:t>
            </w:r>
          </w:p>
        </w:tc>
      </w:tr>
      <w:tr>
        <w:tc>
          <w:tcPr>
            <w:tcW w:type="dxa" w:w="33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>
            <w:pPr>
              <w:spacing w:after="40" w:before="0" w:line="259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П. 2.3: 15 рабочих дней и неосновательное обогащение</w:t>
            </w:r>
          </w:p>
        </w:tc>
        <w:tc>
          <w:tcPr>
            <w:tcW w:type="dxa" w:w="3307"/>
            <w:shd w:val="clear" w:color="auto" w:fill="FFF2C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>
            <w:pPr>
              <w:spacing w:after="40" w:before="0" w:line="259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Обосновано, формулировку уточнить</w:t>
            </w:r>
          </w:p>
        </w:tc>
        <w:tc>
          <w:tcPr>
            <w:tcW w:type="dxa" w:w="33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>
            <w:pPr>
              <w:spacing w:after="40" w:before="0" w:line="259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Сама идея верна (ст. 1102, 1105 ГК РФ). Но нельзя оставлять условие «при наличии письменных возражений» для случая расторжения: при расторжении возврат обязателен всегда. В протоколе составы разделены.</w:t>
            </w:r>
          </w:p>
        </w:tc>
      </w:tr>
      <w:tr>
        <w:tc>
          <w:tcPr>
            <w:tcW w:type="dxa" w:w="33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>
            <w:pPr>
              <w:spacing w:after="40" w:before="0" w:line="259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П. 3.1.6: срок предупреждения 1 месяц вместо 6 месяцев</w:t>
            </w:r>
          </w:p>
        </w:tc>
        <w:tc>
          <w:tcPr>
            <w:tcW w:type="dxa" w:w="3307"/>
            <w:shd w:val="clear" w:color="auto" w:fill="FFF2C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>
            <w:pPr>
              <w:spacing w:after="40" w:before="0" w:line="259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Обосновано частично</w:t>
            </w:r>
          </w:p>
        </w:tc>
        <w:tc>
          <w:tcPr>
            <w:tcW w:type="dxa" w:w="33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>
            <w:pPr>
              <w:spacing w:after="40" w:before="0" w:line="259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Для безвозмездного договора шесть месяцев избыточны; месяц соответствует статье 699 ГК РФ. Контрагент, скорее всего, будет спорить. Компромисс — три месяца. Защиту образовательного модуля необходимо сохранить, иначе условие станет кабальным для учебного процесса.</w:t>
            </w:r>
          </w:p>
        </w:tc>
      </w:tr>
      <w:tr>
        <w:tc>
          <w:tcPr>
            <w:tcW w:type="dxa" w:w="33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>
            <w:pPr>
              <w:spacing w:after="40" w:before="0" w:line="259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П. 3.1.7: оставлен в правке почти без изменения</w:t>
            </w:r>
          </w:p>
        </w:tc>
        <w:tc>
          <w:tcPr>
            <w:tcW w:type="dxa" w:w="3307"/>
            <w:shd w:val="clear" w:color="auto" w:fill="F8CBAD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>
            <w:pPr>
              <w:spacing w:after="40" w:before="0" w:line="259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Нельзя оставлять как есть</w:t>
            </w:r>
          </w:p>
        </w:tc>
        <w:tc>
          <w:tcPr>
            <w:tcW w:type="dxa" w:w="33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>
            <w:pPr>
              <w:spacing w:after="40" w:before="0" w:line="259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Пункт по-прежнему возлагает на ссудодателя текущий и капитальный ремонт помещений и конфликтует с новым пунктом 3.3.4. Это главная внутренняя ошибка пакета правок. В протоколе обязанность ссудодателя сужена до капитального ремонта здания, общих систем и мест общего пользования.</w:t>
            </w:r>
          </w:p>
        </w:tc>
      </w:tr>
      <w:tr>
        <w:tc>
          <w:tcPr>
            <w:tcW w:type="dxa" w:w="33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>
            <w:pPr>
              <w:spacing w:after="40" w:before="0" w:line="259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П. 3.1.9: «целевое использование»</w:t>
            </w:r>
          </w:p>
        </w:tc>
        <w:tc>
          <w:tcPr>
            <w:tcW w:type="dxa" w:w="3307"/>
            <w:shd w:val="clear" w:color="auto" w:fill="C6EFC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>
            <w:pPr>
              <w:spacing w:after="40" w:before="0" w:line="259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Обосновано</w:t>
            </w:r>
          </w:p>
        </w:tc>
        <w:tc>
          <w:tcPr>
            <w:tcW w:type="dxa" w:w="33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>
            <w:pPr>
              <w:spacing w:after="40" w:before="0" w:line="259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Усиливает контроль по статье 698 ГК РФ. Принять.</w:t>
            </w:r>
          </w:p>
        </w:tc>
      </w:tr>
      <w:tr>
        <w:tc>
          <w:tcPr>
            <w:tcW w:type="dxa" w:w="33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>
            <w:pPr>
              <w:spacing w:after="40" w:before="0" w:line="259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П. 3.1.10: коммунальные услуги</w:t>
            </w:r>
          </w:p>
        </w:tc>
        <w:tc>
          <w:tcPr>
            <w:tcW w:type="dxa" w:w="3307"/>
            <w:shd w:val="clear" w:color="auto" w:fill="FCE4D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>
            <w:pPr>
              <w:spacing w:after="40" w:before="0" w:line="259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Обосновано как идея, редакция сырой правки непригодна</w:t>
            </w:r>
          </w:p>
        </w:tc>
        <w:tc>
          <w:tcPr>
            <w:tcW w:type="dxa" w:w="33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>
            <w:pPr>
              <w:spacing w:after="40" w:before="0" w:line="259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В пояснительной записке пункт назван необязательным условием контрагента. Исключать его полностью не следует: инженерные системы здания обслуживает балансодержатель. Но фраза «за счет собственных средств» противоречит пункту 3.3.6. Появилась грубая пунктуационная ошибка: «отходов. Помещений, за счет». В протоколе обязанности разделены.</w:t>
            </w:r>
          </w:p>
        </w:tc>
      </w:tr>
      <w:tr>
        <w:tc>
          <w:tcPr>
            <w:tcW w:type="dxa" w:w="33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>
            <w:pPr>
              <w:spacing w:after="40" w:before="0" w:line="259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П. 3.1.11: «сохранность его имущества»</w:t>
            </w:r>
          </w:p>
        </w:tc>
        <w:tc>
          <w:tcPr>
            <w:tcW w:type="dxa" w:w="3307"/>
            <w:shd w:val="clear" w:color="auto" w:fill="C6EFC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>
            <w:pPr>
              <w:spacing w:after="40" w:before="0" w:line="259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Обосновано</w:t>
            </w:r>
          </w:p>
        </w:tc>
        <w:tc>
          <w:tcPr>
            <w:tcW w:type="dxa" w:w="33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>
            <w:pPr>
              <w:spacing w:after="40" w:before="0" w:line="259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Защищает вещи ссудополучателя при работах в здании. Принять.</w:t>
            </w:r>
          </w:p>
        </w:tc>
      </w:tr>
      <w:tr>
        <w:tc>
          <w:tcPr>
            <w:tcW w:type="dxa" w:w="33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>
            <w:pPr>
              <w:spacing w:after="40" w:before="0" w:line="259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П. 3.1.17: возмещение только согласованных улучшений</w:t>
            </w:r>
          </w:p>
        </w:tc>
        <w:tc>
          <w:tcPr>
            <w:tcW w:type="dxa" w:w="3307"/>
            <w:shd w:val="clear" w:color="auto" w:fill="C6EFC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>
            <w:pPr>
              <w:spacing w:after="40" w:before="0" w:line="259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Обосновано полностью</w:t>
            </w:r>
          </w:p>
        </w:tc>
        <w:tc>
          <w:tcPr>
            <w:tcW w:type="dxa" w:w="33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>
            <w:pPr>
              <w:spacing w:after="40" w:before="0" w:line="259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Пункты 2 и 3 статьи 623 ГК РФ. Безусловное возмещение любых неотделимых улучшений опасно для муниципального объекта. Принять.</w:t>
            </w:r>
          </w:p>
        </w:tc>
      </w:tr>
      <w:tr>
        <w:tc>
          <w:tcPr>
            <w:tcW w:type="dxa" w:w="33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>
            <w:pPr>
              <w:spacing w:after="40" w:before="0" w:line="259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П. 3.2: новые права ссудодателя</w:t>
            </w:r>
          </w:p>
        </w:tc>
        <w:tc>
          <w:tcPr>
            <w:tcW w:type="dxa" w:w="3307"/>
            <w:shd w:val="clear" w:color="auto" w:fill="FFF2C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>
            <w:pPr>
              <w:spacing w:after="40" w:before="0" w:line="259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Обосновано, термин поправить</w:t>
            </w:r>
          </w:p>
        </w:tc>
        <w:tc>
          <w:tcPr>
            <w:tcW w:type="dxa" w:w="33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>
            <w:pPr>
              <w:spacing w:after="40" w:before="0" w:line="259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Доступ, возмещение ущерба и фиксация нарушений законны. Нельзя писать «Объект недвижимости» и «контроль за его использованием» при plural «Помещения». В протоколе — «Помещения» / «их».</w:t>
            </w:r>
          </w:p>
        </w:tc>
      </w:tr>
      <w:tr>
        <w:tc>
          <w:tcPr>
            <w:tcW w:type="dxa" w:w="33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>
            <w:pPr>
              <w:spacing w:after="40" w:before="0" w:line="259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П. 3.3.4: содержание и ремонт за счет ссудополучателя</w:t>
            </w:r>
          </w:p>
        </w:tc>
        <w:tc>
          <w:tcPr>
            <w:tcW w:type="dxa" w:w="3307"/>
            <w:shd w:val="clear" w:color="auto" w:fill="FFF2C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>
            <w:pPr>
              <w:spacing w:after="40" w:before="0" w:line="259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Обосновано частично; исходный запрет реконструкции нельзя терять</w:t>
            </w:r>
          </w:p>
        </w:tc>
        <w:tc>
          <w:tcPr>
            <w:tcW w:type="dxa" w:w="33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>
            <w:pPr>
              <w:spacing w:after="40" w:before="0" w:line="259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Статья 695 ГК РФ действительно возлагает содержание на ссудополучателя. Но сырая правка: (1) требует капитальный ремонт помещений от ссудополучателя; (2) уничтожает запрет реконструкции без согласия; (3) не согласована с пунктами 3.1.7 и 4.1. В протоколе: текущий ремонт помещений — ссудополучатель; капитальный ремонт здания — ссудодатель; реконструкция — только с согласия.</w:t>
            </w:r>
          </w:p>
        </w:tc>
      </w:tr>
      <w:tr>
        <w:tc>
          <w:tcPr>
            <w:tcW w:type="dxa" w:w="33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>
            <w:pPr>
              <w:spacing w:after="40" w:before="0" w:line="259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П. 3.3.6: отсылка к приложению № 3</w:t>
            </w:r>
          </w:p>
        </w:tc>
        <w:tc>
          <w:tcPr>
            <w:tcW w:type="dxa" w:w="3307"/>
            <w:shd w:val="clear" w:color="auto" w:fill="FFF2C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>
            <w:pPr>
              <w:spacing w:after="40" w:before="0" w:line="259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Обосновано как направление, недостаточно как текст</w:t>
            </w:r>
          </w:p>
        </w:tc>
        <w:tc>
          <w:tcPr>
            <w:tcW w:type="dxa" w:w="33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>
            <w:pPr>
              <w:spacing w:after="40" w:before="0" w:line="259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Вынести методику в соглашение разумно, но приложения № 3 в комплекте нет. Без запасного порядка расчета условие о компенсации не согласовано. Право «не оплачивать» при дефекте документов нужно заменить правилом о начале срока оплаты. В проекте контрагента ошибка «от Арендодателя» — ее устранение правильно.</w:t>
            </w:r>
          </w:p>
        </w:tc>
      </w:tr>
      <w:tr>
        <w:tc>
          <w:tcPr>
            <w:tcW w:type="dxa" w:w="33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>
            <w:pPr>
              <w:spacing w:after="40" w:before="0" w:line="259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П. 3.3.10: возврат и освобождение помещений</w:t>
            </w:r>
          </w:p>
        </w:tc>
        <w:tc>
          <w:tcPr>
            <w:tcW w:type="dxa" w:w="3307"/>
            <w:shd w:val="clear" w:color="auto" w:fill="FFF2C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>
            <w:pPr>
              <w:spacing w:after="40" w:before="0" w:line="259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Обосновано, условие о возражениях уточнить</w:t>
            </w:r>
          </w:p>
        </w:tc>
        <w:tc>
          <w:tcPr>
            <w:tcW w:type="dxa" w:w="33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>
            <w:pPr>
              <w:spacing w:after="40" w:before="0" w:line="259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Обязанность освободить помещения от своих вещей необходима. Возврат при любом прекращении, а не только при возражениях. Восстановить пропущенный номер 3.3.9.</w:t>
            </w:r>
          </w:p>
        </w:tc>
      </w:tr>
      <w:tr>
        <w:tc>
          <w:tcPr>
            <w:tcW w:type="dxa" w:w="33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>
            <w:pPr>
              <w:spacing w:after="40" w:before="0" w:line="259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П. 3.3.21: согласование вывески со ссудодателем</w:t>
            </w:r>
          </w:p>
        </w:tc>
        <w:tc>
          <w:tcPr>
            <w:tcW w:type="dxa" w:w="3307"/>
            <w:shd w:val="clear" w:color="auto" w:fill="C6EFC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>
            <w:pPr>
              <w:spacing w:after="40" w:before="0" w:line="259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Обосновано</w:t>
            </w:r>
          </w:p>
        </w:tc>
        <w:tc>
          <w:tcPr>
            <w:tcW w:type="dxa" w:w="33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>
            <w:pPr>
              <w:spacing w:after="40" w:before="0" w:line="259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Фасад здания детского дворца. В обеих редакциях ошибка «Пользователь» вместо «Ссудополучатель».</w:t>
            </w:r>
          </w:p>
        </w:tc>
      </w:tr>
      <w:tr>
        <w:tc>
          <w:tcPr>
            <w:tcW w:type="dxa" w:w="33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>
            <w:pPr>
              <w:spacing w:after="40" w:before="0" w:line="259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П. 3.4.3: собственник улучшений — ссудодатель; возмещение при согласовании</w:t>
            </w:r>
          </w:p>
        </w:tc>
        <w:tc>
          <w:tcPr>
            <w:tcW w:type="dxa" w:w="3307"/>
            <w:shd w:val="clear" w:color="auto" w:fill="C6EFC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>
            <w:pPr>
              <w:spacing w:after="40" w:before="0" w:line="259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Обосновано полностью</w:t>
            </w:r>
          </w:p>
        </w:tc>
        <w:tc>
          <w:tcPr>
            <w:tcW w:type="dxa" w:w="33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>
            <w:pPr>
              <w:spacing w:after="40" w:before="0" w:line="259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Заполнен пробел «собственность ____________». Исправлено «модование». Согласование «улучшения… приобретенное» в сырой правке все еще неверно: нужно «приобретенные».</w:t>
            </w:r>
          </w:p>
        </w:tc>
      </w:tr>
      <w:tr>
        <w:tc>
          <w:tcPr>
            <w:tcW w:type="dxa" w:w="33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>
            <w:pPr>
              <w:spacing w:after="40" w:before="0" w:line="259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П. 3.4.4: возобновление пользования</w:t>
            </w:r>
          </w:p>
        </w:tc>
        <w:tc>
          <w:tcPr>
            <w:tcW w:type="dxa" w:w="3307"/>
            <w:shd w:val="clear" w:color="auto" w:fill="FFF2C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>
            <w:pPr>
              <w:spacing w:after="40" w:before="0" w:line="259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Обосновано уточнить</w:t>
            </w:r>
          </w:p>
        </w:tc>
        <w:tc>
          <w:tcPr>
            <w:tcW w:type="dxa" w:w="33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>
            <w:pPr>
              <w:spacing w:after="40" w:before="0" w:line="259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Нельзя смешивать преимущественное право (его у ссуды нет) и возобновление по пункту 2 статьи 621 ГК РФ. Связать с пунктом 1.3.</w:t>
            </w:r>
          </w:p>
        </w:tc>
      </w:tr>
      <w:tr>
        <w:tc>
          <w:tcPr>
            <w:tcW w:type="dxa" w:w="33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>
            <w:pPr>
              <w:spacing w:after="40" w:before="0" w:line="259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П. 4.1: не изменен в правках</w:t>
            </w:r>
          </w:p>
        </w:tc>
        <w:tc>
          <w:tcPr>
            <w:tcW w:type="dxa" w:w="3307"/>
            <w:shd w:val="clear" w:color="auto" w:fill="F8CBAD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>
            <w:pPr>
              <w:spacing w:after="40" w:before="0" w:line="259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Обязательная сопутствующая правка</w:t>
            </w:r>
          </w:p>
        </w:tc>
        <w:tc>
          <w:tcPr>
            <w:tcW w:type="dxa" w:w="33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>
            <w:pPr>
              <w:spacing w:after="40" w:before="0" w:line="259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Если принят новый пункт 3.3.4, пункт 4.1 в редакции проекта делает его мертвым. Это нужно включить в протокол, даже если в правках пункт не трогали.</w:t>
            </w:r>
          </w:p>
        </w:tc>
      </w:tr>
      <w:tr>
        <w:tc>
          <w:tcPr>
            <w:tcW w:type="dxa" w:w="33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>
            <w:pPr>
              <w:spacing w:after="40" w:before="0" w:line="259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П. 5.1: запрет правопреемства при реорганизации</w:t>
            </w:r>
          </w:p>
        </w:tc>
        <w:tc>
          <w:tcPr>
            <w:tcW w:type="dxa" w:w="3307"/>
            <w:shd w:val="clear" w:color="auto" w:fill="FFF2C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>
            <w:pPr>
              <w:spacing w:after="40" w:before="0" w:line="259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Обосновано, смягчить</w:t>
            </w:r>
          </w:p>
        </w:tc>
        <w:tc>
          <w:tcPr>
            <w:tcW w:type="dxa" w:w="33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>
            <w:pPr>
              <w:spacing w:after="40" w:before="0" w:line="259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Пункт 2 статьи 700 ГК РФ прямо позволяет исключить переход прав. Для муниципального имущества личность пользователя существенна. Абсолютный запрет хуже, чем запрет без письменного согласия: при смене организационно-правовой формы с сохранением деятельности согласие можно дать.</w:t>
            </w:r>
          </w:p>
        </w:tc>
      </w:tr>
      <w:tr>
        <w:tc>
          <w:tcPr>
            <w:tcW w:type="dxa" w:w="33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>
            <w:pPr>
              <w:spacing w:after="40" w:before="0" w:line="259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П. 5.2: дополнительные основания расторжения</w:t>
            </w:r>
          </w:p>
        </w:tc>
        <w:tc>
          <w:tcPr>
            <w:tcW w:type="dxa" w:w="3307"/>
            <w:shd w:val="clear" w:color="auto" w:fill="C6EFC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>
            <w:pPr>
              <w:spacing w:after="40" w:before="0" w:line="259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Обосновано полностью</w:t>
            </w:r>
          </w:p>
        </w:tc>
        <w:tc>
          <w:tcPr>
            <w:tcW w:type="dxa" w:w="33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>
            <w:pPr>
              <w:spacing w:after="40" w:before="0" w:line="259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Это буквальные основания статьи 698 ГК РФ. Исправить «третьих лиц» на «третьим лицам» и «образовательно модуля».</w:t>
            </w:r>
          </w:p>
        </w:tc>
      </w:tr>
      <w:tr>
        <w:tc>
          <w:tcPr>
            <w:tcW w:type="dxa" w:w="33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>
            <w:pPr>
              <w:spacing w:after="40" w:before="0" w:line="259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П. 6.3: исключение полной ответственности за штрафы и «все убытки»</w:t>
            </w:r>
          </w:p>
        </w:tc>
        <w:tc>
          <w:tcPr>
            <w:tcW w:type="dxa" w:w="3307"/>
            <w:shd w:val="clear" w:color="auto" w:fill="C6EFC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>
            <w:pPr>
              <w:spacing w:after="40" w:before="0" w:line="259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Обосновано полностью</w:t>
            </w:r>
          </w:p>
        </w:tc>
        <w:tc>
          <w:tcPr>
            <w:tcW w:type="dxa" w:w="33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>
            <w:pPr>
              <w:spacing w:after="40" w:before="0" w:line="259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Статья 693 ГК РФ. Второй абзац проекта для бюджетного (автономного) учреждения неприемлем. Сырая правка верно добавила пункт 3 статьи 693 ГК РФ, но использовала «Объект недвижимости» и не воспроизвела средства защиты ссудополучателя. В протоколе формула статьи 693 дана полностью. Пункт 1.8 (гарантия соответствия нормам) сохраняется.</w:t>
            </w:r>
          </w:p>
        </w:tc>
      </w:tr>
      <w:tr>
        <w:tc>
          <w:tcPr>
            <w:tcW w:type="dxa" w:w="33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>
            <w:pPr>
              <w:spacing w:after="40" w:before="0" w:line="259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П. 6.5: риск случайной гибели</w:t>
            </w:r>
          </w:p>
        </w:tc>
        <w:tc>
          <w:tcPr>
            <w:tcW w:type="dxa" w:w="3307"/>
            <w:shd w:val="clear" w:color="auto" w:fill="FFF2C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>
            <w:pPr>
              <w:spacing w:after="40" w:before="0" w:line="259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Обосновано частично</w:t>
            </w:r>
          </w:p>
        </w:tc>
        <w:tc>
          <w:tcPr>
            <w:tcW w:type="dxa" w:w="33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>
            <w:pPr>
              <w:spacing w:after="40" w:before="0" w:line="259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Добавление передачи третьему лицу соответствует статье 696 ГК РФ. Но сырая правка исключила третье законное основание (мог предотвратить гибель, пожертвовав своей вещью). Его нужно вернуть. «Объект недвижимости» заменить на «Помещения».</w:t>
            </w:r>
          </w:p>
        </w:tc>
      </w:tr>
      <w:tr>
        <w:tc>
          <w:tcPr>
            <w:tcW w:type="dxa" w:w="33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>
            <w:pPr>
              <w:spacing w:after="40" w:before="0" w:line="259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П. 7.4 и приложение № 1</w:t>
            </w:r>
          </w:p>
        </w:tc>
        <w:tc>
          <w:tcPr>
            <w:tcW w:type="dxa" w:w="3307"/>
            <w:shd w:val="clear" w:color="auto" w:fill="C6EFC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>
            <w:pPr>
              <w:spacing w:after="40" w:before="0" w:line="259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Обосновано</w:t>
            </w:r>
          </w:p>
        </w:tc>
        <w:tc>
          <w:tcPr>
            <w:tcW w:type="dxa" w:w="33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>
            <w:pPr>
              <w:spacing w:after="40" w:before="0" w:line="259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Нумерация приложений в проекте сбита. Цель в акте должна совпадать с пунктом 1.1. В правке акта заключительный пункт повторно пронумерован как «2».</w:t>
            </w:r>
          </w:p>
        </w:tc>
      </w:tr>
    </w:tbl>
    <w:p>
      <w:pPr>
        <w:spacing w:after="160" w:before="240" w:line="276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4. Критические противоречия, которые нельзя оставлять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4.1. Ремонт и содержание. В правках одновременно существуют: пункт 3.1.7 (ссудодатель за свой счет делает текущий и капитальный ремонт помещений), новый пункт 3.3.4 (ссудополучатель несет все расходы на содержание, текущий и капитальный ремонт) и неизмененный пункт 4.1 (ремонт не относится к расходам ссудополучателя). При споре суд может счесть условие несогласованным либо истолковать сомнения против составителя. Предлагаемое распределение: текущий ремонт занимаемых помещений — ссудополучатель; капитальный ремонт здания, мест общего пользования и общих инженерных систем — ссудодатель, кроме повреждений по вине ссудополучателя.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4.2. Коммунальные платежи. Пункт 3.1.10 («за счет собственных средств») и пункт 3.3.6 (возмещение ссудополучателем) взаимно исключают друг друга. Нужно: содержание сетей — ссудодатель; потребленные электроэнергия, вода, водоотведение, отопление — компенсация; ТКО, уборка территории, интернет и телефон — ссудодатель, как и было в проекте.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4.3. Потеря запрета реконструкции. Исходный пункт 3.3.4 запрещал капитальный ремонт и реконструкцию без согласия. Новая редакция заменила его обязанностью самого ссудополучателя делать капитальный ремонт. Запрет самовольного изменения муниципального объекта необходимо вернуть отдельным абзацем.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4.4. Приложение № 3. Отсылка к несуществующему соглашению о компенсации коммунальных расходов делает условие несогласованным. Либо приложение готовят одновременно с протоколом, либо в договоре оставляют запасной порядок расчета (как в протоколе).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4.5. Срок договора и модуль. Пункты 4.3 и 5.2 блокируют расторжение до 30 июня. Это договорное ограничение допустимо (статья 421 ГК РФ), но его нужно сознательно сохранять: иначе образовательная деятельность ссудополучателя может быть прервана посередине года. Сокращение срока предупреждения с шести месяцев до одного месяца при сохраненном модуле затрагивает в основном каникулярный период.</w:t>
      </w:r>
    </w:p>
    <w:p>
      <w:pPr>
        <w:spacing w:after="160" w:before="240" w:line="276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5. Язык и юридическая техника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Русский язык проекта и правок в целом понятен, но для договора такого объема качество редакции ниже допустимого. Ошибки согласования, управления и терминологии в спорном пункте почти всегда толкуются против того, кто их допустил. Ниже — ошибки, которые обязательно убрать до направления протокола.</w:t>
      </w:r>
    </w:p>
    <w:tbl>
      <w:tblPr>
        <w:tblW w:type="dxa" w:w="9922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3118"/>
            <w:shd w:val="clear" w:color="auto" w:fill="1F4E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>
            <w:pPr>
              <w:spacing w:after="40" w:before="0" w:line="259" w:lineRule="auto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Как написано</w:t>
            </w:r>
          </w:p>
        </w:tc>
        <w:tc>
          <w:tcPr>
            <w:tcW w:type="dxa" w:w="3118"/>
            <w:shd w:val="clear" w:color="auto" w:fill="1F4E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>
            <w:pPr>
              <w:spacing w:after="40" w:before="0" w:line="259" w:lineRule="auto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Как правильно</w:t>
            </w:r>
          </w:p>
        </w:tc>
        <w:tc>
          <w:tcPr>
            <w:tcW w:type="dxa" w:w="3685"/>
            <w:shd w:val="clear" w:color="auto" w:fill="1F4E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>
            <w:pPr>
              <w:spacing w:after="40" w:before="0" w:line="259" w:lineRule="auto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Где и почему</w:t>
            </w:r>
          </w:p>
        </w:tc>
      </w:tr>
      <w:tr>
        <w:tc>
          <w:tcPr>
            <w:tcW w:type="dxa" w:w="33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>
            <w:pPr>
              <w:spacing w:after="40" w:before="0" w:line="259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согласно по акту</w:t>
            </w:r>
          </w:p>
        </w:tc>
        <w:tc>
          <w:tcPr>
            <w:tcW w:type="dxa" w:w="33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>
            <w:pPr>
              <w:spacing w:after="40" w:before="0" w:line="259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согласно акту / в составе, указанном в акте</w:t>
            </w:r>
          </w:p>
        </w:tc>
        <w:tc>
          <w:tcPr>
            <w:tcW w:type="dxa" w:w="33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>
            <w:pPr>
              <w:spacing w:after="40" w:before="0" w:line="259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П. 1.1 правки. Предлог «по» после «согласно» не употребляется.</w:t>
            </w:r>
          </w:p>
        </w:tc>
      </w:tr>
      <w:tr>
        <w:tc>
          <w:tcPr>
            <w:tcW w:type="dxa" w:w="33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>
            <w:pPr>
              <w:spacing w:after="40" w:before="0" w:line="259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Помещения предоставляется</w:t>
            </w:r>
          </w:p>
        </w:tc>
        <w:tc>
          <w:tcPr>
            <w:tcW w:type="dxa" w:w="33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>
            <w:pPr>
              <w:spacing w:after="40" w:before="0" w:line="259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Помещения предоставляются</w:t>
            </w:r>
          </w:p>
        </w:tc>
        <w:tc>
          <w:tcPr>
            <w:tcW w:type="dxa" w:w="33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>
            <w:pPr>
              <w:spacing w:after="40" w:before="0" w:line="259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П. 1.1 обеих редакций. Подлежащее во множественном числе.</w:t>
            </w:r>
          </w:p>
        </w:tc>
      </w:tr>
      <w:tr>
        <w:tc>
          <w:tcPr>
            <w:tcW w:type="dxa" w:w="33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>
            <w:pPr>
              <w:spacing w:after="40" w:before="0" w:line="259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Помещения … указанное</w:t>
            </w:r>
          </w:p>
        </w:tc>
        <w:tc>
          <w:tcPr>
            <w:tcW w:type="dxa" w:w="33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>
            <w:pPr>
              <w:spacing w:after="40" w:before="0" w:line="259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Помещения … указанные</w:t>
            </w:r>
          </w:p>
        </w:tc>
        <w:tc>
          <w:tcPr>
            <w:tcW w:type="dxa" w:w="33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>
            <w:pPr>
              <w:spacing w:after="40" w:before="0" w:line="259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П. 2.2 правки. Нарушено согласование.</w:t>
            </w:r>
          </w:p>
        </w:tc>
      </w:tr>
      <w:tr>
        <w:tc>
          <w:tcPr>
            <w:tcW w:type="dxa" w:w="33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>
            <w:pPr>
              <w:spacing w:after="40" w:before="0" w:line="259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твердо-бытовых отходов. Помещений, за счет</w:t>
            </w:r>
          </w:p>
        </w:tc>
        <w:tc>
          <w:tcPr>
            <w:tcW w:type="dxa" w:w="33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>
            <w:pPr>
              <w:spacing w:after="40" w:before="0" w:line="259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твердых коммунальных отходов. … за счет</w:t>
            </w:r>
          </w:p>
        </w:tc>
        <w:tc>
          <w:tcPr>
            <w:tcW w:type="dxa" w:w="33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>
            <w:pPr>
              <w:spacing w:after="40" w:before="0" w:line="259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П. 3.1.10 правки. Точка разорвала фразу; термин устарел.</w:t>
            </w:r>
          </w:p>
        </w:tc>
      </w:tr>
      <w:tr>
        <w:tc>
          <w:tcPr>
            <w:tcW w:type="dxa" w:w="33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>
            <w:pPr>
              <w:spacing w:after="40" w:before="0" w:line="259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аварийнотехнических</w:t>
            </w:r>
          </w:p>
        </w:tc>
        <w:tc>
          <w:tcPr>
            <w:tcW w:type="dxa" w:w="33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>
            <w:pPr>
              <w:spacing w:after="40" w:before="0" w:line="259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аварийно-технических</w:t>
            </w:r>
          </w:p>
        </w:tc>
        <w:tc>
          <w:tcPr>
            <w:tcW w:type="dxa" w:w="33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>
            <w:pPr>
              <w:spacing w:after="40" w:before="0" w:line="259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П. 3.3.8 обеих редакций.</w:t>
            </w:r>
          </w:p>
        </w:tc>
      </w:tr>
      <w:tr>
        <w:tc>
          <w:tcPr>
            <w:tcW w:type="dxa" w:w="33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>
            <w:pPr>
              <w:spacing w:after="40" w:before="0" w:line="259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бездействий</w:t>
            </w:r>
          </w:p>
        </w:tc>
        <w:tc>
          <w:tcPr>
            <w:tcW w:type="dxa" w:w="33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>
            <w:pPr>
              <w:spacing w:after="40" w:before="0" w:line="259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бездействия</w:t>
            </w:r>
          </w:p>
        </w:tc>
        <w:tc>
          <w:tcPr>
            <w:tcW w:type="dxa" w:w="33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>
            <w:pPr>
              <w:spacing w:after="40" w:before="0" w:line="259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П. 3.3.13 обеих редакций.</w:t>
            </w:r>
          </w:p>
        </w:tc>
      </w:tr>
      <w:tr>
        <w:tc>
          <w:tcPr>
            <w:tcW w:type="dxa" w:w="33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>
            <w:pPr>
              <w:spacing w:after="40" w:before="0" w:line="259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соблюдений условий</w:t>
            </w:r>
          </w:p>
        </w:tc>
        <w:tc>
          <w:tcPr>
            <w:tcW w:type="dxa" w:w="33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>
            <w:pPr>
              <w:spacing w:after="40" w:before="0" w:line="259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соблюдения условий</w:t>
            </w:r>
          </w:p>
        </w:tc>
        <w:tc>
          <w:tcPr>
            <w:tcW w:type="dxa" w:w="33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>
            <w:pPr>
              <w:spacing w:after="40" w:before="0" w:line="259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П. 3.3.14 обеих редакций.</w:t>
            </w:r>
          </w:p>
        </w:tc>
      </w:tr>
      <w:tr>
        <w:tc>
          <w:tcPr>
            <w:tcW w:type="dxa" w:w="33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>
            <w:pPr>
              <w:spacing w:after="40" w:before="0" w:line="259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образовательно модуля</w:t>
            </w:r>
          </w:p>
        </w:tc>
        <w:tc>
          <w:tcPr>
            <w:tcW w:type="dxa" w:w="33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>
            <w:pPr>
              <w:spacing w:after="40" w:before="0" w:line="259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образовательного модуля</w:t>
            </w:r>
          </w:p>
        </w:tc>
        <w:tc>
          <w:tcPr>
            <w:tcW w:type="dxa" w:w="33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>
            <w:pPr>
              <w:spacing w:after="40" w:before="0" w:line="259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П. 5.2 обеих редакций.</w:t>
            </w:r>
          </w:p>
        </w:tc>
      </w:tr>
      <w:tr>
        <w:tc>
          <w:tcPr>
            <w:tcW w:type="dxa" w:w="33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>
            <w:pPr>
              <w:spacing w:after="40" w:before="0" w:line="259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модование</w:t>
            </w:r>
          </w:p>
        </w:tc>
        <w:tc>
          <w:tcPr>
            <w:tcW w:type="dxa" w:w="33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>
            <w:pPr>
              <w:spacing w:after="40" w:before="0" w:line="259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оборудование</w:t>
            </w:r>
          </w:p>
        </w:tc>
        <w:tc>
          <w:tcPr>
            <w:tcW w:type="dxa" w:w="33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>
            <w:pPr>
              <w:spacing w:after="40" w:before="0" w:line="259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П. 3.4.3 проекта контрагента.</w:t>
            </w:r>
          </w:p>
        </w:tc>
      </w:tr>
      <w:tr>
        <w:tc>
          <w:tcPr>
            <w:tcW w:type="dxa" w:w="33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>
            <w:pPr>
              <w:spacing w:after="40" w:before="0" w:line="259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улучшения Помещения, приобретенное</w:t>
            </w:r>
          </w:p>
        </w:tc>
        <w:tc>
          <w:tcPr>
            <w:tcW w:type="dxa" w:w="33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>
            <w:pPr>
              <w:spacing w:after="40" w:before="0" w:line="259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улучшения Помещений, приобретенные</w:t>
            </w:r>
          </w:p>
        </w:tc>
        <w:tc>
          <w:tcPr>
            <w:tcW w:type="dxa" w:w="33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>
            <w:pPr>
              <w:spacing w:after="40" w:before="0" w:line="259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П. 3.4.3 правки. Число и род.</w:t>
            </w:r>
          </w:p>
        </w:tc>
      </w:tr>
      <w:tr>
        <w:tc>
          <w:tcPr>
            <w:tcW w:type="dxa" w:w="33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>
            <w:pPr>
              <w:spacing w:after="40" w:before="0" w:line="259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в пользование третьих лиц</w:t>
            </w:r>
          </w:p>
        </w:tc>
        <w:tc>
          <w:tcPr>
            <w:tcW w:type="dxa" w:w="33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>
            <w:pPr>
              <w:spacing w:after="40" w:before="0" w:line="259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в пользование третьим лицам</w:t>
            </w:r>
          </w:p>
        </w:tc>
        <w:tc>
          <w:tcPr>
            <w:tcW w:type="dxa" w:w="33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>
            <w:pPr>
              <w:spacing w:after="40" w:before="0" w:line="259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П. 5.2 правки. Ошибка управления.</w:t>
            </w:r>
          </w:p>
        </w:tc>
      </w:tr>
      <w:tr>
        <w:tc>
          <w:tcPr>
            <w:tcW w:type="dxa" w:w="33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>
            <w:pPr>
              <w:spacing w:after="40" w:before="0" w:line="259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Пользователя</w:t>
            </w:r>
          </w:p>
        </w:tc>
        <w:tc>
          <w:tcPr>
            <w:tcW w:type="dxa" w:w="33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>
            <w:pPr>
              <w:spacing w:after="40" w:before="0" w:line="259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Ссудополучателя</w:t>
            </w:r>
          </w:p>
        </w:tc>
        <w:tc>
          <w:tcPr>
            <w:tcW w:type="dxa" w:w="33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>
            <w:pPr>
              <w:spacing w:after="40" w:before="0" w:line="259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П. 3.3.21 обеих редакций. Сторона иначе не определена.</w:t>
            </w:r>
          </w:p>
        </w:tc>
      </w:tr>
      <w:tr>
        <w:tc>
          <w:tcPr>
            <w:tcW w:type="dxa" w:w="33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>
            <w:pPr>
              <w:spacing w:after="40" w:before="0" w:line="259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от Арендодателя</w:t>
            </w:r>
          </w:p>
        </w:tc>
        <w:tc>
          <w:tcPr>
            <w:tcW w:type="dxa" w:w="33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>
            <w:pPr>
              <w:spacing w:after="40" w:before="0" w:line="259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от Ссудодателя</w:t>
            </w:r>
          </w:p>
        </w:tc>
        <w:tc>
          <w:tcPr>
            <w:tcW w:type="dxa" w:w="33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>
            <w:pPr>
              <w:spacing w:after="40" w:before="0" w:line="259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П. 3.3.6 проекта контрагента.</w:t>
            </w:r>
          </w:p>
        </w:tc>
      </w:tr>
      <w:tr>
        <w:tc>
          <w:tcPr>
            <w:tcW w:type="dxa" w:w="33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>
            <w:pPr>
              <w:spacing w:after="40" w:before="0" w:line="259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План - схемой</w:t>
            </w:r>
          </w:p>
        </w:tc>
        <w:tc>
          <w:tcPr>
            <w:tcW w:type="dxa" w:w="33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>
            <w:pPr>
              <w:spacing w:after="40" w:before="0" w:line="259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план-схемой</w:t>
            </w:r>
          </w:p>
        </w:tc>
        <w:tc>
          <w:tcPr>
            <w:tcW w:type="dxa" w:w="33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>
            <w:pPr>
              <w:spacing w:after="40" w:before="0" w:line="259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Приложение № 1. Дефис и согласование.</w:t>
            </w:r>
          </w:p>
        </w:tc>
      </w:tr>
      <w:tr>
        <w:tc>
          <w:tcPr>
            <w:tcW w:type="dxa" w:w="33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>
            <w:pPr>
              <w:spacing w:after="40" w:before="0" w:line="259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прекращение/расторжение</w:t>
            </w:r>
          </w:p>
        </w:tc>
        <w:tc>
          <w:tcPr>
            <w:tcW w:type="dxa" w:w="33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>
            <w:pPr>
              <w:spacing w:after="40" w:before="0" w:line="259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прекращение (расторжение)</w:t>
            </w:r>
          </w:p>
        </w:tc>
        <w:tc>
          <w:tcPr>
            <w:tcW w:type="dxa" w:w="33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>
            <w:pPr>
              <w:spacing w:after="40" w:before="0" w:line="259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По всему тексту. Косая черта в договоре нежелательна.</w:t>
            </w:r>
          </w:p>
        </w:tc>
      </w:tr>
      <w:tr>
        <w:tc>
          <w:tcPr>
            <w:tcW w:type="dxa" w:w="33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>
            <w:pPr>
              <w:spacing w:after="40" w:before="0" w:line="259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кв.м.</w:t>
            </w:r>
          </w:p>
        </w:tc>
        <w:tc>
          <w:tcPr>
            <w:tcW w:type="dxa" w:w="33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>
            <w:pPr>
              <w:spacing w:after="40" w:before="0" w:line="259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кв. м</w:t>
            </w:r>
          </w:p>
        </w:tc>
        <w:tc>
          <w:tcPr>
            <w:tcW w:type="dxa" w:w="33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>
            <w:pPr>
              <w:spacing w:after="40" w:before="0" w:line="259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По всему тексту. Пробел по правилам русской типографики.</w:t>
            </w:r>
          </w:p>
        </w:tc>
      </w:tr>
    </w:tbl>
    <w:p>
      <w:pPr>
        <w:spacing w:after="120" w:before="160" w:line="276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Сквозные дефекты стиля: смешение «Имущество», «Помещения», «Помещение», «Объект недвижимости» без определения; косая черта «прекращение/расторжение»; пропуск пункта 3.3.9; в приложении № 1 два пункта с номером «2»; «Г.О. Город Чебоксары» в адресе ссудополучателя лучше привести к написанию «г.о. город Чебоксары» по выписке ЕГРЮЛ, не сохраняя заглавные буквы посреди реквизитов.</w:t>
      </w:r>
    </w:p>
    <w:p>
      <w:pPr>
        <w:spacing w:after="160" w:before="240" w:line="276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6. Что изменено в проекте протокола по сравнению с сырыми правками</w:t>
      </w:r>
    </w:p>
    <w:p>
      <w:pPr>
        <w:spacing w:after="60" w:before="0" w:line="276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исправлены грамматика, управление, согласование и терминология;</w:t>
      </w:r>
    </w:p>
    <w:p>
      <w:pPr>
        <w:spacing w:after="60" w:before="0" w:line="276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разведены текущий ремонт помещений и капитальный ремонт здания (п. п. 3.1.7, 3.3.4, 4.1);</w:t>
      </w:r>
    </w:p>
    <w:p>
      <w:pPr>
        <w:spacing w:after="60" w:before="0" w:line="276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возвращен запрет реконструкции без согласия;</w:t>
      </w:r>
    </w:p>
    <w:p>
      <w:pPr>
        <w:spacing w:after="60" w:before="0" w:line="276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пункт 3.1.10 согласован с пунктом 3.3.6;</w:t>
      </w:r>
    </w:p>
    <w:p>
      <w:pPr>
        <w:spacing w:after="60" w:before="0" w:line="276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в пункт 3.3.6 введен запасной порядок оплаты до подписания приложения № 3; право «не платить» заменено правилом о полном комплекте документов;</w:t>
      </w:r>
    </w:p>
    <w:p>
      <w:pPr>
        <w:spacing w:after="60" w:before="0" w:line="276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пункт 2.3 разделен на возврат при расторжении и возврат при возражениях после истечения срока;</w:t>
      </w:r>
    </w:p>
    <w:p>
      <w:pPr>
        <w:spacing w:after="60" w:before="0" w:line="276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в пункт 1.3 добавлены возражения собственника и статья 699 ГК РФ;</w:t>
      </w:r>
    </w:p>
    <w:p>
      <w:pPr>
        <w:spacing w:after="60" w:before="0" w:line="276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запрет правопреемства при реорганизации смягчен до «без письменного согласия»;</w:t>
      </w:r>
    </w:p>
    <w:p>
      <w:pPr>
        <w:spacing w:after="60" w:before="0" w:line="276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пункт 6.3 изложен по статье 693 ГК РФ полностью, без «всех убытков и штрафов»;</w:t>
      </w:r>
    </w:p>
    <w:p>
      <w:pPr>
        <w:spacing w:after="60" w:before="0" w:line="276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пункт 6.5 изложен по статье 696 ГК РФ полностью;</w:t>
      </w:r>
    </w:p>
    <w:p>
      <w:pPr>
        <w:spacing w:after="60" w:before="0" w:line="276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в пункте 3.4.4 убрано смешение преимущественного права и автоматического возобновления.</w:t>
      </w:r>
    </w:p>
    <w:p>
      <w:pPr>
        <w:spacing w:after="160" w:before="240" w:line="276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7. Рекомендации до подписания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1. Вписать реквизиты согласия собственника (орган, дата, номер) до подписания. Без согласия договор ссуды муниципального имущества, закрепленного на праве оперативного управления, недействителен либо оспорим (статьи 295, 296, 690 ГК РФ, законодательство о местном самоуправлении).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2. Одновременно подготовить приложение № 3 — соглашение о компенсации коммунальных расходов — либо оставить в договоре полный порядок расчета.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3. Проверить, что договор о сотрудничестве и регламент совместной эксплуатации, на которые ссылается пункт 4.2, действительно существуют и датированы.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4. Не подписывать акт приема-передачи с заранее напечатанной фразой о полном соответствии помещений санитарным, пожарным и техническим нормам, пока это не подтверждено осмотром. Иначе пункт 6.3 (неответственность за явные недостатки) сработает против ссудополучателя, но и ссудодатель свяжет себя признанием.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5. Срок договора лучше указать конкретными датами, совпадающими с учебным циклом, чтобы не спорить о «модуле».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6. Направить контрагенту протокол вместе с экземпляром проекта, на котором сделана отметка «подписан с протоколом разногласий». До акцепта протокола спорные пункты не согласованы (статьи 443, 445 ГК РФ).</w:t>
      </w:r>
    </w:p>
    <w:p>
      <w:pPr>
        <w:spacing w:after="160" w:before="240" w:line="276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8. Итог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Правки в целом правильные по существу и защищают учреждение как ссудодателя муниципального имущества. Их нельзя считать готовым текстом: три блока (ремонт, коммунальные платежи, риск/ответственность) требуют согласованной редакции, а русский язык правок содержит ошибки, которые снижают юридическую силу формулировок. Проект протокола разногласий подготовлен по структуре формы КонсультантПлюс (преамбула о получении проекта, таблица «редакция контрагента / наша редакция / обоснование», условие о судьбе неназванных пунктов, срок ответа, реквизиты и подписи) и уже содержит выверенные формулировки.</w:t>
      </w:r>
    </w:p>
    <w:sectPr w:rsidR="00FC693F" w:rsidRPr="0006063C" w:rsidSect="00034616">
      <w:pgSz w:w="11906" w:h="16838"/>
      <w:pgMar w:top="1134" w:right="850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