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  <w:jc w:val="center"/>
      </w:pPr>
      <w:r>
        <w:rPr>
          <w:rFonts w:ascii="Times New Roman" w:hAnsi="Times New Roman" w:cs="Times New Roman" w:eastAsia="Times New Roman"/>
          <w:sz w:val="28"/>
        </w:rPr>
        <w:t>Національний технічний університет України</w:t>
      </w:r>
    </w:p>
    <w:p>
      <w:pPr>
        <w:keepNext w:val="0"/>
        <w:spacing w:before="0" w:after="0"/>
        <w:jc w:val="center"/>
      </w:pPr>
      <w:r>
        <w:rPr>
          <w:rFonts w:ascii="Times New Roman" w:hAnsi="Times New Roman" w:cs="Times New Roman" w:eastAsia="Times New Roman"/>
          <w:sz w:val="28"/>
        </w:rPr>
        <w:t>«Київський політехнічний інститут імені Ігоря Сікорського»</w:t>
      </w:r>
    </w:p>
    <w:p>
      <w:pPr>
        <w:keepNext w:val="0"/>
        <w:spacing w:before="0" w:after="240"/>
        <w:jc w:val="center"/>
      </w:pPr>
      <w:r>
        <w:rPr>
          <w:rFonts w:ascii="Times New Roman" w:hAnsi="Times New Roman" w:cs="Times New Roman" w:eastAsia="Times New Roman"/>
          <w:sz w:val="28"/>
        </w:rPr>
        <w:t>Кафедра програмного забезпечення комп’ютерних систем</w:t>
      </w:r>
    </w:p>
    <w:p>
      <w:pPr>
        <w:keepNext w:val="0"/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Дисципліна «Великі дані та аналітика»</w:t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ЛАБОРАТОРНА РОБОТА 1</w:t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Аналітика великих даних та машинне навчання</w:t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Заняття 3. Побудова інтелектуальної системи. Інтеграція моделі машинного навчання. Візуалізація даних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 дисертаційного дослідження</w:t>
      </w:r>
    </w:p>
    <w:p>
      <w:pPr>
        <w:keepNext w:val="0"/>
        <w:spacing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«Методи та програмні засоби побудови цифрових двійників когнітивного стану людини на основі квантових моделей та метаевристик».</w:t>
      </w:r>
    </w:p>
    <w:p>
      <w:pPr>
        <w:keepNext w:val="0"/>
        <w:spacing w:before="0" w:after="0"/>
        <w:jc w:val="center"/>
      </w:pPr>
      <w:r>
        <w:rPr>
          <w:rFonts w:ascii="Times New Roman" w:hAnsi="Times New Roman" w:cs="Times New Roman" w:eastAsia="Times New Roman"/>
          <w:sz w:val="28"/>
        </w:rPr>
        <w:t>Навчальне застосування: побудова програмного модуля цифрового двійника з квантовою моделлю прогнозування та метаевристичним добором її конфігурації.</w:t>
      </w:r>
    </w:p>
    <w:p>
      <w:pPr>
        <w:keepNext w:val="0"/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Розробник матеріалу: аспірант Вернік М. О. Лектор: к.т.н., доцент Олещенко Л. М.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Мета роботи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Побудувати та перевірити навчальний модуль цифрового двійника: описати спостереження стану, отримати розподіл наступного рівня за умовною моделлю Борна, обрати конфігурацію за якістю й ресурсним бюджетом та забезпечити класичний резервний режим.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Постановка практичного завдання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Розробити й перевірити модуль TwinEstimator для цифрового двійника. Модуль має зберігати походження спостережень, повертати умовний розподіл наступного рівня від моделі Борна, використовувати конфігурацію, обрану NSGA-II за бюджетом, і переходити на класичну модель при недоступності квантового симулятора.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Результат заняття – виконуваний модуль, три перевірені студентські функції, таблиця обраної конфігурації, рисунки Matplotlib та звіт із розділом «Результати». Реальні EEG служать прикладом вхідного спостереження; контрольовані синтетичні дні – даними для навчання й перевірки прогнозної частини.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1 – Зв’язок практичної роботи з темою PhD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Частина теми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Обов’язкова дія студента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Цифровий двійник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Розділити observation і forecast, зберегти domain та source_id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Квантова модель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Перевірити модель Борна і реалізувати NLL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Метаевристика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Проаналізувати NSGA-II, бюджет і фронт Парето; реалізувати вибір конфігурації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Програмні засоби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Перевірити резервний режим та неприпустиме змішування доменів</w:t>
            </w:r>
          </w:p>
        </w:tc>
      </w:tr>
    </w:tbl>
    <w:p>
      <w:pPr>
        <w:spacing w:after="0"/>
      </w:pP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 Підготовка і структура пакета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Папки twin_lab, trajectory_lab і data_lab мають залишатися поряд. Використайте Python 3.13.5 або сумісне середовище Python 3.11–3.13 з версіями з requirements.txt. Залежності – NumPy, SciPy, scikit-learn та Matplotlib. Доступ до фізичного квантового процесора не потрібний.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cd twin_lab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python -m pip install -r ../data_lab/requirements.txt</w:t>
      </w:r>
    </w:p>
    <w:p>
      <w:pPr>
        <w:spacing w:line="240" w:lineRule="auto"/>
        <w:ind w:left="283"/>
        <w:keepNext w:val="0"/>
        <w:keepLines/>
        <w:shd w:val="clear" w:fill="F2F2F2"/>
      </w:pPr>
      <w:r>
        <w:rPr>
          <w:rFonts w:ascii="Consolas" w:hAnsi="Consolas" w:cs="Consolas" w:eastAsia="Consolas"/>
          <w:sz w:val="20"/>
        </w:rPr>
        <w:t>python run_twin.py --out my_run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Скрипт заново навчає шість схем Борна, запускає NSGA-II, фіксує конфігурацію і тільки потім обчислює тестові прогнози. Для кожного запуску потрібна нова папка --out. Початковий запуск працює без заповнених TODO; вони потрібні для завершення студентської частини.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2 – Склад навчального рішення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Файл або папка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run_twin.py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Навчання, валідація, NSGA-II, тест і приклади інтеграції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h1_optimizers.py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Реалізація NSGA-II з PhD-проєкту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twin_adapter.py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Спільний контракт спостереження та прогнозу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tasks.py / check_twin.py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Три функції студента та перевірка на фактичному запуску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solutions.py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Еталонні функції для перевірки після виконання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reference_run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Контрольні числа, прогнози, конфігурації та рисунки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../trajectory_lab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Модулі квантового й класичного прогнозу та часові дані стенда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../data_lab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Реальні EEG-приклади й додатковий аналіз CLI/HRV/Emotion</w:t>
            </w:r>
          </w:p>
        </w:tc>
      </w:tr>
    </w:tbl>
    <w:p>
      <w:pPr>
        <w:spacing w:after="0"/>
      </w:pP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 Вхідні дані та контракт цифрового двійника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Знайдіть у ../data_lab/data/cli_bands.csv запис P01/S1/lv0/epoch0: theta_F=7,654854 мкВ², alpha_PO=9,805669 мкВ². Це реальна двосекундна EEG-епоха легкого MATB-II. Розгляньте raw_eeg_probe.npz: 61 канал × 500 відліків, частота 250 Гц. У report.json нового запуску real_eeg_observation містить оцінку поточної умови з попередньо перевіреного EEG-класифікатора.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Знайдіть у trajectory_lab/run_lab.py функцію dataset. Вона створює інший набір: 15 синтетичних днів із блоками діяльності, попереднім і наступним рівнями. Межі рівнів визначаються на перших восьми днях. Дев’ятий і десятий дні є валідаційними, п’ять останніх – тестовими. Одна допустима пара сусідніх вікон утворює один приклад прогнозування.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3 – Два домени в одному програмному контракті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35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Реальна EEG-епоха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Синтетичний перехід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domain</w:t>
            </w:r>
          </w:p>
        </w:tc>
        <w:tc>
          <w:tcPr>
            <w:tcW w:type="dxa" w:w="35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neuroergo_task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synthetic_trajectory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source_id</w:t>
            </w:r>
          </w:p>
        </w:tc>
        <w:tc>
          <w:tcPr>
            <w:tcW w:type="dxa" w:w="35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P01, учасник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d10, день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observation</w:t>
            </w:r>
          </w:p>
        </w:tc>
        <w:tc>
          <w:tcPr>
            <w:tcW w:type="dxa" w:w="35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Поточна умова MATB-II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Попередній рівень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forecast</w:t>
            </w:r>
          </w:p>
        </w:tc>
        <w:tc>
          <w:tcPr>
            <w:tcW w:type="dxa" w:w="35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Відсутній без відповідної моделі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8 імовірностей наступного рівня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Одиниця оцінювання</w:t>
            </w:r>
          </w:p>
        </w:tc>
        <w:tc>
          <w:tcPr>
            <w:tcW w:type="dxa" w:w="35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Учасник; AUROC</w:t>
            </w:r>
          </w:p>
        </w:tc>
        <w:tc>
          <w:tcPr>
            <w:tcW w:type="dxa" w:w="36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Новий день; NLL переходів</w:t>
            </w:r>
          </w:p>
        </w:tc>
      </w:tr>
    </w:tbl>
    <w:p>
      <w:pPr>
        <w:spacing w:after="0"/>
      </w:pP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1) Поясніть, чим мітка складності завдання відрізняється від наступного рівня стану.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2) Перевірте кількість переходів у report.json: 1416 / 354 / 885.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3) Поясніть, чому не можна передати синтетичну модель безпосередньо на реальну EEG-епоху.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4) Відкрийте architecture.png і зіставте кожен блок із файлом програми.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 Навчання і перевірка квантової моделі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Відкрийте run_twin.py і trajectory_born.py. Знайдіть три кубіти, кількість шарів, Ry, кільце CNOT та перетворення амплітуд на ймовірності. Перевірте, що шість конфігурацій L×CNOT навчаються на train, а dev і test не передаються у fit. Градієнти обчислюються правилом зсуву параметра; параметри оновлює Adam.</w:t>
      </w:r>
    </w:p>
    <w:p>
      <w:pPr>
        <w:spacing w:before="60" w:after="60"/>
        <w:jc w:val="center"/>
      </w:pPr>
      <w:r>
        <w:rPr>
          <w:rFonts w:ascii="Cambria Math" w:hAnsi="Cambria Math" w:cs="Cambria Math" w:eastAsia="Cambria Math"/>
          <w:i/>
        </w:rPr>
        <w:t>pθ(k | cₜ)=|⟨g(k)|Uθ(cₜ)|000⟩|²;   NLL=−mean(ln pθ(yᵢ|cᵢ)).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Реалізуйте TODO 1 nll у twin_lab/tasks.py. Для кожного рядка виберіть імовірність фактичного наступного рівня, обмежте знизу 10⁻¹², застосуйте натуральний логарифм, знак мінус і середнє. Для рівномірних восьми класів має вийти ln(8)=2,079442. Менше значення NLL означає кращий прогноз.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import numpy as np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a = np.load('my_run/selected_predictions.npz')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print(a['finite_shots'].shape)</w:t>
      </w:r>
    </w:p>
    <w:p>
      <w:pPr>
        <w:spacing w:line="240" w:lineRule="auto"/>
        <w:ind w:left="283"/>
        <w:keepNext w:val="0"/>
        <w:keepLines/>
        <w:shd w:val="clear" w:fill="F2F2F2"/>
      </w:pPr>
      <w:r>
        <w:rPr>
          <w:rFonts w:ascii="Consolas" w:hAnsi="Consolas" w:cs="Consolas" w:eastAsia="Consolas"/>
          <w:sz w:val="20"/>
        </w:rPr>
        <w:t>print(a['finite_shots'].sum(axis=1).min())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Очікується (885, 8), суми рядків дорівнюють 1 з машинною похибкою. exact містить точні ймовірності обраної схеми, finite_shots – оцінки за змодельованими вимірюваннями, classical – класичний прогноз, truth – наступний рівень. Для обраної конфігурації exact NLL=1,340814, finite_shots NLL=1,347543.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64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sz w:val="26"/>
        </w:rPr>
        <w:t>Рисунок 1 – Навчальні криві реально виконаних шести схем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Додайте рисунок learning.png до звіту. Поясніть, чому зменшення навчального NLL ще не замінює тестового результату і чому 256 shots означає вибірку з навченого розподілу, а не нові фізіологічні дані.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 Метаевристичний добір за якістю і бюджетом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Прочитайте configurations.csv. Кожний рядок – фактично оцінена конфігурація L, CNOT, S. Поля dev_nll і gate_shots є двома цілями; visited показує відвідування NSGA-II, pareto – належність до фронту всіх 30 варіантів. У валідаційному NLL усереднено вісім повторів вимірювань; dev_mc_sd характеризує розкид цих повторів.</w:t>
      </w:r>
    </w:p>
    <w:p>
      <w:pPr>
        <w:spacing w:before="60" w:after="60"/>
        <w:jc w:val="center"/>
      </w:pPr>
      <w:r>
        <w:rPr>
          <w:rFonts w:ascii="Cambria Math" w:hAnsi="Cambria Math" w:cs="Cambria Math" w:eastAsia="Cambria Math"/>
          <w:i/>
        </w:rPr>
        <w:t>G=S·3L·(1+CNOT);   G≤4608.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Реалізуйте TODO 2 choose_config. Залиште конфігурації в бюджеті, оберіть мінімальний dev_nll, а при рівності – менші витрати. Якщо жодна не допустима, поверніть помилку. У перевірці функція отримує саме відвідані конфігурації. Використовувати test NLL для вибору заборонено протоколом експерименту.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93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sz w:val="26"/>
        </w:rPr>
        <w:t>Рисунок 2 – Фронт із обчислених результатів та конфігурація в бюджеті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Знайдіть параметри NSGA-II: популяція 12, 10 поколінь, 3 гени, seed=20261007. Поясніть роль відбору, схрещування й мутації. У контрольному запуску алгоритм запропонував 120 особин, які відповідають 21 різній конфігурації. Обрано L=3, CNOT=1, S=256, G=4608; dev_nll=1,282438.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Порівняйте selected та exhaustive_selected у report.json. Різниця dev NLL дорівнює нулю. Повний перебір перевіряє цей малий навчальний простір; він не є підставою оголошувати загальну перевагу метаевристики. Позначте, що G – логічний ресурс, а не замір часу фізичного процесора.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5 Інтеграція і класичний резервний режим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Відкрийте twin_adapter.py. Метод estimate приймає домен, ідентифікатор джерела, спостереження, доступні розподіли Born і класичної моделі та статус доступності. Він повертає структуровану відповідь зі спостереженням і, коли це допустимо, прогнозом.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import json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from twin_adapter import TwinEstimator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report = json.load(open('my_run/report.json', encoding='utf-8'))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example = report['adapter_examples']['synthetic_born']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twin = TwinEstimator()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>result = twin.estimate(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 xml:space="preserve">    domain=example['domain'], source_id=example['source_id'],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 xml:space="preserve">    observation=example['observation'],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 xml:space="preserve">    born=a['finite_shots'][0], classical=a['classical'][0],</w:t>
      </w:r>
    </w:p>
    <w:p>
      <w:pPr>
        <w:spacing w:line="240" w:lineRule="auto"/>
        <w:ind w:left="283"/>
        <w:keepNext/>
        <w:keepLines/>
        <w:shd w:val="clear" w:fill="F2F2F2"/>
      </w:pPr>
      <w:r>
        <w:rPr>
          <w:rFonts w:ascii="Consolas" w:hAnsi="Consolas" w:cs="Consolas" w:eastAsia="Consolas"/>
          <w:sz w:val="20"/>
        </w:rPr>
        <w:t xml:space="preserve">    quantum_available=False)</w:t>
      </w:r>
    </w:p>
    <w:p>
      <w:pPr>
        <w:spacing w:line="240" w:lineRule="auto"/>
        <w:ind w:left="283"/>
        <w:keepNext w:val="0"/>
        <w:keepLines/>
        <w:shd w:val="clear" w:fill="F2F2F2"/>
      </w:pPr>
      <w:r>
        <w:rPr>
          <w:rFonts w:ascii="Consolas" w:hAnsi="Consolas" w:cs="Consolas" w:eastAsia="Consolas"/>
          <w:sz w:val="20"/>
        </w:rPr>
        <w:t>print(result['mode'], result['forecast'])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Масив a завантажено у кроці 3. Приклад використовує фактичний перший тестовий перехід d10 з попереднім рівнем 0. Для Born очікуваний рівень становить 1,469231, а ймовірність рівнів 6–7 – 0,026923. При quantum_available=False модуль повертає розподіл softmax і mode=classical_fallback.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Реалізуйте TODO 3 route_probability. Якщо Born доступна, поверніть її розподіл; інакше поверніть класичний. Перевірте форму (8,), скінченність, невід’ємність і суму 1. Відсутній або некоректний розподіл повинен спричинити помилку. Перевірка домену виконується окремо в TwinEstimator.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4 – Перевірка поведінки програмного модуля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Перевірка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Очікуваний результат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Born доступна на стенді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mode=born_simulator, прогноз наявний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Born недоступна на стенді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mode=classical_fallback, прогноз наявний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Реальна EEG-оцінка без моделі переходу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mode=observation_only, forecast=null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Синтетичний розподіл для real EEG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Помилка невідповідності домену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Вісім одиниць замість імовірностей</w:t>
            </w:r>
          </w:p>
        </w:tc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Помилка нормування</w:t>
            </w:r>
          </w:p>
        </w:tc>
      </w:tr>
    </w:tbl>
    <w:p>
      <w:pPr>
        <w:spacing w:after="0"/>
      </w:pPr>
    </w:p>
    <w:p>
      <w:pPr>
        <w:spacing w:line="240" w:lineRule="auto"/>
        <w:ind w:left="283"/>
        <w:keepNext w:val="0"/>
        <w:keepLines/>
        <w:shd w:val="clear" w:fill="F2F2F2"/>
      </w:pPr>
      <w:r>
        <w:rPr>
          <w:rFonts w:ascii="Consolas" w:hAnsi="Consolas" w:cs="Consolas" w:eastAsia="Consolas"/>
          <w:sz w:val="20"/>
        </w:rPr>
        <w:t>python check_twin.py --run my_run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Після виконання трьох функцій команда має завершитися PASS. Еталон для викладача: python check_twin.py --solution --run my_run. Наявність резервного режиму – результат програмної інтеграції; вона не змінює висновку про порівняльну якість моделей.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6 Візуалізація стану та прогнозу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Використайте Matplotlib із twin_figures.py. Додайте до звіту архітектурну схему, навчальні криві, фронт Парето й тестове порівняння. На схемі підпишіть два домени даних. На експериментальних графіках збережіть одиниці, склад вибірки та напрям покращення метрики. Не замінюйте обчислені координати випадковими точками.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першого тестового контексту побудуйте вісім імовірностей наступного рівня. Обчисліть очікуваний рівень Σₖk·pₖ і ймовірність рівнів 6–7. Значення є характеристиками розподілу, а не доведеними порогами перевантаження. За бажанням порівняйте частоти 4096 згенерованих результатів із цим розподілом; це перевірка семплера.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77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n_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  <w:jc w:val="center"/>
      </w:pPr>
      <w:r>
        <w:rPr>
          <w:rFonts w:ascii="Times New Roman" w:hAnsi="Times New Roman" w:cs="Times New Roman" w:eastAsia="Times New Roman"/>
          <w:sz w:val="26"/>
        </w:rPr>
        <w:t>Рисунок 3 – Відкладений тест після фіксації конфігурації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Реальну EEG-перевірку можна повторити командою python ../data_lab/run_real.py --out my_eeg_run. Очікується середній AUROC 0,7778 за 15 людьми після калібрування за спокоєм. Повний аналіз CLI, ECG/PPG і FACED збережено у тому самому пакеті як додаткові приклади спостережень. Основний звіт цього заняття присвячений модулю двійника, квантовому прогнозу та метаевристичному добору.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Результати</w:t>
      </w:r>
    </w:p>
    <w:p>
      <w:pPr>
        <w:keepNext/>
        <w:spacing w:before="120" w:after="0"/>
        <w:jc w:val="left"/>
      </w:pPr>
      <w:r>
        <w:rPr>
          <w:rFonts w:ascii="Times New Roman" w:hAnsi="Times New Roman" w:cs="Times New Roman" w:eastAsia="Times New Roman"/>
          <w:sz w:val="26"/>
        </w:rPr>
        <w:t>Таблиця 5 – 885 переходів п’яти тестових синтетичних днів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Модель на окремому тесті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NLL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Рівномірний розподіл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2,079442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Лише тип діяльності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1,620371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Обрана Born, точні ймовірності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1,340814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Обрана Born, 256 shots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1,347543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Класична softmax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 w:eastAsia="Times New Roman"/>
                <w:sz w:val="24"/>
              </w:rPr>
              <w:t>0,788074</w:t>
            </w:r>
          </w:p>
        </w:tc>
      </w:tr>
    </w:tbl>
    <w:p>
      <w:pPr>
        <w:spacing w:after="0"/>
      </w:pP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 контрольному виконанні отримано працездатний модуль цифрового двійника з трьома перевіреними режимами. Квантова модель Борна за 256 shots дала NLL 1,347543 на 885 нових переходах; результат кращий за рівномірний розподіл і модель лише за діяльністю. NSGA-II обрав конфігурацію у бюджеті 4608 gate-shots з нульовою різницею валідаційного NLL відносно контрольного повного перебору.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Студент має навести власні числа і підтвердити класичний резервний режим, перевірку нормування та відмову при змішуванні доменів. Softmax із NLL 0,788074 залишається сильнішою моделлю цього стенда. Реальний EEG-AUROC підтверджує окрему спостережувальну частину; жоден із цих результатів не слід називати вже доведеною користю персонального планування.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Зміст звіту і критерії виконання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1) На початку: повна тема PhD та мета розроблюваного модуля цифрового двійника.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2) Архітектура і контракт: observation, forecast, domain, source_id, mode, planning_allowed.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3) Дані: один реальний EEG-запис; один синтетичний перехід; призначення train/dev/test.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4) Квантова частина: схема, навчання, NLL, вплив скінченних вимірювань.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5) Метаевристична частина: цілі, бюджет, фронт, обрана конфігурація та контроль перебором.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6) Інтеграція: три реалізовані функції, PASS перевірки та приклади режимів.</w:t>
      </w:r>
    </w:p>
    <w:p>
      <w:pPr>
        <w:ind w:left="709" w:hanging="340"/>
        <w:jc w:val="both"/>
      </w:pPr>
      <w:r>
        <w:rPr>
          <w:rFonts w:ascii="Times New Roman" w:hAnsi="Times New Roman" w:cs="Times New Roman" w:eastAsia="Times New Roman"/>
          <w:sz w:val="28"/>
        </w:rPr>
        <w:t>7) Окремий розділ «Результати»: фактичні числа, базові порівняння та межі висновку.</w:t>
      </w:r>
    </w:p>
    <w:p>
      <w:pPr>
        <w:keepNext w:val="0"/>
        <w:spacing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Роботу виконано, якщо модель і пошук відтворені, три функції проходять перевірку, програмний модуль зберігає походження даних та повертає резервний прогноз при відмові Born. Оцінюється розуміння й коректність реалізації всіх складових теми; отримання квантової переваги над softmax не є умовою виконання.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Джерела та відтворення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1) PhD-проєкт. dissertation/OCTOBER_METHOD_ALIGNMENT.md, редакція 06.10.2026: чинна архітектура цифрового двійника та межі доказів. Назву дисертації наведено без зміни зареєстрованого формулювання.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2) PhD-проєкт. validation/trajectory_born.py, trajectory_model.py, trajectory_classical.py, h1_optimizers.py. Навчальні копії включено до пакета.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3) Новий навчальний експеримент: twin_lab/reference_run/report.json, configurations.csv, selected_predictions.npz. 6 навчених схем, 30 конфігурацій, NSGA-II, окремий тест. Це розширення для заняття, не раніше опублікований результат дисертації.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4) Попередній генеративний експеримент: docs/evidence/state_planning/TRAJECTORY_V2_RESULTS_2026-10-06.md; канонічний запуск trajectory-v2-20261006-causal.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5) Hinss M. F. et al. Neuroergonomics 2021 pBCI competition. DOI: 10.5281/zenodo.4917218. https://zenodo.org/records/4917218. Підготовлені дані та перевірка: data_lab/README.md, provenance.json.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6) Matplotlib. Quick start guide. https://matplotlib.org/stable/users/explain/quick_start.html. Усі експериментальні рисунки побудовано з таблиць запуску.</w:t>
      </w:r>
    </w:p>
    <w:p>
      <w:pPr>
        <w:spacing w:line="276" w:lineRule="auto"/>
        <w:ind w:left="709" w:hanging="340"/>
        <w:jc w:val="both"/>
      </w:pPr>
      <w:r>
        <w:rPr>
          <w:rFonts w:ascii="Times New Roman" w:hAnsi="Times New Roman" w:cs="Times New Roman" w:eastAsia="Times New Roman"/>
          <w:sz w:val="24"/>
        </w:rPr>
        <w:t>7) Додаткові спостереження: OpenNeuro ds003838, DOI: 10.18112/openneuro.ds003838.v1.0.6; FACED, DOI: 10.1038/s41597-023-02650-w. Їх аналіз збережено у data_lab; вони не з’єднуються з Neuroergo в одну траєкторію.</w:t>
      </w:r>
    </w:p>
    <w:p>
      <w:pPr>
        <w:keepNext w:val="0"/>
        <w:spacing w:before="0" w:after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Контрольні запуски перевірено 07.10.2026; редакцію матеріалів оновлено 08.10.2026. Контрольні суми файлів і точні параметри наведено в навчальному пакеті.</w:t>
      </w:r>
    </w:p>
    <w:p>
      <w:pPr>
        <w:keepNext w:val="0"/>
        <w:spacing w:before="160" w:after="0"/>
        <w:jc w:val="right"/>
      </w:pPr>
      <w:r>
        <w:rPr>
          <w:rFonts w:ascii="Times New Roman" w:hAnsi="Times New Roman" w:cs="Times New Roman" w:eastAsia="Times New Roman"/>
          <w:sz w:val="28"/>
        </w:rPr>
        <w:t>Вернік М. О.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Вернік М. О.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