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/>
        <w:jc w:val="center"/>
      </w:pPr>
      <w:r>
        <w:rPr>
          <w:rFonts w:ascii="Times New Roman" w:hAnsi="Times New Roman" w:cs="Times New Roman" w:eastAsia="Times New Roman"/>
          <w:sz w:val="28"/>
        </w:rPr>
        <w:t>Національний технічний університет України</w:t>
      </w:r>
    </w:p>
    <w:p>
      <w:pPr>
        <w:keepNext w:val="0"/>
        <w:spacing w:before="0" w:after="0"/>
        <w:jc w:val="center"/>
      </w:pPr>
      <w:r>
        <w:rPr>
          <w:rFonts w:ascii="Times New Roman" w:hAnsi="Times New Roman" w:cs="Times New Roman" w:eastAsia="Times New Roman"/>
          <w:sz w:val="28"/>
        </w:rPr>
        <w:t>«Київський політехнічний інститут імені Ігоря Сікорського»</w:t>
      </w:r>
    </w:p>
    <w:p>
      <w:pPr>
        <w:keepNext w:val="0"/>
        <w:spacing w:before="0" w:after="240"/>
        <w:jc w:val="center"/>
      </w:pPr>
      <w:r>
        <w:rPr>
          <w:rFonts w:ascii="Times New Roman" w:hAnsi="Times New Roman" w:cs="Times New Roman" w:eastAsia="Times New Roman"/>
          <w:sz w:val="28"/>
        </w:rPr>
        <w:t>Кафедра програмного забезпечення комп’ютерних систем</w:t>
      </w:r>
    </w:p>
    <w:p>
      <w:pPr>
        <w:keepNext w:val="0"/>
        <w:spacing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Дисципліна «Великі дані та аналітика»</w:t>
      </w:r>
    </w:p>
    <w:p>
      <w:pPr>
        <w:keepNext w:val="0"/>
        <w:spacing w:before="0" w:after="240"/>
        <w:jc w:val="center"/>
      </w:pPr>
      <w:r>
        <w:rPr>
          <w:rFonts w:ascii="Times New Roman" w:hAnsi="Times New Roman" w:cs="Times New Roman" w:eastAsia="Times New Roman"/>
          <w:sz w:val="24"/>
        </w:rPr>
        <w:t>ОНП «Інженерія програмного забезпечення мультимедійних та інформаційно-пошукових систем», спеціальність 121 «Інженерія програмного забезпечення», другий (магістерський) рівень</w:t>
      </w:r>
    </w:p>
    <w:p>
      <w:pPr>
        <w:keepNext w:val="0"/>
        <w:spacing w:before="0" w:after="12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КОНСПЕКТ ЛЕКЦІЇ</w:t>
      </w:r>
    </w:p>
    <w:p>
      <w:pPr>
        <w:keepNext w:val="0"/>
        <w:spacing w:before="0" w:after="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Лекція 2. Інфраструктура великих даних. Розподілені дані та їх аналітика. Квантові обчислення та їх застосування</w:t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Тема дисертаційного дослідження</w:t>
      </w:r>
    </w:p>
    <w:p>
      <w:pPr>
        <w:keepNext w:val="0"/>
        <w:spacing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«Методи та програмні засоби побудови цифрових двійників когнітивного стану людини на основі квантових моделей та метаевристик».</w:t>
      </w:r>
    </w:p>
    <w:p>
      <w:pPr>
        <w:keepNext w:val="0"/>
        <w:spacing w:before="0" w:after="0"/>
        <w:jc w:val="center"/>
      </w:pPr>
      <w:r>
        <w:rPr>
          <w:rFonts w:ascii="Times New Roman" w:hAnsi="Times New Roman" w:cs="Times New Roman" w:eastAsia="Times New Roman"/>
          <w:sz w:val="28"/>
        </w:rPr>
        <w:t>Навчальне застосування: побудова програмного модуля цифрового двійника з квантовою моделлю прогнозування та метаевристичним добором її конфігурації.</w:t>
      </w:r>
    </w:p>
    <w:p>
      <w:pPr>
        <w:keepNext w:val="0"/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</w:rPr>
        <w:t>Розробник матеріалу: аспірант Вернік М. О. Лектор: к.т.н., доцент Олещенко Л. М.</w:t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Мета лекції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Пояснити, як інфраструктура фізіологічних даних, квантова модель переходів стану та метаевристичний пошук поєднуються у програмних засобах цифрового двійника. Розглянути перевірений навчальний приклад, у якому спостереження, прогноз і рішення системи мають різні ролі.</w:t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Навчальний результат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Після лекції студент має пояснити роль кожного компонента теми PhD та прочитати результат його перевірки: реальні EEG перевіряють спостережувальну частину; модель Борна прогнозує переходи на контрольованому часовому стенді; NSGA-II добирає ресурсну конфігурацію; програмний адаптер повертає результат із джерелом і режимом роботи.</w:t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2.1 Цифровий двійник як предмет розроблення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Цифровий двійник когнітивного стану – програмне представлення, яке пов’язує спостереження про конкретну людину, доступний контекст, оцінки стану й моделі його можливих змін. Корисний прогноз повинен мати визначений горизонт, походження даних та оцінку невизначеності. Окреме число CLI або клас емоції ще не утворює цифрового двійника.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Чинний метод проєкту задає послідовність: перевірені спостереження → оцінки й прогнози → допустимі варіанти плану → рішення користувача → фактичні результати. На занятті реалізується модуль оцінок і прогнозів та добір його обчислювальної конфігурації. Ранжування реальних планів за користю для людини потребує окремих даних і перевірки результатів діяльності.</w:t>
      </w:r>
    </w:p>
    <w:p>
      <w:pPr>
        <w:keepNext/>
        <w:spacing w:before="120" w:after="0"/>
        <w:jc w:val="left"/>
      </w:pPr>
      <w:r>
        <w:rPr>
          <w:rFonts w:ascii="Times New Roman" w:hAnsi="Times New Roman" w:cs="Times New Roman" w:eastAsia="Times New Roman"/>
          <w:sz w:val="26"/>
        </w:rPr>
        <w:t>Таблиця 2.1 – Зв’язок навчальних кроків із дисертаційною темою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Частина теми PhD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Питання лекції</w:t>
            </w:r>
          </w:p>
        </w:tc>
        <w:tc>
          <w:tcPr>
            <w:tcW w:type="dxa" w:w="368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Що перевіряємо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Цифрові двійники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Що система спостерігає і що прогнозує?</w:t>
            </w:r>
          </w:p>
        </w:tc>
        <w:tc>
          <w:tcPr>
            <w:tcW w:type="dxa" w:w="368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Контракт даних, часовий горизонт, джерело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Квантові моделі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Як схема задає розподіл наступного стану?</w:t>
            </w:r>
          </w:p>
        </w:tc>
        <w:tc>
          <w:tcPr>
            <w:tcW w:type="dxa" w:w="368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Нормування ймовірностей, навчання, тестовий NLL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Метаевристики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Яка конфігурація вкладається в бюджет?</w:t>
            </w:r>
          </w:p>
        </w:tc>
        <w:tc>
          <w:tcPr>
            <w:tcW w:type="dxa" w:w="368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NSGA-II, Парето, контроль повним перебором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Програмні засоби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Як інтегрувати моделі в одну систему?</w:t>
            </w:r>
          </w:p>
        </w:tc>
        <w:tc>
          <w:tcPr>
            <w:tcW w:type="dxa" w:w="368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Спільний інтерфейс, резервний режим, перевірка домену</w:t>
            </w:r>
          </w:p>
        </w:tc>
      </w:tr>
    </w:tbl>
    <w:p>
      <w:pPr>
        <w:spacing w:after="0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280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28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/>
        <w:jc w:val="center"/>
      </w:pPr>
      <w:r>
        <w:rPr>
          <w:rFonts w:ascii="Times New Roman" w:hAnsi="Times New Roman" w:cs="Times New Roman" w:eastAsia="Times New Roman"/>
          <w:sz w:val="26"/>
        </w:rPr>
        <w:t>Рисунок 2.1 – Архітектура навчального модуля і два незалежні домени перевірки</w:t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2.2 Інфраструктура і розподілені дані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Сигнал надходить із пристрою як послідовність відліків із каналами та часовими мітками. Граничний вузол або смартфон буферизує запис і контролює якість контакту. Сервер зберігає спостереження та версії ознак, навчає моделі й повертає результати. Так інфраструктура великих даних забезпечує відтворюваність двійника, а не лише зберігання сигналу.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Мінімальний запис спостереження містить джерело, учасника, сесію, початок і кінець інтервалу, одиниці, ознаку придатності та версію обчислення. Запис прогнозу окремо містить модель, її навчальний домен, час формування, горизонт і розподіл імовірностей. Прогноз не перезаписує фактичне спостереження.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Пакетну обробку можна розділити за учасниками та сесіями. Map-етап обчислює ознаки вікон, reduce-етап зводить метрики. Масштабування й навчання виконуються всередині відповідного навчального розбиття. Передавання тестових даних у загальний нормувальник створює витік інформації незалежно від того, чи використовуються кластер або один комп’ютер.</w:t>
      </w:r>
    </w:p>
    <w:p>
      <w:pPr>
        <w:keepNext/>
        <w:spacing w:before="120" w:after="0"/>
        <w:jc w:val="left"/>
      </w:pPr>
      <w:r>
        <w:rPr>
          <w:rFonts w:ascii="Times New Roman" w:hAnsi="Times New Roman" w:cs="Times New Roman" w:eastAsia="Times New Roman"/>
          <w:sz w:val="26"/>
        </w:rPr>
        <w:t>Таблиця 2.2 – Дані на межах програмних компонентів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2438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Рівень</w:t>
            </w:r>
          </w:p>
        </w:tc>
        <w:tc>
          <w:tcPr>
            <w:tcW w:type="dxa" w:w="3231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Вхід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Вихід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Спостереження</w:t>
            </w:r>
          </w:p>
        </w:tc>
        <w:tc>
          <w:tcPr>
            <w:tcW w:type="dxa" w:w="3231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EEG або інший сигнал, час, якість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Вікно, спектральні ознаки, джерело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Оцінка поточного стану</w:t>
            </w:r>
          </w:p>
        </w:tc>
        <w:tc>
          <w:tcPr>
            <w:tcW w:type="dxa" w:w="3231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Ознаки і навчена модель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Оцінка визначеної експериментом умови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Прогноз переходу</w:t>
            </w:r>
          </w:p>
        </w:tc>
        <w:tc>
          <w:tcPr>
            <w:tcW w:type="dxa" w:w="3231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Попередній рівень і відомий контекст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Розподіл наступного рівня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Добір конфігурації</w:t>
            </w:r>
          </w:p>
        </w:tc>
        <w:tc>
          <w:tcPr>
            <w:tcW w:type="dxa" w:w="3231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Валідаційні результати та бюджет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Параметри обчислювального режиму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Інтеграція</w:t>
            </w:r>
          </w:p>
        </w:tc>
        <w:tc>
          <w:tcPr>
            <w:tcW w:type="dxa" w:w="3231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Доступні моделі, контракт, статус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Оцінка або прогноз із позначеним режимом</w:t>
            </w:r>
          </w:p>
        </w:tc>
      </w:tr>
    </w:tbl>
    <w:p>
      <w:pPr>
        <w:spacing w:after="0"/>
      </w:pP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2.3 Реальний EEG як спостережувальна частина двійника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EEG реєструє різницю електричних потенціалів. У навчальному наборі Neuroergonomics 2021 використано 15 людей і дві сесії кожного. Підготовлений запис має 61 канал, частоту 250 Гц і епохи по 500 відліків, тобто 2 с. У кожній сесії є 30 епох спокою і по 149 епох легкого, середнього та складного MATB-II.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MATB-II поєднує моніторинг систем, стеження, керування ресурсами та комунікацію. Ціль класифікатора задається складністю експериментальної умови. Це мітка для перевірки спостережувального модуля, а не вимір запасу енергії або прогноз майбутнього стану.</w:t>
      </w:r>
    </w:p>
    <w:p>
      <w:pPr>
        <w:keepNext/>
        <w:spacing w:before="120" w:after="0"/>
        <w:jc w:val="left"/>
      </w:pPr>
      <w:r>
        <w:rPr>
          <w:rFonts w:ascii="Times New Roman" w:hAnsi="Times New Roman" w:cs="Times New Roman" w:eastAsia="Times New Roman"/>
          <w:sz w:val="26"/>
        </w:rPr>
        <w:t>Таблиця 2.3 – Приклад реального вхідного запису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Фактичний запис</w:t>
            </w:r>
          </w:p>
        </w:tc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Значення і зміст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P01 / S1 / lv0 / epoch0</w:t>
            </w:r>
          </w:p>
        </w:tc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Легке завдання, перша епоха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theta_F</w:t>
            </w:r>
          </w:p>
        </w:tc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7,654854 мкВ², фронтальна потужність 4–8 Гц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alpha_PO</w:t>
            </w:r>
          </w:p>
        </w:tc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9,805669 мкВ², задня потужність 8–13 Гц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x[0]</w:t>
            </w:r>
          </w:p>
        </w:tc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1,897859, нормована log-delta ознака</w:t>
            </w:r>
          </w:p>
        </w:tc>
      </w:tr>
    </w:tbl>
    <w:p>
      <w:pPr>
        <w:spacing w:after="0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831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83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/>
        <w:jc w:val="center"/>
      </w:pPr>
      <w:r>
        <w:rPr>
          <w:rFonts w:ascii="Times New Roman" w:hAnsi="Times New Roman" w:cs="Times New Roman" w:eastAsia="Times New Roman"/>
          <w:sz w:val="26"/>
        </w:rPr>
        <w:t>Рисунок 2.2 – Часова форма EEG і спектри реальних епох різних умов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Після high-pass 0,5 Гц і notch 50/100 Гц обчислюється періодограма Hann для всієї епохи. PSD має одиниці мкВ²/Гц; сума PSD×0,5 Гц у діапазоні дає потужність у мкВ². У восьми ознаках використано п’ять log-потужностей, alpha-асиметрію та два log-відношення. Ознаки нормовано за спокоєм відповідної сесії.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Логістична регресія навчається розпізнавати easy проти difficult за 8 940 епохами. На кожному кроці обидві сесії однієї людини є тестовими. Її запис спокою використано для калібрування; мітки завдань не використовуються для навчання. Середній AUROC за 15 людьми дорівнює 0,7778, у 14 людей він перевищує 0,5. Це перевірений вхідний модуль для архітектури, а не весь цифровий двійник.</w:t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2.4 Стан і ціль прогнозування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Оцінка поточного стану відповідає на питання про наявний інтервал. Прогноз переходу оцінює наступний рівень за попереднім рівнем і контекстом, який уже відомий. Позначимо попередній рівень zₜ, контекст cₜ, а наступний рівень zₜ₊₁. Вихід прогнозної моделі – вектор p(k|cₜ) для k=0,…,7.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Для цього компонента у проєкті є контрольований генератор часових даних: 15 днів із блоками email, coding та reading; стан залежить від діяльності, попереднього значення й часу, а спостереження містить шум. Один блок має 60 значень із кроком 5 с та 59 допустимих переходів. Переходи через розриви не створюються. Колонка load є синтетичною змінною стенда, а не записаним CLI людини.</w:t>
      </w:r>
    </w:p>
    <w:p>
      <w:pPr>
        <w:keepNext/>
        <w:spacing w:before="120" w:after="0"/>
        <w:jc w:val="left"/>
      </w:pPr>
      <w:r>
        <w:rPr>
          <w:rFonts w:ascii="Times New Roman" w:hAnsi="Times New Roman" w:cs="Times New Roman" w:eastAsia="Times New Roman"/>
          <w:sz w:val="26"/>
        </w:rPr>
        <w:t>Таблиця 2.4 – Хронологічне розбиття прогнозного стенда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cantSplit/>
          <w:tblHeader/>
        </w:trP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Частина</w:t>
            </w:r>
          </w:p>
        </w:tc>
        <w:tc>
          <w:tcPr>
            <w:tcW w:type="dxa" w:w="1531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Дні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Переходи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Використання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Навчальна</w:t>
            </w:r>
          </w:p>
        </w:tc>
        <w:tc>
          <w:tcPr>
            <w:tcW w:type="dxa" w:w="1531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d00–d07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1416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Межі рівнів, нормування, параметри моделей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Валідаційна</w:t>
            </w:r>
          </w:p>
        </w:tc>
        <w:tc>
          <w:tcPr>
            <w:tcW w:type="dxa" w:w="1531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d08–d09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354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Добір конфігурації та класичного C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Тестова</w:t>
            </w:r>
          </w:p>
        </w:tc>
        <w:tc>
          <w:tcPr>
            <w:tcW w:type="dxa" w:w="1531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d10–d14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885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Фінальна оцінка після фіксації вибору</w:t>
            </w:r>
          </w:p>
        </w:tc>
      </w:tr>
    </w:tbl>
    <w:p>
      <w:pPr>
        <w:spacing w:after="0"/>
      </w:pP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Межі восьми рівнів визначаються за навчальними даними. Попередній рівень і контекст є входом, наступний – цільовою міткою. Поля майбутнього вікна не передаються на вхід. Довга вільна траєкторія потребує повторної подачі згенерованого стану на вхід і окремої перевірки накопичення помилки.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Реальні EEG та синтетичні дні перевіряють різні компоненти одного програмного рішення. Їх не з’єднано в удаваний безперервний експеримент. Щоб прогнозувати стан реальної людини, потрібна відповідна часова вибірка з контекстом і майбутніми спостереженнями. Архітектура вже визначає інтерфейс для заміни моделі після такої перевірки.</w:t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2.5 Квантова модель Борна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Кубіт має стан α|0⟩+β|1⟩ із нормуванням |α|²+|β|²=1. Три кубіти утворюють вісім базисних результатів. За правилом Борна ймовірність результату дорівнює квадрату модуля амплітуди. Тому схема природно задає категоріальний розподіл восьми рівнів стану.</w:t>
      </w:r>
    </w:p>
    <w:p>
      <w:pPr>
        <w:spacing w:before="60" w:after="60"/>
        <w:jc w:val="center"/>
      </w:pPr>
      <w:r>
        <w:rPr>
          <w:rFonts w:ascii="Cambria Math" w:hAnsi="Cambria Math" w:cs="Cambria Math" w:eastAsia="Cambria Math"/>
          <w:i/>
        </w:rPr>
        <w:t>pθ(k | cₜ) = |⟨g(k)|Uθ(cₜ)|000⟩|²;   Σₖ pθ(k | cₜ)=1.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У навчальній моделі кожен шар застосовує три Ry-обертання. Їх кути залежать від контексту через навчувані ваги. За ввімкненого зв’язування додаються три CNOT у кільці. Код Грея g зіставляє рівням 0–7 базисні результати 000, 001, 011, 010, 110, 111, 101, 100. Конфігурації без CNOT потрібні для порівняння ролі взаємодії кубітів.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Навчання змінює кути та ваги так, щоб фактичний наступний рівень отримував більшу ймовірність. Градієнти обчислюються правилом зсуву параметра, а оновлення виконує класичний Adam. У цій роботі кожна з шести схем навчається протягом восьми епох із фіксованим seed.</w:t>
      </w:r>
    </w:p>
    <w:p>
      <w:pPr>
        <w:spacing w:before="60" w:after="60"/>
        <w:jc w:val="center"/>
      </w:pPr>
      <w:r>
        <w:rPr>
          <w:rFonts w:ascii="Cambria Math" w:hAnsi="Cambria Math" w:cs="Cambria Math" w:eastAsia="Cambria Math"/>
          <w:i/>
        </w:rPr>
        <w:t>NLL = −(1/N) Σᵢ ln pθ(yᵢ | cᵢ).</w:t>
      </w:r>
    </w:p>
    <w:p>
      <w:pPr>
        <w:spacing w:before="60" w:after="60"/>
        <w:jc w:val="center"/>
      </w:pPr>
      <w:r>
        <w:rPr>
          <w:rFonts w:ascii="Cambria Math" w:hAnsi="Cambria Math" w:cs="Cambria Math" w:eastAsia="Cambria Math"/>
          <w:i/>
        </w:rPr>
        <w:t>∂p/∂θ = [p(θ+π/2)−p(θ−π/2)] / 2.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643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4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/>
        <w:jc w:val="center"/>
      </w:pPr>
      <w:r>
        <w:rPr>
          <w:rFonts w:ascii="Times New Roman" w:hAnsi="Times New Roman" w:cs="Times New Roman" w:eastAsia="Times New Roman"/>
          <w:sz w:val="26"/>
        </w:rPr>
        <w:t>Рисунок 2.3 – Фактична зміна навчального NLL шести схем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Рівномірний розподіл дає NLL=ln(8)=2,0794; менший NLL означає кращу ймовірнісну оцінку спостережень. Навчальні криві показують оптимізацію параметрів, а здатність прогнозувати нові переходи перевіряється окремим тестом.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Схеми виконує точний симулятор NumPy. Вектор трьох кубітів має лише вісім амплітуд; тут немає твердження про квантове прискорення. На фізичному процесорі потрібні транспіляція та облік шуму й зв’язності. Вимірювання S разів у роботі моделюється вибіркою з уже навченого розподілу.</w:t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2.6 Метаевристичний добір конфігурації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Метаевристика вирішує окрему задачу: яку конфігурацію використати за ресурсного обмеження. Гени кодують кількість шарів L∈{1,2,3}, наявність CNOT∈{0,1} та кількість вимірювань S∈{64,128,256,512,1024}. Усього є 30 комбінацій. Параметри шести схем уже навчені на навчальній частині; NSGA-II обирає спосіб їх виконання за валідаційними оцінками.</w:t>
      </w:r>
    </w:p>
    <w:p>
      <w:pPr>
        <w:spacing w:before="60" w:after="60"/>
        <w:jc w:val="center"/>
      </w:pPr>
      <w:r>
        <w:rPr>
          <w:rFonts w:ascii="Cambria Math" w:hAnsi="Cambria Math" w:cs="Cambria Math" w:eastAsia="Cambria Math"/>
          <w:i/>
        </w:rPr>
        <w:t>f₁ = NLL_validation;   f₂ = G = S · 3L · (1+CNOT).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G – логічні gate-shots, тобто число логічних гейтів, помножене на кількість повторних вимірювань. Це прозора навчальна міра ресурсу. Вона не є часом роботи фізичного пристрою або повною вартістю навчання. На одну конфігурацію обчислено середній валідаційний NLL восьми повторів змодельованих вимірювань.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Для counts nₖ використано фіксоване згладжування pₖ=(nₖ+0,5)/(S+4), щоб нульовий лічильник не спричиняв нескінченний NLL. Ця домовленість однакова для всіх кандидатів. Випадковими є результати вимірювань за моделлю; координати фронту не генеруються довільно.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Конфігурація A домінує B, якщо не гірша за обома цілями й краща хоча б за однією. Фронт Парето містить недоміновані варіанти. NSGA-II використовує недоміноване сортування, збереження різноманітності за crowding, відбір, схрещування SBX та поліноміальну мутацію. У пакеті використано реалізацію з PhD-проєкту: популяція 12, десять поколінь.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936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t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93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/>
        <w:jc w:val="center"/>
      </w:pPr>
      <w:r>
        <w:rPr>
          <w:rFonts w:ascii="Times New Roman" w:hAnsi="Times New Roman" w:cs="Times New Roman" w:eastAsia="Times New Roman"/>
          <w:sz w:val="26"/>
        </w:rPr>
        <w:t>Рисунок 2.4 – Обчислені конфігурації, фронт Парето та вибір за бюджетом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Після пошуку серед відвіданих варіантів із G≤4608 обирається найменший валідаційний NLL. Отримано L=3, CNOT=1, S=256, G=4608 і NLL_validation=1,282438. NSGA-II відвідав 21 різну конфігурацію за 120 пропозицій. Вибір збігся з контрольним повним перебором 30 варіантів за тим самим бюджетом.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Для цього малого простору повний перебір є придатним контрольним методом. Підготовка всіх оцінок включена до скрипта, тому результат не доводить економію загального часу NSGA-II. Він демонструє працездатний добір конфігурації з явними цілями й обмеженням. Пошук плану діяльності людини – інша задача, яка не виконується цим експериментом.</w:t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2.7 Програмна інтеграція у цифровий двійник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Модуль TwinEstimator розділяє observation і forecast. Для кожної відповіді він зберігає domain, source_id, mode та planning_allowed. Такий контракт дає змогу замінювати прогнозні моделі й перевіряти їх без зміни решти системи. Масив із восьми ймовірностей повинен містити скінченні невід’ємні значення із сумою 1.</w:t>
      </w:r>
    </w:p>
    <w:p>
      <w:pPr>
        <w:keepNext/>
        <w:spacing w:before="120" w:after="0"/>
        <w:jc w:val="left"/>
      </w:pPr>
      <w:r>
        <w:rPr>
          <w:rFonts w:ascii="Times New Roman" w:hAnsi="Times New Roman" w:cs="Times New Roman" w:eastAsia="Times New Roman"/>
          <w:sz w:val="26"/>
        </w:rPr>
        <w:t>Таблиця 2.5 – Очікувана поведінка інтегрованого модуля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Ситуація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Відповідь модуля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Реальна EEG-епоха Neuroergo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Поточна оцінка p_difficult; forecast=null, бо для цього домену немає перевіреної моделі переходу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Контекст синтетичного стенда, Born доступна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Розподіл наступного рівня; mode=born_simulator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Контекст стенда, Born недоступна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Розподіл класичної softmax; mode=classical_fallback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Спроба застосувати синтетичну модель до Neuroergo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Відмова через невідповідність домену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Некоректний розподіл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Помилка контракту; значення не подається як прогноз</w:t>
            </w:r>
          </w:p>
        </w:tc>
      </w:tr>
    </w:tbl>
    <w:p>
      <w:pPr>
        <w:spacing w:after="0"/>
      </w:pP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Математичне сподівання рівня обчислюється як Σₖk·pₖ, а ймовірність рівнів 6–7 – як p₆+p₇. Це характеристики прогнозного розподілу, не клінічні межі й не готова порада зробити перерву. Резервний режим повертає прогноз іншої моделі того самого домену, а не випадковий розподіл.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CLI, HRV/PRV та Emotion у цій архітектурі є можливими спостереженнями з різними джерелами й рівнем підтвердження. CLI – нормоване відхилення theta/alpha від спокою; у перевірці easy/difficult його AUROC=0,538. ECG-інтервали дають HRV, PPG-інтервали – PRV; мала різниця частот не робить RMSSD взаємозамінним. Для FACED amusement не знайдено порога за проєктними вимогами precision/recall. Ці модулі не підміняють прогноз переходу і не є центральними окремими лабораторними в цьому занятті.</w:t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Результати</w:t>
      </w:r>
    </w:p>
    <w:p>
      <w:pPr>
        <w:keepNext/>
        <w:spacing w:before="120" w:after="0"/>
        <w:jc w:val="left"/>
      </w:pPr>
      <w:r>
        <w:rPr>
          <w:rFonts w:ascii="Times New Roman" w:hAnsi="Times New Roman" w:cs="Times New Roman" w:eastAsia="Times New Roman"/>
          <w:sz w:val="26"/>
        </w:rPr>
        <w:t>Таблиця 2.6 – 885 переходів п’яти тестових синтетичних днів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Модель на окремому тесті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NLL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Рівномірний розподіл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2,079442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Лише тип діяльності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1,620371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Обрана Born, точні ймовірності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1,340814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Обрана Born, 256 shots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1,347543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Класична softmax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0,788074</w:t>
            </w:r>
          </w:p>
        </w:tc>
      </w:tr>
    </w:tbl>
    <w:p>
      <w:pPr>
        <w:spacing w:after="0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774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in_resul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77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/>
        <w:jc w:val="center"/>
      </w:pPr>
      <w:r>
        <w:rPr>
          <w:rFonts w:ascii="Times New Roman" w:hAnsi="Times New Roman" w:cs="Times New Roman" w:eastAsia="Times New Roman"/>
          <w:sz w:val="26"/>
        </w:rPr>
        <w:t>Рисунок 2.5 – Якість обраної прогнозної конфігурації на окремому тесті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Навчальний модуль реалізує три складові теми PhD в одному програмному сценарії. Модель Борна навчена на минулих переходах і за 256 shots має тестовий NLL 1,3475, нижчий за 2,0794 рівномірної моделі та 1,6204 моделі лише за діяльністю. NSGA-II обрав конфігурацію у бюджеті 4608 gate-shots; її валідаційна якість збіглася з найкращим варіантом повного перебору. Адаптер перевіряє походження даних і забезпечує класичний резервний режим.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Реальна спостережувальна частина окремо відтворює EEG-AUROC 0,7778 після калібрування за спокоєм. Ці результати підтверджують працездатність навчальних компонентів і їх програмного поєднання. Вони не є перевіркою повного прогнозу стану людини на реальній часовій траєкторії. Класична softmax на синтетичному тесті краща за Born; квантову перевагу або підвищення продуктивності людини не встановлено.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Наступний дослідницький крок за темою дисертації: зібрати синхронні часові спостереження, контекст і фактичні результати діяльності; навчити прогноз на минулих даних; перевірити його на нових днях; лише після цього оцінювати плани за реальними результатами. Спільний програмний контракт із заняття дозволяє підставити таку модель без зміни архітектури.</w:t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Джерела та відтворення</w:t>
      </w:r>
    </w:p>
    <w:p>
      <w:pPr>
        <w:spacing w:line="276" w:lineRule="auto"/>
        <w:ind w:left="709" w:hanging="340"/>
        <w:jc w:val="both"/>
      </w:pPr>
      <w:r>
        <w:rPr>
          <w:rFonts w:ascii="Times New Roman" w:hAnsi="Times New Roman" w:cs="Times New Roman" w:eastAsia="Times New Roman"/>
          <w:sz w:val="24"/>
        </w:rPr>
        <w:t>1) PhD-проєкт. dissertation/OCTOBER_METHOD_ALIGNMENT.md, редакція 06.10.2026: чинна архітектура цифрового двійника та межі доказів. Назву дисертації наведено без зміни зареєстрованого формулювання.</w:t>
      </w:r>
    </w:p>
    <w:p>
      <w:pPr>
        <w:spacing w:line="276" w:lineRule="auto"/>
        <w:ind w:left="709" w:hanging="340"/>
        <w:jc w:val="both"/>
      </w:pPr>
      <w:r>
        <w:rPr>
          <w:rFonts w:ascii="Times New Roman" w:hAnsi="Times New Roman" w:cs="Times New Roman" w:eastAsia="Times New Roman"/>
          <w:sz w:val="24"/>
        </w:rPr>
        <w:t>2) PhD-проєкт. validation/trajectory_born.py, trajectory_model.py, trajectory_classical.py, h1_optimizers.py. Навчальні копії включено до пакета.</w:t>
      </w:r>
    </w:p>
    <w:p>
      <w:pPr>
        <w:spacing w:line="276" w:lineRule="auto"/>
        <w:ind w:left="709" w:hanging="340"/>
        <w:jc w:val="both"/>
      </w:pPr>
      <w:r>
        <w:rPr>
          <w:rFonts w:ascii="Times New Roman" w:hAnsi="Times New Roman" w:cs="Times New Roman" w:eastAsia="Times New Roman"/>
          <w:sz w:val="24"/>
        </w:rPr>
        <w:t>3) Новий навчальний експеримент: twin_lab/reference_run/report.json, configurations.csv, selected_predictions.npz. 6 навчених схем, 30 конфігурацій, NSGA-II, окремий тест. Це розширення для заняття, не раніше опублікований результат дисертації.</w:t>
      </w:r>
    </w:p>
    <w:p>
      <w:pPr>
        <w:spacing w:line="276" w:lineRule="auto"/>
        <w:ind w:left="709" w:hanging="340"/>
        <w:jc w:val="both"/>
      </w:pPr>
      <w:r>
        <w:rPr>
          <w:rFonts w:ascii="Times New Roman" w:hAnsi="Times New Roman" w:cs="Times New Roman" w:eastAsia="Times New Roman"/>
          <w:sz w:val="24"/>
        </w:rPr>
        <w:t>4) Попередній генеративний експеримент: docs/evidence/state_planning/TRAJECTORY_V2_RESULTS_2026-10-06.md; канонічний запуск trajectory-v2-20261006-causal.</w:t>
      </w:r>
    </w:p>
    <w:p>
      <w:pPr>
        <w:spacing w:line="276" w:lineRule="auto"/>
        <w:ind w:left="709" w:hanging="340"/>
        <w:jc w:val="both"/>
      </w:pPr>
      <w:r>
        <w:rPr>
          <w:rFonts w:ascii="Times New Roman" w:hAnsi="Times New Roman" w:cs="Times New Roman" w:eastAsia="Times New Roman"/>
          <w:sz w:val="24"/>
        </w:rPr>
        <w:t>5) Hinss M. F. et al. Neuroergonomics 2021 pBCI competition. DOI: 10.5281/zenodo.4917218. https://zenodo.org/records/4917218. Підготовлені дані та перевірка: data_lab/README.md, provenance.json.</w:t>
      </w:r>
    </w:p>
    <w:p>
      <w:pPr>
        <w:spacing w:line="276" w:lineRule="auto"/>
        <w:ind w:left="709" w:hanging="340"/>
        <w:jc w:val="both"/>
      </w:pPr>
      <w:r>
        <w:rPr>
          <w:rFonts w:ascii="Times New Roman" w:hAnsi="Times New Roman" w:cs="Times New Roman" w:eastAsia="Times New Roman"/>
          <w:sz w:val="24"/>
        </w:rPr>
        <w:t>6) Matplotlib. Quick start guide. https://matplotlib.org/stable/users/explain/quick_start.html. Усі експериментальні рисунки побудовано з таблиць запуску.</w:t>
      </w:r>
    </w:p>
    <w:p>
      <w:pPr>
        <w:spacing w:line="276" w:lineRule="auto"/>
        <w:ind w:left="709" w:hanging="340"/>
        <w:jc w:val="both"/>
      </w:pPr>
      <w:r>
        <w:rPr>
          <w:rFonts w:ascii="Times New Roman" w:hAnsi="Times New Roman" w:cs="Times New Roman" w:eastAsia="Times New Roman"/>
          <w:sz w:val="24"/>
        </w:rPr>
        <w:t>7) Додаткові спостереження: OpenNeuro ds003838, DOI: 10.18112/openneuro.ds003838.v1.0.6; FACED, DOI: 10.1038/s41597-023-02650-w. Їх аналіз збережено у data_lab; вони не з’єднуються з Neuroergo в одну траєкторію.</w:t>
      </w:r>
    </w:p>
    <w:p>
      <w:pPr>
        <w:keepNext w:val="0"/>
        <w:spacing w:before="0" w:after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Контрольні запуски перевірено 07.10.2026; редакцію матеріалів оновлено 08.10.2026. Контрольні суми файлів і точні параметри наведено в навчальному пакеті.</w:t>
      </w:r>
    </w:p>
    <w:p>
      <w:pPr>
        <w:keepNext w:val="0"/>
        <w:spacing w:before="160" w:after="0"/>
        <w:jc w:val="right"/>
      </w:pPr>
      <w:r>
        <w:rPr>
          <w:rFonts w:ascii="Times New Roman" w:hAnsi="Times New Roman" w:cs="Times New Roman" w:eastAsia="Times New Roman"/>
          <w:sz w:val="28"/>
        </w:rPr>
        <w:t>Вернік М. О.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Вернік М. О.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