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25A"/>
          <w:sz w:val="32"/>
        </w:rPr>
        <w:t>ОТЧЕТ ПО ЛАБОРАТОРНОЙ РАБОТЕ №2.2 (LR22)</w:t>
      </w:r>
    </w:p>
    <w:p>
      <w:pPr>
        <w:jc w:val="center"/>
      </w:pPr>
      <w:r>
        <w:rPr>
          <w:i/>
          <w:color w:val="646464"/>
          <w:sz w:val="22"/>
        </w:rPr>
        <w:t>Дисциплина: Системный анализ и имитационное моделирование (САИ)</w:t>
        <w:br/>
        <w:t>Тема: Верификация имитационной модели сложной системы</w:t>
        <w:br/>
        <w:t>Вариант №1: Станция технического контроля</w:t>
      </w:r>
    </w:p>
    <w:p/>
    <w:p>
      <w:pPr>
        <w:pStyle w:val="Heading1"/>
      </w:pPr>
      <w:r>
        <w:t>1. Цель и методология верификации</w:t>
      </w:r>
    </w:p>
    <w:p>
      <w:r>
        <w:t>Целью работы является проведение всесторонней верификации имитационной модели станции технического контроля (Вариант №1). Верификация заключается в установлении соответствия между концептуальной моделью и ее программной реализацией, а также в проверке устойчивости, сходимости откликов и адекватности реакции модели на изменение управляемых и неуправляемых входных параметров.</w:t>
      </w:r>
    </w:p>
    <w:p>
      <w:pPr>
        <w:pStyle w:val="Heading1"/>
      </w:pPr>
      <w:r>
        <w:t>2. Потоковая диаграмма взаимодействия элементов</w:t>
      </w:r>
    </w:p>
    <w:p>
      <w:r>
        <w:t>Динамика движения изделий в системе контроля представлена на потоковой диаграмме. Изделие поступает в систему и направляется на станцию 1. При успешном контроле оно последовательно проходит станции 2 и 3, после чего признается годным и выпускается. Если на любой станции обнаружен дефект (в 1-й раз), изделие направляется на участок наладки, после которого возвращается на станцию 1. При повторном обнаружении дефекта изделие списывается в брак.</w:t>
      </w:r>
    </w:p>
    <w:p>
      <w:pPr>
        <w:pStyle w:val="Heading1"/>
      </w:pPr>
      <w:r>
        <w:t>3. Динамика изменения откликов в модельном времени</w:t>
      </w:r>
    </w:p>
    <w:p>
      <w:r>
        <w:t>Для оценки сходимости и фазы прогрева (warm-up) выполнен имитационный эксперимент с 5 независимыми повторными прогонами продолжительностью 600 минут каждый с различными начальными значениями датчика ПСЧ.</w:t>
      </w:r>
    </w:p>
    <w:p>
      <w:pPr>
        <w:pStyle w:val="Heading2"/>
      </w:pPr>
      <w:r>
        <w:t>3.1. Динамика длины очереди к станциям контроля L_q,st(t)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queue_l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1. Реализации мгновенной длины очереди к станциям L_q,st(t), накопленное и ансамблевое среднее</w:t>
      </w:r>
    </w:p>
    <w:p>
      <w:r>
        <w:t>Анализ: Мгновенные значения длины очереди к станциям контроля варьируются в диапазоне 0..3 изделий. Накопленное среднее (оранжевая линия) и ансамблевое среднее по 5 независимым реализациям (синяя линия) после начальной фазы приработки (t ≈ 60-80 мин) устойчиво выходят на горизонтальный стационарный уровень ≈ 0.30..0.35 изделий, подтверждая установившийся стационарный режим.</w:t>
      </w:r>
    </w:p>
    <w:p>
      <w:pPr>
        <w:pStyle w:val="Heading2"/>
      </w:pPr>
      <w:r>
        <w:t>3.2. Стабилизация коэффициента загрузки наладчика K_rep(t)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repair_util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Рис. 2. Кривые накопленного среднего коэффициента загрузки по 5 реализациям и ансамблевое среднее</w:t>
      </w:r>
    </w:p>
    <w:p>
      <w:r>
        <w:t>Анализ: На начальном отрезке времени (фаза приработки) наблюдается дисперсия коэффициента загрузки. По мере накопления модельного времени (t &gt; 200 мин) ансамблевое среднее стабилизируется около стационарного значения 8.2%.</w:t>
      </w:r>
    </w:p>
    <w:p>
      <w:pPr>
        <w:pStyle w:val="Heading2"/>
      </w:pPr>
      <w:r>
        <w:t>3.3. Динамика времени пребывания изделия в системе T_sys(t)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time_in_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Рис. 3. Накопленное среднее времени пребывания изделий в системе</w:t>
      </w:r>
    </w:p>
    <w:p>
      <w:r>
        <w:t>Анализ: Дискретный отклик времени цикла сходится к значению 19.5 мин, подтверждая адекватность суммарного времени ожидания и обработки.</w:t>
      </w:r>
    </w:p>
    <w:p>
      <w:pPr>
        <w:pStyle w:val="Heading1"/>
      </w:pPr>
      <w:r>
        <w:t>4. Зависимость откликов от вариации входных данных</w:t>
      </w:r>
    </w:p>
    <w:p>
      <w:pPr>
        <w:pStyle w:val="Heading2"/>
      </w:pPr>
      <w:r>
        <w:t>4.1. Влияние интенсивности поступления (T_arr)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tion_arrival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Рис. 4. Зависимость времени в системе, длины очередей и загрузки от интервала поступления</w:t>
      </w:r>
    </w:p>
    <w:p>
      <w:r>
        <w:t>Вывод: При малых интервалах поступления (T_arr &lt; 6 мин) система переходит в режим перегрузки: резко возрастают очереди перед станциями и суммарное время в системе. При интервалах T_arr &gt; 10 мин система работает в устойчивом разреженном режиме.</w:t>
      </w:r>
    </w:p>
    <w:p>
      <w:pPr>
        <w:pStyle w:val="Heading2"/>
      </w:pPr>
      <w:r>
        <w:t>4.2. Влияние вероятности дефекта (p_defect)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tion_defect_pro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Рис. 5. Зависимость доли окончательного брака и загрузки наладчика от вероятности брака на станциях</w:t>
      </w:r>
    </w:p>
    <w:p>
      <w:r>
        <w:t>Вывод: Доля окончательного списания в брак растет нелинейно (квадратично), так как для окончательной браковки требуется обнаружение дефекта дважды. Загрузка наладчика возрастает пропорционально вероятности дефекта.</w:t>
      </w:r>
    </w:p>
    <w:p>
      <w:pPr>
        <w:pStyle w:val="Heading2"/>
      </w:pPr>
      <w:r>
        <w:t>4.3. Влияние длительности наладки (T_repair)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tion_repair_ti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Рис. 6. Образование очереди к наладчику при увеличении длительности наладки</w:t>
      </w:r>
    </w:p>
    <w:p>
      <w:r>
        <w:t>Вывод: При росте времени ремонта T_repair &gt; 15 мин единственный пост наладки становится «узким местом» (bottleneck), вызывая прогрессирующий рост очереди и времени ожидания.</w:t>
      </w:r>
    </w:p>
    <w:p>
      <w:pPr>
        <w:pStyle w:val="Heading1"/>
      </w:pPr>
      <w:r>
        <w:t>5. Результаты автоматизированных юнит-тестов</w:t>
      </w:r>
    </w:p>
    <w:p>
      <w:r>
        <w:t>Для формальной верификации граничных условий выполнен набор автоматических тестов: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1F4E79"/>
          <w:insideH w:val="single" w:sz="4" w:space="0" w:color="E0E0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592"/>
            <w:vAlign w:val="center"/>
            <w:shd w:fill="1F4E79"/>
          </w:tcPr>
          <w:p>
            <w:pPr>
              <w:spacing w:before="80" w:after="80"/>
            </w:pPr>
            <w:r>
              <w:t>Имя теста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before="80" w:after="80"/>
            </w:pPr>
            <w:r>
              <w:t>Проверяемое условие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before="80" w:after="80"/>
            </w:pPr>
            <w:r>
              <w:t>Ожидаемый результат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before="80" w:after="80"/>
            </w:pPr>
            <w:r>
              <w:t>Статус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9FA"/>
          </w:tcPr>
          <w:p>
            <w:pPr>
              <w:spacing w:before="60" w:after="60"/>
            </w:pPr>
            <w:r>
              <w:t>test_reproducibility</w:t>
            </w:r>
          </w:p>
        </w:tc>
        <w:tc>
          <w:tcPr>
            <w:tcW w:type="dxa" w:w="4032"/>
            <w:vAlign w:val="center"/>
            <w:shd w:fill="F8F9FA"/>
          </w:tcPr>
          <w:p>
            <w:pPr>
              <w:spacing w:before="60" w:after="60"/>
            </w:pPr>
            <w:r>
              <w:t>Повторный прогон с тем же seed</w:t>
            </w:r>
          </w:p>
        </w:tc>
        <w:tc>
          <w:tcPr>
            <w:tcW w:type="dxa" w:w="2304"/>
            <w:vAlign w:val="center"/>
            <w:shd w:fill="F8F9FA"/>
          </w:tcPr>
          <w:p>
            <w:pPr>
              <w:spacing w:before="60" w:after="60"/>
            </w:pPr>
            <w:r>
              <w:t>Бит-в-бит одинаковые отклики</w:t>
            </w:r>
          </w:p>
        </w:tc>
        <w:tc>
          <w:tcPr>
            <w:tcW w:type="dxa" w:w="1440"/>
            <w:vAlign w:val="center"/>
            <w:shd w:fill="F8F9FA"/>
          </w:tcPr>
          <w:p>
            <w:pPr>
              <w:spacing w:before="60" w:after="60"/>
            </w:pPr>
            <w:r>
              <w:t>PASSED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60" w:after="60"/>
            </w:pPr>
            <w:r>
              <w:t>test_zero_defect_rate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before="60" w:after="60"/>
            </w:pPr>
            <w:r>
              <w:t>Нулевой брак (p_defect = 0)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before="60" w:after="60"/>
            </w:pPr>
            <w:r>
              <w:t>0 наладок, 0 брака, 100% выпуск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60" w:after="60"/>
            </w:pPr>
            <w:r>
              <w:t>PASSED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9FA"/>
          </w:tcPr>
          <w:p>
            <w:pPr>
              <w:spacing w:before="60" w:after="60"/>
            </w:pPr>
            <w:r>
              <w:t>test_full_defect_rate</w:t>
            </w:r>
          </w:p>
        </w:tc>
        <w:tc>
          <w:tcPr>
            <w:tcW w:type="dxa" w:w="4032"/>
            <w:vAlign w:val="center"/>
            <w:shd w:fill="F8F9FA"/>
          </w:tcPr>
          <w:p>
            <w:pPr>
              <w:spacing w:before="60" w:after="60"/>
            </w:pPr>
            <w:r>
              <w:t>100% брак (p_defect = 1.0)</w:t>
            </w:r>
          </w:p>
        </w:tc>
        <w:tc>
          <w:tcPr>
            <w:tcW w:type="dxa" w:w="2304"/>
            <w:vAlign w:val="center"/>
            <w:shd w:fill="F8F9FA"/>
          </w:tcPr>
          <w:p>
            <w:pPr>
              <w:spacing w:before="60" w:after="60"/>
            </w:pPr>
            <w:r>
              <w:t>100% браковка после 2-го раза</w:t>
            </w:r>
          </w:p>
        </w:tc>
        <w:tc>
          <w:tcPr>
            <w:tcW w:type="dxa" w:w="1440"/>
            <w:vAlign w:val="center"/>
            <w:shd w:fill="F8F9FA"/>
          </w:tcPr>
          <w:p>
            <w:pPr>
              <w:spacing w:before="60" w:after="60"/>
            </w:pPr>
            <w:r>
              <w:t>PASSED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60" w:after="60"/>
            </w:pPr>
            <w:r>
              <w:t>test_flow_conservation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before="60" w:after="60"/>
            </w:pPr>
            <w:r>
              <w:t>Закон сохранения потока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before="60" w:after="60"/>
            </w:pPr>
            <w:r>
              <w:t>N_arr = N_good + N_scrap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60" w:after="60"/>
            </w:pPr>
            <w:r>
              <w:t>PASSED</w:t>
            </w:r>
          </w:p>
        </w:tc>
      </w:tr>
    </w:tbl>
    <w:p/>
    <w:p>
      <w:pPr>
        <w:pStyle w:val="Heading1"/>
      </w:pPr>
      <w:r>
        <w:t>6. Заключение</w:t>
      </w:r>
    </w:p>
    <w:p>
      <w:r>
        <w:t>1. Проведена комплексная верификация имитационной модели сложной системы контроля качества (Вариант №1).</w:t>
        <w:br/>
        <w:t>2. Эксперименты по динамике откликов подтвердили сходимость средних величин и позволили количественно определить продолжительность переходного процесса (≈ 60-80 мин).</w:t>
        <w:br/>
        <w:t>3. Параметрические исследования продемонстрировали устойчивость и физическую адекватность модели во всех диапазонах изменения параметров входного потока, вероятности дефекта и времени наладки.</w:t>
        <w:br/>
        <w:t>4. Все граничные проверки и тесты сохранения потока успешно пройдены, что подтверждает корректность алгоритмической и программной реализации.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2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