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 4</w:t>
        <w:br/>
        <w:t>Знакомство с Yandex DataLens</w:t>
      </w:r>
    </w:p>
    <w:p>
      <w:pPr>
        <w:pStyle w:val="Heading1"/>
      </w:pPr>
      <w:r>
        <w:t>1. Цель и задачи работы</w:t>
      </w:r>
    </w:p>
    <w:p>
      <w:r>
        <w:rPr>
          <w:b w:val="0"/>
        </w:rPr>
        <w:t>Цель — познакомиться с облачным сервисом бизнес-аналитики Yandex DataLens, освоить подключение источника, формирование датасета, создание визуализаций и интерактивного дашборда.</w:t>
      </w:r>
    </w:p>
    <w:p>
      <w:r>
        <w:rPr>
          <w:b w:val="0"/>
        </w:rPr>
        <w:t>Задачи: подготовить организацию и воркбук; подключить PostgreSQL; настроить поля; создать три чарта; добавить селектор и текстовый вывод; опубликовать дашборд и проверить доступ по ссылке.</w:t>
      </w:r>
    </w:p>
    <w:p>
      <w:pPr>
        <w:pStyle w:val="Heading1"/>
      </w:pPr>
      <w:r>
        <w:t>2. Организация и подключение источника</w:t>
      </w:r>
    </w:p>
    <w:p>
      <w:r>
        <w:rPr>
          <w:b w:val="0"/>
        </w:rPr>
        <w:t>Параметры учебной организации: «КурбатовМП-4417», техническое имя «kurbatovmp-4417», размер 1–5 сотрудников. Воркбук — «Практическая работа 1»: это буквальное название из методички к работе №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2551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</w:t>
              <w:br/>
              <w:t>Организация DataLens с учебным названием</w:t>
            </w:r>
          </w:p>
        </w:tc>
      </w:tr>
    </w:tbl>
    <w:p>
      <w:pPr>
        <w:jc w:val="center"/>
      </w:pPr>
      <w:r>
        <w:rPr>
          <w:b w:val="0"/>
        </w:rPr>
        <w:t>Рисунок 1 — Организация DataLens с учебным названием</w:t>
      </w:r>
    </w:p>
    <w:p>
      <w:r>
        <w:rPr>
          <w:b w:val="0"/>
        </w:rPr>
        <w:t>Источник: PostgreSQL, хост 194.226.199.230, порт 25432, база cloud_lab, пользователь cloud_lab_ro. Пароль берётся из методички и не включается в отчёт. Имя подключения — cloud_lab; доступ SQL включает подзапросы в датасетах, параметризацию источников и QL-чарты.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2551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2</w:t>
              <w:br/>
              <w:t>Успешная проверка подключения cloud_lab, пароль скрыт</w:t>
            </w:r>
          </w:p>
        </w:tc>
      </w:tr>
    </w:tbl>
    <w:p>
      <w:pPr>
        <w:jc w:val="center"/>
      </w:pPr>
      <w:r>
        <w:rPr>
          <w:b w:val="0"/>
        </w:rPr>
        <w:t>Рисунок 2 — Успешная проверка подключения cloud_lab, пароль скрыт</w:t>
      </w:r>
    </w:p>
    <w:p>
      <w:r>
        <w:br w:type="page"/>
      </w:r>
    </w:p>
    <w:p>
      <w:pPr>
        <w:pStyle w:val="Heading1"/>
      </w:pPr>
      <w:r>
        <w:t>3. Датасет и логика работы с данными</w:t>
      </w:r>
    </w:p>
    <w:p>
      <w:r>
        <w:rPr>
          <w:b w:val="0"/>
        </w:rPr>
        <w:t>Подключение обеспечивает доступ к базе, датасет определяет источник и типы полей, чарт задаёт группировку и расчёты, дашборд объединяет визуализации и фильтры. Источник датасета pr_1_gostinicy — одноимённая таблица учебной БД; дополнительные соединения таблиц не требуются.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Поле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Тип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№ в ГТИБД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Идентификатор объекта; не суммировать. Для количества использовать COUNTD.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Кол-во комнат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Количество комнат; SUM для суммарной вместимости по комнатам.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Кол-во спальных мест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Целое число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Вместимость; суммирование только при корректной уникальности строк.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Координаты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Геоточка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Положение объекта на карте; проверить формат и порядок координат.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Класс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Тип объекта для группировки и цвета.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Район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Строка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Группировка третьего чарта и поле общего селектора.</w:t>
            </w:r>
          </w:p>
        </w:tc>
      </w:tr>
    </w:tbl>
    <w:p>
      <w:r>
        <w:rPr>
          <w:b w:val="0"/>
        </w:rPr>
        <w:t>Предпросмотр из 10 строк служит проверкой загрузки, а не подтверждением того, что в таблице всего 10 объектов. Идентификатор остаётся измерением; количество объектов вычисляется отдельно как COUNTD([№ в ГТИБД]). Сумма комнат рассчитывается как SUM([Кол-во комнат]).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3</w:t>
              <w:br/>
              <w:t>Поля датасета pr_1_gostinicy и предпросмотр источника</w:t>
            </w:r>
          </w:p>
        </w:tc>
      </w:tr>
    </w:tbl>
    <w:p>
      <w:pPr>
        <w:jc w:val="center"/>
      </w:pPr>
      <w:r>
        <w:rPr>
          <w:b w:val="0"/>
        </w:rPr>
        <w:t>Рисунок 3 — Поля датасета pr_1_gostinicy и предпросмотр источника</w:t>
      </w:r>
    </w:p>
    <w:p>
      <w:r>
        <w:rPr>
          <w:b w:val="0"/>
        </w:rPr>
        <w:t>Перед сохранением проверяются успешность преобразования целых чисел и геоточек. На всех трёх чартах используется один датасет, что позволяет применять общий селектор «Район».</w:t>
      </w:r>
    </w:p>
    <w:p>
      <w:r>
        <w:br w:type="page"/>
      </w:r>
    </w:p>
    <w:p>
      <w:pPr>
        <w:pStyle w:val="Heading1"/>
      </w:pPr>
      <w:r>
        <w:t>4. Количество зданий по типу и качество данных</w:t>
      </w:r>
    </w:p>
    <w:p>
      <w:r>
        <w:rPr>
          <w:b w:val="0"/>
        </w:rPr>
        <w:t>Первый чарт — «Количество зданий по типу», линейчатая диаграмма. В Y помещается «Класс», в X и подписи — «№ в ГТИБД» с агрегацией «Количество уникальных». Отображаемое имя показателя в чарте — «Количество»; выбран синий цвет, заголовок включён.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4</w:t>
              <w:br/>
              <w:t>Линейчатая диаграмма с COUNTD и подписью «Количество»</w:t>
            </w:r>
          </w:p>
        </w:tc>
      </w:tr>
    </w:tbl>
    <w:p>
      <w:pPr>
        <w:jc w:val="center"/>
      </w:pPr>
      <w:r>
        <w:rPr>
          <w:b w:val="0"/>
        </w:rPr>
        <w:t>Рисунок 4 — Линейчатая диаграмма с COUNTD и подписью «Количество»</w:t>
      </w:r>
    </w:p>
    <w:p>
      <w:r>
        <w:rPr>
          <w:b w:val="0"/>
        </w:rPr>
        <w:t>COUNTD исключает повторный подсчёт одного идентификатора внутри категории, но не исправляет источник. Один идентификатор в нескольких классах попадёт в несколько групп. Поэтому сумма столбцов может превышать общее число уникальных объектов.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Проверяемый риск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Класс ошибки и способ исправления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Варианты написания классов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Ошибка категорий: привести пробелы и регистр к единому виду, согласовать справочник; не объединять разные типы без основания.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Повторения идентификатора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Дубликаты/нарушение уникальности: выяснить смысл строк, выделить уникальную запись объекта; учитывать влияние на SUM комнат.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Пустой идентификатор, класс или район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Неполнота: сверить с первичным источником; не подменять неизвестное произвольным значением.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Некорректные комнаты или координаты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</w:pPr>
            <w:r>
              <w:rPr>
                <w:sz w:val="21"/>
              </w:rPr>
              <w:t>Ошибка типа/диапазона: проверить преобразование, знак, формат и положение по адресу.</w:t>
            </w:r>
          </w:p>
        </w:tc>
      </w:tr>
    </w:tbl>
    <w:p>
      <w:r>
        <w:rPr>
          <w:b w:val="0"/>
        </w:rPr>
        <w:t>Фактическое наблюдение после подключения: [указать действительно найденную проблему и пример значения либо написать, что по выполненным проверкам соответствующих ошибок не обнаружено]. Приведённая таблица задаёт план проверки и не объявляет все риски найденными.</w:t>
      </w:r>
    </w:p>
    <w:p>
      <w:r>
        <w:br w:type="page"/>
      </w:r>
    </w:p>
    <w:p>
      <w:pPr>
        <w:pStyle w:val="Heading1"/>
      </w:pPr>
      <w:r>
        <w:t>5. Карта и самостоятельный чарт</w:t>
      </w:r>
    </w:p>
    <w:p>
      <w:r>
        <w:rPr>
          <w:b w:val="0"/>
        </w:rPr>
        <w:t>Чарт «Гостиницы на карте»: тип «Карта», точечный слой «Гостиницы». В геоточки помещаются «Координаты», в цвета — «Класс», постоянный размер точек — 5. Подписи задаются полем «Кол-во комнат» с агрегацией «Сумма».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628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5</w:t>
              <w:br/>
              <w:t>Карта: слой «Гостиницы», размер 5, цвет по классу, сумма комнат</w:t>
            </w:r>
          </w:p>
        </w:tc>
      </w:tr>
    </w:tbl>
    <w:p>
      <w:pPr>
        <w:jc w:val="center"/>
      </w:pPr>
      <w:r>
        <w:rPr>
          <w:b w:val="0"/>
        </w:rPr>
        <w:t>Рисунок 5 — Карта: слой «Гостиницы», размер 5, цвет по классу, сумма комнат</w:t>
      </w:r>
    </w:p>
    <w:p>
      <w:r>
        <w:rPr>
          <w:b w:val="0"/>
        </w:rPr>
        <w:t>Самостоятельный чарт «Количество комнат по районам» — столбчатая диаграмма. X — «Район», Y и подписи — сумма «Кол-во комнат». Показатель характеризует число комнат, а не число зданий; его нельзя подписывать как количество гостиниц.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628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6</w:t>
              <w:br/>
              <w:t>Самостоятельная диаграмма суммы комнат по районам</w:t>
            </w:r>
          </w:p>
        </w:tc>
      </w:tr>
    </w:tbl>
    <w:p>
      <w:pPr>
        <w:jc w:val="center"/>
      </w:pPr>
      <w:r>
        <w:rPr>
          <w:b w:val="0"/>
        </w:rPr>
        <w:t>Рисунок 6 — Самостоятельная диаграмма суммы комнат по районам</w:t>
      </w:r>
    </w:p>
    <w:p>
      <w:r>
        <w:rPr>
          <w:b w:val="0"/>
        </w:rPr>
        <w:t>При совпадении координат подпись на карте может суммировать комнаты нескольких записей. Пропуски геоточек и дубли необходимо проверять отдельно; отсутствие точки на карте не доказывает отсутствие объекта в таблице.</w:t>
      </w:r>
    </w:p>
    <w:p>
      <w:r>
        <w:br w:type="page"/>
      </w:r>
    </w:p>
    <w:p>
      <w:pPr>
        <w:pStyle w:val="Heading1"/>
      </w:pPr>
      <w:r>
        <w:t>6. Дашборд и интерактивный селектор</w:t>
      </w:r>
    </w:p>
    <w:p>
      <w:r>
        <w:rPr>
          <w:b w:val="0"/>
        </w:rPr>
        <w:t>Название дашборда — «Практическая работа 4. Курбатов». На нём размещаются три сохранённых чарта и текстовый блок с выводом в Markdown. Повторный заголовок виджета отключается, если заголовок уже включён в самом чарте.</w:t>
      </w:r>
    </w:p>
    <w:p>
      <w:r>
        <w:rPr>
          <w:b w:val="0"/>
        </w:rPr>
        <w:t>Сверху располагается селектор «Район»: источник — датасет pr_1_gostinicy, поле «Район», множественный выбор и цветовой акцент включены. После изменения выборки все три чарта должны согласованно пересчитываться.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515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7</w:t>
              <w:br/>
              <w:t>Общий дашборд: три чарта, селектор и Markdown-вывод</w:t>
            </w:r>
          </w:p>
        </w:tc>
      </w:tr>
    </w:tbl>
    <w:p>
      <w:pPr>
        <w:jc w:val="center"/>
      </w:pPr>
      <w:r>
        <w:rPr>
          <w:b w:val="0"/>
        </w:rPr>
        <w:t>Рисунок 7 — Общий дашборд: три чарта, селектор и Markdown-вывод</w:t>
      </w:r>
    </w:p>
    <w:p>
      <w:r>
        <w:rPr>
          <w:b w:val="0"/>
        </w:rPr>
        <w:t>Контроль фильтра: выбрать два района, проверить изменение диаграмм и карты, затем сбросить выбор. Если один чарт не меняется, проверить его датасет и связи с селектором. Выбранные районы для проверки: [вписать два реально выбранных значения].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515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8</w:t>
              <w:br/>
              <w:t>Дашборд после множественного выбора двух районов</w:t>
            </w:r>
          </w:p>
        </w:tc>
      </w:tr>
    </w:tbl>
    <w:p>
      <w:pPr>
        <w:jc w:val="center"/>
      </w:pPr>
      <w:r>
        <w:rPr>
          <w:b w:val="0"/>
        </w:rPr>
        <w:t>Рисунок 8 — Дашборд после множественного выбора двух районов</w:t>
      </w:r>
    </w:p>
    <w:p>
      <w:r>
        <w:br w:type="page"/>
      </w:r>
    </w:p>
    <w:p>
      <w:pPr>
        <w:pStyle w:val="Heading1"/>
      </w:pPr>
      <w:r>
        <w:t>7. Публичный доступ и ссылка на результат</w:t>
      </w:r>
    </w:p>
    <w:p>
      <w:r>
        <w:rPr>
          <w:b w:val="0"/>
        </w:rPr>
        <w:t>Публичный доступ включается для дашборда через меню «⋯ → Публичный доступ» с сохранением настроек. При необходимости разрешается публикация используемых зависимостей. Ссылка проверяется в приватном окне браузера без входа в аккаунт.</w:t>
      </w:r>
    </w:p>
    <w:p>
      <w:r>
        <w:rPr>
          <w:b/>
        </w:rPr>
        <w:t>Ссылка на опубликованный дашборд:</w:t>
      </w:r>
    </w:p>
    <w:p>
      <w:r>
        <w:rPr>
          <w:b w:val="0"/>
        </w:rPr>
        <w:t>[ВСТАВИТЬ ПОЛНУЮ ПУБЛИЧНУЮ ССЫЛКУ ИЗ DATALENS]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exact"/>
        </w:trPr>
        <w:tc>
          <w:tcPr>
            <w:tcW w:type="dxa" w:w="9355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9</w:t>
              <w:br/>
              <w:t>Опубликованный дашборд без авторизации, адресная строка видна</w:t>
            </w:r>
          </w:p>
        </w:tc>
      </w:tr>
    </w:tbl>
    <w:p>
      <w:pPr>
        <w:jc w:val="center"/>
      </w:pPr>
      <w:r>
        <w:rPr>
          <w:b w:val="0"/>
        </w:rPr>
        <w:t>Рисунок 9 — Опубликованный дашборд без авторизации, адресная строка видна</w:t>
      </w:r>
    </w:p>
    <w:p>
      <w:r>
        <w:rPr>
          <w:b w:val="0"/>
        </w:rPr>
        <w:t>Критерии проверки: ссылка открывает нужный дашборд, три чарта загружаются, селектор работает, нет запроса авторизации и ошибок источника. Пароль подключения и другие учётные данные не публикуются. Ссылку необходимо также добавить в описание ответа в личном кабинете, как требует методичка.</w:t>
      </w:r>
    </w:p>
    <w:p>
      <w:pPr>
        <w:pStyle w:val="Heading1"/>
      </w:pPr>
      <w:r>
        <w:t>8. Вывод</w:t>
      </w:r>
    </w:p>
    <w:p>
      <w:r>
        <w:rPr>
          <w:b w:val="0"/>
        </w:rPr>
        <w:t>В работе рассматривается полный путь визуализации: подключение PostgreSQL → датасет → чарты → интерактивный дашборд → публичный просмотр. COUNTD идентификатора применяется для количества объектов, SUM комнат — для оценки вместимости; пространственные данные отображаются геоточками.</w:t>
      </w:r>
    </w:p>
    <w:p>
      <w:r>
        <w:rPr>
          <w:b w:val="0"/>
        </w:rPr>
        <w:t>Селектор по району связывает представления в общий аналитический инструмент. Достоверность выводов зависит от полноты идентификаторов, единообразия классов, отсутствия неконтролируемых дублей и корректности координат. Фактические аналитические выводы и подтверждение публикации дополняются после работы с источником и собственным дашбордом.</w:t>
      </w:r>
    </w:p>
    <w:p>
      <w:pPr>
        <w:pStyle w:val="Heading1"/>
      </w:pPr>
      <w:r>
        <w:t>9. Источники</w:t>
      </w:r>
    </w:p>
    <w:p>
      <w:r>
        <w:rPr>
          <w:b w:val="0"/>
        </w:rPr>
        <w:t>1. Практическая работа 4. Знакомство с Yandex DataLens: предоставленные методические указания, с. 1–11.</w:t>
        <w:br/>
        <w:t>2. Yandex DataLens. URL: https://datalens.ru/.</w:t>
        <w:br/>
        <w:t>3. Документация DataLens. URL: https://yandex.cloud/ru/docs/datalens/.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