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9"/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3"/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5"/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wrapNone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7"/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wrapNone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19"/>
          <w:pgSz w:w="11909" w:h="16834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9335" cy="7562088"/>
            <wp:wrapNone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689335" cy="75620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21"/>
          <w:pgSz w:w="16834" w:h="11909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89335" cy="7562088"/>
            <wp:wrapNone/>
            <wp:docPr id="7" name="Picture 7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89335" cy="756208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footerReference w:type="default" r:id="rId23"/>
          <w:pgSz w:w="16834" w:h="11909" w:orient="landscape"/>
          <w:pgMar w:top="0" w:right="0" w:bottom="0" w:left="0" w:header="0" w:footer="0" w:gutter="0"/>
          <w:cols w:space="720"/>
          <w:docGrid w:linePitch="360"/>
        </w:sectPr>
      </w:pPr>
    </w:p>
    <w:p>
      <w:r>
        <w:rPr>
          <w:b/>
        </w:rPr>
        <w:t>Минимизация автомата Мура методом треугольной таблицы</w:t>
      </w:r>
    </w:p>
    <w:p>
      <w:r>
        <w:rPr>
          <w:b w:val="0"/>
        </w:rPr>
        <w:t>Автомат Мили сокращён методом разбиения классов, поэтому для Мура используем треугольную таблицу (методичка, с. 23). В исходной таблице Мура удаляем недостижимые из Q02/y состояния Q11, Q31, Q41, Q51, Q81. Оставшиеся 13 состояний обозначим:</w:t>
      </w:r>
    </w:p>
    <w:p>
      <w:r>
        <w:rPr>
          <w:b w:val="0"/>
        </w:rPr>
        <w:t>S0=Q01/x; S1=Q02/y; S2=Q12/y; S3=Q21/x; S4=Q22/y; S5=Q32/y; S6=Q42/y; S7=Q52/y; S8=Q61/x; S9=Q62/y; S10=Q71/x; S11=Q72/y; S12=Q82/y. Начальное состояние — S1=Q02/y.</w:t>
      </w:r>
    </w:p>
    <w:p>
      <w:r>
        <w:rPr>
          <w:b w:val="0"/>
        </w:rPr>
        <w:t>В клетке (Si,Sj) ставим ×0 при разных выходах. Для одинаковых выходов проверяем пары назначений по a, b, c. Если хотя бы одна из них уже различима, вычёркиваем исходную пару. Индекс × — номер раунда; ≡ — невычеркнутая эквивалентная пара.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S3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S5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S6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S7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S8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S9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S10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S11</w:t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S2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S3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S5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S6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S7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×3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×3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S8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S9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S10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S11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≡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×4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S12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×2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×2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×2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×0</w:t>
            </w:r>
          </w:p>
        </w:tc>
        <w:tc>
          <w:tcPr>
            <w:tcW w:type="dxa" w:w="754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0"/>
              </w:rPr>
              <w:t>×1</w:t>
            </w:r>
          </w:p>
        </w:tc>
      </w:tr>
    </w:tbl>
    <w:p>
      <w:r>
        <w:rPr>
          <w:b w:val="0"/>
        </w:rPr>
        <w:t>Последовательность проверки (пример из каждого раунда):</w:t>
      </w:r>
    </w:p>
    <w:p>
      <w:r>
        <w:rPr>
          <w:b w:val="0"/>
        </w:rPr>
        <w:t>1. S1–S2 по a → S0–S2; пара назначения помечена ×0, поэтому исходная пара помечается ×1.</w:t>
      </w:r>
    </w:p>
    <w:p>
      <w:r>
        <w:rPr>
          <w:b w:val="0"/>
        </w:rPr>
        <w:t>2. S2–S12 по c → S5–S9; пара назначения помечена ×1, поэтому исходная пара помечается ×2.</w:t>
      </w:r>
    </w:p>
    <w:p>
      <w:r>
        <w:rPr>
          <w:b w:val="0"/>
        </w:rPr>
        <w:t>3. S2–S7 по b → S5–S12; пара назначения помечена ×2, поэтому исходная пара помечается ×3.</w:t>
      </w:r>
    </w:p>
    <w:p>
      <w:r>
        <w:rPr>
          <w:b w:val="0"/>
        </w:rPr>
        <w:t>4. S0–S8 по a → S2–S7; пара назначения помечена ×3, поэтому исходная пара помечается ×4.</w:t>
      </w:r>
    </w:p>
    <w:p>
      <w:r>
        <w:rPr>
          <w:b w:val="0"/>
        </w:rPr>
        <w:t>На раундах 0–4 вычёркнуто соответственно 36, 20, 3, 2, 9 пар. Следующий проход новых пометок не даёт. Восемь оставшихся пар образуют семь классов:</w:t>
      </w:r>
    </w:p>
    <w:p>
      <w:r>
        <w:rPr>
          <w:b w:val="0"/>
        </w:rPr>
        <w:t>M0/y={S1,S4,S11}; M1/x={S0,S3,S10}; M2/y={S2,S5}; M3/y={S6,S9}; M4/y={S7}; M5/y={S12}; M6/x={S8}. Начальный класс — M0.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6"/>
        <w:gridCol w:w="1226"/>
        <w:gridCol w:w="1226"/>
        <w:gridCol w:w="1226"/>
        <w:gridCol w:w="1226"/>
        <w:gridCol w:w="1226"/>
        <w:gridCol w:w="1226"/>
        <w:gridCol w:w="1226"/>
      </w:tblGrid>
      <w:tr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Вход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M0/y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M1/x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M2/y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M3/y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M4/y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M5/y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M6/x</w:t>
            </w:r>
          </w:p>
        </w:tc>
      </w:tr>
      <w:tr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a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M1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M4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M1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M6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M4</w:t>
            </w:r>
          </w:p>
        </w:tc>
      </w:tr>
      <w:tr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b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M5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M5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</w:tr>
      <w:tr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c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M3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M3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M2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M0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M4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M3</w:t>
            </w:r>
          </w:p>
        </w:tc>
        <w:tc>
          <w:tcPr>
            <w:tcW w:type="dxa" w:w="122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2"/>
              </w:rPr>
              <w:t>M0</w:t>
            </w:r>
          </w:p>
        </w:tc>
      </w:tr>
    </w:tbl>
    <w:p>
      <w:r>
        <w:rPr>
          <w:b w:val="0"/>
        </w:rPr>
        <w:t>Все семь классов достижимы и попарно различимы. Поэтому сокращённый автомат содержит 7 состояний вместо 13 достижимых (18 формальных).</w:t>
      </w:r>
    </w:p>
    <w:p>
      <w:r>
        <w:br w:type="page"/>
      </w:r>
    </w:p>
    <w:p>
      <w:r>
        <w:rPr>
          <w:b/>
        </w:rPr>
        <w:t>Построим сокращённый автомат Мура в JFLAP.</w:t>
      </w:r>
    </w:p>
    <w:p>
      <w:pPr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156000" cy="3891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_graph_jfl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91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7 — Граф минимизированного автомата Мура в JFLAP.</w:t>
      </w:r>
    </w:p>
    <w:p>
      <w:r>
        <w:rPr>
          <w:b w:val="0"/>
        </w:rPr>
        <w:t>Протестируем автомат на исходной последовательности abcacbacbcab и нескольких дополнительных словах длиной не менее шести символов. Результаты получены командой Multiple Run → Run Inputs в JFLAP.</w:t>
      </w:r>
    </w:p>
    <w:p>
      <w:pPr>
        <w:jc w:val="center"/>
      </w:pPr>
      <w:r>
        <w:rPr>
          <w:b w:val="0"/>
        </w:rPr>
      </w:r>
      <w:r>
        <w:drawing>
          <wp:inline xmlns:a="http://schemas.openxmlformats.org/drawingml/2006/main" xmlns:pic="http://schemas.openxmlformats.org/drawingml/2006/picture">
            <wp:extent cx="6156000" cy="20321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table_jfl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032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</w:rPr>
        <w:t>Рисунок 8 — Результаты тестирования сокращённого Мура в JFLAP.</w:t>
      </w:r>
    </w:p>
    <w:p>
      <w:r>
        <w:rPr>
          <w:b w:val="0"/>
        </w:rPr>
        <w:t>Для abcacbacbcab получен выход yyyyxyyxyyyxy. После удаления начального выхода y получаем yyyxyyxyyyxy — тот же результат, что у исходного и минимизированного автоматов Мили. Для остальных проверенных слов результаты также совпадают с исходным автоматом Мура.</w:t>
      </w:r>
    </w:p>
    <w:p>
      <w:pPr>
        <w:sectPr>
          <w:footerReference w:type="default" r:id="rId25"/>
          <w:pgSz w:w="11906" w:h="16838"/>
          <w:pgMar w:top="964" w:right="964" w:bottom="964" w:left="1134" w:header="0" w:footer="480" w:gutter="0"/>
          <w:cols w:space="720"/>
          <w:docGrid w:linePitch="360"/>
          <w:pgNumType w:start="8"/>
        </w:sectPr>
      </w:pPr>
    </w:p>
    <w:p>
      <w:pPr>
        <w:spacing w:before="0" w:after="0" w:line="20" w:lineRule="exact"/>
      </w:pPr>
      <w:r>
        <w:rPr>
          <w:sz w:val="2"/>
        </w:rP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wrapNone/>
            <wp:docPr id="8" name="Picture 8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reserved_page_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footerReference w:type="default" r:id="rId26"/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footer" Target="footer2.xml"/><Relationship Id="rId14" Type="http://schemas.openxmlformats.org/officeDocument/2006/relationships/image" Target="media/image4.png"/><Relationship Id="rId15" Type="http://schemas.openxmlformats.org/officeDocument/2006/relationships/footer" Target="footer3.xml"/><Relationship Id="rId16" Type="http://schemas.openxmlformats.org/officeDocument/2006/relationships/image" Target="media/image5.png"/><Relationship Id="rId17" Type="http://schemas.openxmlformats.org/officeDocument/2006/relationships/footer" Target="footer4.xml"/><Relationship Id="rId18" Type="http://schemas.openxmlformats.org/officeDocument/2006/relationships/image" Target="media/image6.png"/><Relationship Id="rId19" Type="http://schemas.openxmlformats.org/officeDocument/2006/relationships/footer" Target="footer5.xml"/><Relationship Id="rId20" Type="http://schemas.openxmlformats.org/officeDocument/2006/relationships/image" Target="media/image7.png"/><Relationship Id="rId21" Type="http://schemas.openxmlformats.org/officeDocument/2006/relationships/footer" Target="footer6.xml"/><Relationship Id="rId22" Type="http://schemas.openxmlformats.org/officeDocument/2006/relationships/image" Target="media/image8.png"/><Relationship Id="rId23" Type="http://schemas.openxmlformats.org/officeDocument/2006/relationships/footer" Target="footer7.xml"/><Relationship Id="rId24" Type="http://schemas.openxmlformats.org/officeDocument/2006/relationships/image" Target="media/image9.png"/><Relationship Id="rId25" Type="http://schemas.openxmlformats.org/officeDocument/2006/relationships/footer" Target="footer8.xml"/><Relationship Id="rId26" Type="http://schemas.openxmlformats.org/officeDocument/2006/relationships/footer" Target="footer9.xml"/><Relationship Id="rId27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