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C72" w:rsidRDefault="00683BA6" w:rsidP="005753BD">
      <w:pPr>
        <w:pStyle w:val="TitleSource_a3"/>
        <w:spacing w:before="76" w:line="658" w:lineRule="auto"/>
        <w:ind w:left="4099" w:right="3952"/>
        <w:jc w:val="center"/>
      </w:pPr>
      <w:r>
        <w:rPr>
          <w:spacing w:val="-4"/>
        </w:rPr>
        <w:t xml:space="preserve">ГУАП </w:t>
      </w:r>
      <w:r>
        <w:t>КАФЕДРА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41</w:t>
      </w:r>
    </w:p>
    <w:p w:rsidR="00606C72" w:rsidRDefault="00606C72">
      <w:pPr>
        <w:pStyle w:val="TitleSource_a3"/>
      </w:pPr>
    </w:p>
    <w:p w:rsidR="00606C72" w:rsidRDefault="00606C72">
      <w:pPr>
        <w:pStyle w:val="TitleSource_a3"/>
        <w:spacing w:before="167"/>
      </w:pPr>
    </w:p>
    <w:p w:rsidR="00606C72" w:rsidRDefault="00683BA6">
      <w:pPr>
        <w:pStyle w:val="TitleSource_a3"/>
      </w:pPr>
      <w:r>
        <w:rPr>
          <w:spacing w:val="-2"/>
        </w:rPr>
        <w:t>ОТЧЕТ</w:t>
      </w:r>
    </w:p>
    <w:p w:rsidR="00606C72" w:rsidRDefault="00683BA6">
      <w:pPr>
        <w:pStyle w:val="TitleSource_a3"/>
        <w:spacing w:line="343" w:lineRule="auto"/>
        <w:ind w:right="5093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:rsidR="00606C72" w:rsidRDefault="00683BA6">
      <w:pPr>
        <w:pStyle w:val="TitleSource_a3"/>
        <w:tabs>
          <w:tab w:val="left" w:pos="6696"/>
        </w:tabs>
        <w:spacing w:before="82" w:line="320" w:lineRule="exact"/>
        <w:ind w:left="37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266334</wp:posOffset>
                </wp:positionV>
                <wp:extent cx="2060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0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6350">
                              <a:moveTo>
                                <a:pt x="2060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0447" y="0"/>
                              </a:lnTo>
                              <a:lnTo>
                                <a:pt x="2060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83456" id="Graphic 1" o:spid="_x0000_s1026" style="position:absolute;margin-left:83.4pt;margin-top:20.95pt;width:162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0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" path="m2060447,6096l,6096,,,2060447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266334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2723F" id="Graphic 2" o:spid="_x0000_s1026" style="position:absolute;margin-left:259.8pt;margin-top:20.9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+n/F/eAAAAAJAQAADwAAAGRycy9k&#10;b3ducmV2LnhtbEyPTU/DMAyG70j8h8hIXCaWZoJqLU0nhIYQEpetXLhlqekHjVOabCv/HnOCo18/&#10;ev242MxuECecQudJg1omIJCsrztqNLxVTzdrECEaqs3gCTV8Y4BNeXlRmLz2Z9rhaR8bwSUUcqOh&#10;jXHMpQy2RWfC0o9IvPvwkzORx6mR9WTOXO4GuUqSVDrTEV9ozYiPLdrP/dFp6IJKX9KvxcK+Vso+&#10;v2/7bd9XWl9fzQ/3ICLO8Q+GX31Wh5KdDv5IdRCDhjuVpYxquFUZCAbWieLgwMEqA1kW8v8H5Q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+n/F/e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5266944</wp:posOffset>
                </wp:positionH>
                <wp:positionV relativeFrom="paragraph">
                  <wp:posOffset>266334</wp:posOffset>
                </wp:positionV>
                <wp:extent cx="19126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26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2620" h="6350">
                              <a:moveTo>
                                <a:pt x="191261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2619" y="0"/>
                              </a:lnTo>
                              <a:lnTo>
                                <a:pt x="191261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F2CE" id="Graphic 3" o:spid="_x0000_s1026" style="position:absolute;margin-left:414.7pt;margin-top:20.95pt;width:150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2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" path="m1912619,6096l,6096,,,1912619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6"/>
        </w:rPr>
        <w:t>Ассистент</w:t>
      </w:r>
      <w:r>
        <w:rPr>
          <w:position w:val="6"/>
        </w:rPr>
        <w:tab/>
      </w:r>
      <w:r>
        <w:t>Д.С.</w:t>
      </w:r>
      <w:r>
        <w:rPr>
          <w:spacing w:val="-1"/>
        </w:rPr>
        <w:t xml:space="preserve"> </w:t>
      </w:r>
      <w:r>
        <w:rPr>
          <w:spacing w:val="-2"/>
        </w:rPr>
        <w:t>Лисюков</w:t>
      </w:r>
    </w:p>
    <w:p w:rsidR="00606C72" w:rsidRDefault="00683BA6">
      <w:pPr>
        <w:pStyle w:val="TitleSource_a"/>
        <w:tabs>
          <w:tab w:val="left" w:pos="4462"/>
          <w:tab w:val="left" w:pos="7383"/>
        </w:tabs>
        <w:spacing w:line="187" w:lineRule="exact"/>
        <w:ind w:left="411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spacing w:before="308"/>
        <w:rPr>
          <w:sz w:val="28"/>
        </w:rPr>
      </w:pPr>
    </w:p>
    <w:p w:rsidR="00606C72" w:rsidRDefault="00683BA6">
      <w:pPr>
        <w:pStyle w:val="TitleSource_a"/>
        <w:ind w:left="76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 w:rsidR="00A9742A">
        <w:rPr>
          <w:spacing w:val="-7"/>
          <w:sz w:val="28"/>
        </w:rPr>
        <w:t xml:space="preserve"> №5</w:t>
      </w: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spacing w:before="76"/>
        <w:rPr>
          <w:sz w:val="28"/>
        </w:rPr>
      </w:pPr>
    </w:p>
    <w:p w:rsidR="00606C72" w:rsidRPr="00A9742A" w:rsidRDefault="00A9742A">
      <w:pPr>
        <w:pStyle w:val="TitleSource_1"/>
      </w:pPr>
      <w:r>
        <w:t xml:space="preserve">Визуализация данных из CSV-файла</w:t>
      </w:r>
      <w:r>
        <w:rPr>
          <w:lang w:val="en-US"/>
        </w:rPr>
        <w:t/>
      </w: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spacing w:before="194"/>
        <w:rPr>
          <w:sz w:val="28"/>
        </w:rPr>
      </w:pPr>
    </w:p>
    <w:p w:rsidR="00606C72" w:rsidRDefault="00683BA6">
      <w:pPr>
        <w:pStyle w:val="TitleSource_a3"/>
        <w:spacing w:before="1"/>
        <w:ind w:left="76"/>
        <w:jc w:val="center"/>
      </w:pPr>
      <w:r>
        <w:t>по</w:t>
      </w:r>
      <w:r>
        <w:rPr>
          <w:spacing w:val="-1"/>
        </w:rPr>
        <w:t xml:space="preserve"> </w:t>
      </w:r>
      <w:r>
        <w:t>курсу:</w:t>
      </w:r>
      <w:r>
        <w:rPr>
          <w:spacing w:val="-1"/>
        </w:rPr>
        <w:t xml:space="preserve"> </w:t>
      </w:r>
      <w:r>
        <w:t>Облачные</w:t>
      </w:r>
      <w:r>
        <w:rPr>
          <w:spacing w:val="-1"/>
        </w:rPr>
        <w:t xml:space="preserve"> </w:t>
      </w:r>
      <w:r>
        <w:t>технологии</w:t>
      </w:r>
      <w:r>
        <w:rPr>
          <w:spacing w:val="2"/>
        </w:rPr>
        <w:t xml:space="preserve"> </w:t>
      </w:r>
      <w:r>
        <w:t xml:space="preserve">и </w:t>
      </w:r>
      <w:r>
        <w:rPr>
          <w:spacing w:val="-2"/>
        </w:rPr>
        <w:t>сервисы</w:t>
      </w: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  <w:spacing w:before="36"/>
      </w:pPr>
    </w:p>
    <w:p w:rsidR="00606C72" w:rsidRDefault="00683BA6">
      <w:pPr>
        <w:pStyle w:val="TitleSource_a3"/>
      </w:pPr>
      <w:r>
        <w:t>РАБОТУ</w:t>
      </w:r>
      <w:r>
        <w:rPr>
          <w:spacing w:val="-2"/>
        </w:rPr>
        <w:t xml:space="preserve"> ВЫПОЛНИЛ</w:t>
      </w:r>
    </w:p>
    <w:p w:rsidR="00606C72" w:rsidRDefault="00683BA6">
      <w:pPr>
        <w:pStyle w:val="TitleSource_a3"/>
        <w:tabs>
          <w:tab w:val="left" w:pos="2276"/>
          <w:tab w:val="left" w:pos="2900"/>
          <w:tab w:val="left" w:pos="4008"/>
          <w:tab w:val="left" w:pos="4244"/>
          <w:tab w:val="left" w:pos="6940"/>
          <w:tab w:val="left" w:pos="7640"/>
          <w:tab w:val="left" w:pos="9747"/>
        </w:tabs>
        <w:spacing w:before="257" w:line="260" w:lineRule="exact"/>
        <w:ind w:left="108"/>
      </w:pPr>
      <w:r>
        <w:t xml:space="preserve">СТУДЕНТ ГР. </w:t>
      </w:r>
      <w:r>
        <w:rPr>
          <w:spacing w:val="-10"/>
        </w:rPr>
        <w:t>№</w:t>
      </w:r>
      <w:r>
        <w:tab/>
      </w:r>
      <w:r>
        <w:rPr>
          <w:u w:val="single"/>
        </w:rPr>
        <w:tab/>
      </w:r>
      <w:r>
        <w:rPr>
          <w:spacing w:val="-4"/>
          <w:u w:val="single"/>
        </w:rPr>
        <w:t>4417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spacing w:val="118"/>
        </w:rPr>
        <w:t xml:space="preserve"> </w:t>
      </w:r>
      <w:r>
        <w:rPr>
          <w:u w:val="single"/>
        </w:rPr>
        <w:tab/>
      </w:r>
      <w:r w:rsidR="005753BD">
        <w:rPr>
          <w:u w:val="single"/>
        </w:rPr>
        <w:t>М. П. Курбатов</w:t>
      </w:r>
      <w:r>
        <w:rPr>
          <w:u w:val="single"/>
        </w:rPr>
        <w:tab/>
      </w:r>
    </w:p>
    <w:p w:rsidR="00606C72" w:rsidRDefault="00683BA6">
      <w:pPr>
        <w:pStyle w:val="TitleSource_a"/>
        <w:tabs>
          <w:tab w:val="left" w:pos="7575"/>
        </w:tabs>
        <w:spacing w:line="214" w:lineRule="exact"/>
        <w:ind w:left="4976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  <w:spacing w:before="90"/>
      </w:pPr>
    </w:p>
    <w:p w:rsidR="00606C72" w:rsidRDefault="00683BA6">
      <w:pPr>
        <w:pStyle w:val="TitleSource_a3"/>
        <w:ind w:left="147"/>
        <w:jc w:val="center"/>
      </w:pPr>
      <w:r>
        <w:t xml:space="preserve">Санкт-Петербург </w:t>
      </w:r>
      <w:r>
        <w:rPr>
          <w:spacing w:val="-4"/>
        </w:rPr>
        <w:t>2026</w:t>
      </w:r>
    </w:p>
    <w:p w:rsidR="00606C72" w:rsidRDefault="00606C72">
      <w:pPr>
        <w:pStyle w:val="TitleSource_a3"/>
        <w:jc w:val="center"/>
        <w:sectPr w:rsidR="00606C72">
          <w:type w:val="nextPage"/>
          <w:pgSz w:w="11910" w:h="16840"/>
          <w:pgMar w:top="1220" w:right="566" w:bottom="280" w:left="1559" w:header="720" w:footer="720" w:gutter="0"/>
          <w:cols w:space="720"/>
          <w:titlePg/>
        </w:sectPr>
      </w:pPr>
    </w:p>
    <w:p>
      <w:pPr>
        <w:pStyle w:val="Heading1"/>
      </w:pPr>
      <w:r>
        <w:t>1 Цель и задачи работы</w:t>
      </w:r>
    </w:p>
    <w:p>
      <w:r>
        <w:rPr>
          <w:b w:val="0"/>
        </w:rPr>
        <w:t>Цель — изучение возможностей Yandex DataLens для визуализации данных из CSV-файла и исследования зависимостей в рейтинге фильмов Кинопоиска.</w:t>
      </w:r>
    </w:p>
    <w:p>
      <w:r>
        <w:rPr>
          <w:b w:val="0"/>
        </w:rPr>
        <w:t>Задачи: загрузить CSV; настроить датасет; создать диаграммы по годам, странам и режиссёрам, а также таблицу фильмов; собрать дашборд; добавить три селектора; ответить на аналитические вопросы и предоставить публичную ссылку.</w:t>
      </w:r>
    </w:p>
    <w:p>
      <w:pPr>
        <w:pStyle w:val="Heading1"/>
      </w:pPr>
      <w:r>
        <w:t>2 Подключение CSV-файла</w:t>
      </w:r>
    </w:p>
    <w:p>
      <w:r>
        <w:rPr>
          <w:b w:val="0"/>
        </w:rPr>
        <w:t>Воркбук — «Практическая работа 2», как указано в методичке к работе № 5. Источник — предоставленный преподавателем kinopoisk-top250.csv. В подключении «Файлы» устанавливаются кодировка windows-1251, разделитель «Точка с запятой» и наличие заголовка столбцов.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4535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</w:t>
              <w:br/>
              <w:t>Подключение CSV: кодировка, разделитель и заголовки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1 — Подключение CSV: кодировка, разделитель и заголовки</w:t>
      </w:r>
    </w:p>
    <w:p>
      <w:r>
        <w:rPr>
          <w:b w:val="0"/>
        </w:rPr>
        <w:t>Названия фильмов должны читаться без искажений, а данные — разделяться на отдельные столбцы. Подключение из предыдущей работы PostgreSQL здесь не используется.</w:t>
      </w:r>
    </w:p>
    <w:p>
      <w:r>
        <w:br w:type="page"/>
      </w:r>
    </w:p>
    <w:p>
      <w:pPr>
        <w:pStyle w:val="Heading1"/>
      </w:pPr>
      <w:r>
        <w:t>3 Датасет kinopoisk_data</w:t>
      </w:r>
    </w:p>
    <w:p>
      <w:r>
        <w:rPr>
          <w:b w:val="0"/>
        </w:rPr>
        <w:t>Датасет строится на таблице kinopoisk-top250.csv. Проверяются имена и типы полей, после чего датасет сохраняется как kinopoisk_data. Исходные английские имена сохраняются для корректной работы формул; русские подписи задаются в чартах.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Поле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Тип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movie title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Название фильма, аргумент COUNTD.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year_release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Год выхода; дискретная ось и селектор.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Страна/исходная категория страны.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producer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Режиссёр, согласно назначению в методичке.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rating_top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Позиция в рейтинге, не число фильмов.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rating_ball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Дробное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Оценка; не округлять до целого.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2</w:t>
              <w:br/>
              <w:t>Поля датасета и типы данных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2 — Поля датасета и типы данных</w:t>
      </w:r>
    </w:p>
    <w:p>
      <w:r>
        <w:rPr>
          <w:b w:val="0"/>
        </w:rPr>
        <w:t>Количество фильмов определяется как COUNTD(STR([movie title])). Это число уникальных названий: при совпадении названия у разных фильмов результат может отличаться от количества строк. Дубликаты и пропуски проверяются до интерпретации итогов.</w:t>
      </w:r>
    </w:p>
    <w:p>
      <w:r>
        <w:br w:type="page"/>
      </w:r>
    </w:p>
    <w:p>
      <w:pPr>
        <w:pStyle w:val="Heading1"/>
      </w:pPr>
      <w:r>
        <w:t>4 Количество фильмов по годам</w:t>
      </w:r>
    </w:p>
    <w:p>
      <w:r>
        <w:rPr>
          <w:b w:val="0"/>
        </w:rPr>
        <w:t>Первый чарт — столбчатая диаграмма «Количество фильмов по годам». X — year_release с дискретным отображением и подписью «Год выхода»; Y и подписи значений — количество уникальных названий, отображаемое как «Количество фильмов».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51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3</w:t>
              <w:br/>
              <w:t>Столбчатая диаграмма количества фильмов по годам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3 — Столбчатая диаграмма количества фильмов по годам</w:t>
      </w:r>
    </w:p>
    <w:p>
      <w:r>
        <w:rPr>
          <w:b w:val="0"/>
        </w:rPr>
        <w:t>Сетка по обеим осям отключается. У Y скрывается подпись оси, но числовые подписи над столбцами сохраняются. Используется нестандартный цвет, например бирюзовый; заголовок включается. Годы располагаются по возрастанию.</w:t>
      </w:r>
    </w:p>
    <w:p>
      <w:r>
        <w:rPr>
          <w:b w:val="0"/>
        </w:rPr>
        <w:t>Отсутствие столбца показывает отсутствие фильмов данного года в исследуемой выборке. Для анализа самого длинного пропуска учитываются все календарные годы между минимальным и максимальным годами, а не только соседние видимые столбцы.</w:t>
      </w:r>
    </w:p>
    <w:p>
      <w:r>
        <w:br w:type="page"/>
      </w:r>
    </w:p>
    <w:p>
      <w:pPr>
        <w:pStyle w:val="Heading1"/>
      </w:pPr>
      <w:r>
        <w:t>5 Страны с количеством фильмов больше 5</w:t>
      </w:r>
    </w:p>
    <w:p>
      <w:r>
        <w:rPr>
          <w:b w:val="0"/>
        </w:rPr>
        <w:t>Второй чарт — линейчатая диаграмма. Y — country с подписью «Страна выпуска»; X, подписи и сортировка по убыванию — «Количество фильмов». Цвет зависит от country, числовые подписи размещаются внутри полос.</w:t>
      </w:r>
    </w:p>
    <w:p>
      <w:r>
        <w:rPr>
          <w:b w:val="0"/>
        </w:rPr>
        <w:t>Фильтр «Количество больше 5»: COUNTD([movie title]) &gt; 5, условие «Равно → True». Он оставляет категории с шестью и более фильмами. Сетка X и Y и подпись оси X отключаются; заголовок чарта включается.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51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4</w:t>
              <w:br/>
              <w:t>Страны: COUNTD, порог &gt; 5, сортировка, цвет и подписи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4 — Страны: COUNTD, порог &gt; 5, сортировка, цвет и подписи</w:t>
      </w:r>
    </w:p>
    <w:p>
      <w:r>
        <w:rPr>
          <w:b w:val="0"/>
        </w:rPr>
        <w:t>Подсчёт выполняется по исходным значениям country. Если одно значение содержит несколько стран, оно считается отдельной категорией, пока не описано и не выполнено специальное разбиение. СССР и Россия автоматически не объединяются.</w:t>
      </w:r>
    </w:p>
    <w:p>
      <w:r>
        <w:br w:type="page"/>
      </w:r>
    </w:p>
    <w:p>
      <w:pPr>
        <w:pStyle w:val="Heading1"/>
      </w:pPr>
      <w:r>
        <w:t>6 Режиссёры с количеством фильмов больше 3</w:t>
      </w:r>
    </w:p>
    <w:p>
      <w:r>
        <w:rPr>
          <w:b w:val="0"/>
        </w:rPr>
        <w:t>Третий чарт — линейчатая диаграмма. Y — producer с подписью «Режиссёр»; X и подписи — «Количество фильмов»; цвет — country. Сортировка — по общему количеству фильмов режиссёра, по убыванию. Сетки отключаются, подпись оси X скрывается, подписи значений сохраняются.</w:t>
      </w:r>
    </w:p>
    <w:p>
      <w:r>
        <w:rPr>
          <w:b w:val="0"/>
        </w:rPr>
        <w:t>При детализации цветом по стране общий порог режиссёра рассчитывается отдельно: COUNTD([movie title] FIXED [producer]) &gt; 3. Фильтр равен True. Это предотвращает применение порога к отдельным страновым сегментам вместо режиссёра в целом.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4535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5</w:t>
              <w:br/>
              <w:t>Режиссёры: общий порог &gt; 3, сортировка и цвет по стране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5 — Режиссёры: общий порог &gt; 3, сортировка и цвет по стране</w:t>
      </w:r>
    </w:p>
    <w:p>
      <w:r>
        <w:rPr>
          <w:b w:val="0"/>
        </w:rPr>
        <w:t>Количество для сортировки: COUNTD([movie title] FIXED [producer]). В X остаётся обычный COUNTD названий для сегментов. Итог режиссёра дополнительно проверяется по таблице без поля country. Порог &gt; 3 означает не менее четырёх фильмов.</w:t>
      </w:r>
    </w:p>
    <w:p>
      <w:r>
        <w:br w:type="page"/>
      </w:r>
    </w:p>
    <w:p>
      <w:pPr>
        <w:pStyle w:val="Heading1"/>
      </w:pPr>
      <w:r>
        <w:t>7 Дашборд и селекторы</w:t>
      </w:r>
    </w:p>
    <w:p>
      <w:r>
        <w:rPr>
          <w:b w:val="0"/>
        </w:rPr>
        <w:t>Название — «Анализ рейтинга фильмов на Кинопоиске». Диаграмма по годам занимает всю ширину; ниже параллельно расположены страны и режиссёры. Повторяющиеся заголовки виджетов отключаются, если названия уже включены в чартах. Таблица фильмов добавляется ниже.</w:t>
      </w:r>
    </w:p>
    <w:p>
      <w:r>
        <w:rPr>
          <w:b w:val="0"/>
        </w:rPr>
        <w:t>Сверху в одну строку располагаются селекторы на основе kinopoisk_data: «Страна-производитель» (country), «Режиссёр» (producer), «Год выхода» (year_release). Для списков включаются цветовой акцент и поясняющие подсказки. Все селекторы должны воздействовать на все четыре чарта.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51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6</w:t>
              <w:br/>
              <w:t>Дашборд: три диаграммы, таблица и три верхних селектора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6 — Дашборд: три диаграммы, таблица и три верхних селектора</w:t>
      </w:r>
    </w:p>
    <w:p>
      <w:r>
        <w:rPr>
          <w:b w:val="0"/>
        </w:rPr>
        <w:t>Перед общим анализом все селекторы сбрасываются. После выбора страны, режиссёра или года проверяется изменение каждого чарта. При фильтрации часть стран и режиссёров может исчезнуть из-за сохранения порогов &gt; 5 и &gt; 3.</w:t>
      </w:r>
    </w:p>
    <w:p>
      <w:r>
        <w:br w:type="page"/>
      </w:r>
    </w:p>
    <w:p>
      <w:pPr>
        <w:pStyle w:val="Heading1"/>
      </w:pPr>
      <w:r>
        <w:t>8 Таблица фильмов и аналитические вопросы</w:t>
      </w:r>
    </w:p>
    <w:p>
      <w:r>
        <w:rPr>
          <w:b w:val="0"/>
        </w:rPr>
        <w:t>Четвёртый чарт — «Таблица», без пороговых фильтров стран и режиссёров. Поля: movie title, year_release, country, producer, rating_top, rating_ball. Таблица позволяет проверять конкретные записи и анализировать малые выборки, скрытые пороговыми диаграммами.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7</w:t>
              <w:br/>
              <w:t>Таблица с названиями, годами, странами и режиссёрами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7 — Таблица с названиями, годами, странами и режиссёрами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Вопрос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Ответ по фактическому CSV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Год с максимальным числом фильмов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[Год/все годы при равенстве; количество].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Самый длинный внутренний пропуск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[Начало–конец; N лет; гипотеза о причине].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Лидирующие страны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[Исходные значения country; количества].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Лидирующие режиссёры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[Значения producer; общие количества].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Год максимума для России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[Год/годы и количество при country = Россия].</w:t>
            </w:r>
          </w:p>
        </w:tc>
      </w:tr>
    </w:tbl>
    <w:p>
      <w:r>
        <w:rPr>
          <w:b w:val="0"/>
        </w:rPr>
        <w:t>Численные ответы заполняются только после получения исходного CSV и проверки выборки. Пропуск лет не доказывает прекращение кинопроизводства: он может отражать особенности топ-250 и предпочтений аудитории. Причины рассматриваются как гипотезы.</w:t>
      </w:r>
    </w:p>
    <w:p>
      <w:r>
        <w:br w:type="page"/>
      </w:r>
    </w:p>
    <w:p>
      <w:pPr>
        <w:pStyle w:val="Heading1"/>
      </w:pPr>
      <w:r>
        <w:t>9 Проверка фильтра России и публикация</w:t>
      </w:r>
    </w:p>
    <w:p>
      <w:r>
        <w:rPr>
          <w:b w:val="0"/>
        </w:rPr>
        <w:t>Для пятого вопроса очищаются все селекторы, затем выбирается country = Россия. Анализ проводится по диаграмме годов и таблице фильмов: порог &gt; 5 у стран может скрыть Россию и не должен использоваться для ответа. Фильмы СССР в этот срез не включаются.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8</w:t>
              <w:br/>
              <w:t>Фильтр «Россия»: годы и таблица для проверки ответа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8 — Фильтр «Россия»: годы и таблица для проверки ответа</w:t>
      </w:r>
    </w:p>
    <w:p>
      <w:r>
        <w:rPr>
          <w:b w:val="0"/>
        </w:rPr>
        <w:t>Ссылка на публичный дашборд: [ВСТАВИТЬ ПОЛНЫЙ ПУБЛИЧНЫЙ URL]. Ссылка проверяется в приватном окне без входа в аккаунт: должны загружаться четыре чарта и работать селекторы.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9</w:t>
              <w:br/>
              <w:t>Публичный дашборд без авторизации</w:t>
            </w:r>
          </w:p>
        </w:tc>
      </w:tr>
    </w:tbl>
    <w:p>
      <w:pPr>
        <w:spacing w:line="240" w:lineRule="auto" w:after="140"/>
        <w:ind w:firstLine="0"/>
        <w:jc w:val="center"/>
      </w:pPr>
      <w:r>
        <w:rPr>
          <w:b w:val="0"/>
          <w:sz w:val="24"/>
        </w:rPr>
        <w:t>Рисунок 9 — Публичный дашборд без авторизации</w:t>
      </w:r>
    </w:p>
    <w:p>
      <w:r>
        <w:br w:type="page"/>
      </w:r>
    </w:p>
    <w:p>
      <w:pPr>
        <w:pStyle w:val="Heading1"/>
      </w:pPr>
      <w:r>
        <w:t>10 Вывод</w:t>
      </w:r>
    </w:p>
    <w:p>
      <w:r>
        <w:rPr>
          <w:b w:val="0"/>
        </w:rPr>
        <w:t>Работа охватывает загрузку CSV, настройку типов, агрегацию COUNTD, пороговую фильтрацию, сортировку и совместное использование визуализаций на дашборде. Разные представления позволяют сравнивать временное распределение и вклад стран и режиссёров.</w:t>
      </w:r>
    </w:p>
    <w:p>
      <w:r>
        <w:rPr>
          <w:b w:val="0"/>
        </w:rPr>
        <w:t>Методическая особенность состоит в различении исходных записей, уникальных названий и агрегированных категорий. При цветовой детализации режиссёров необходимо контролировать уровень расчёта порога. Периоды отсутствия фильмов исследуются внутри диапазона лет, представленного в выборке.</w:t>
      </w:r>
    </w:p>
    <w:p>
      <w:r>
        <w:rPr>
          <w:b w:val="0"/>
        </w:rPr>
        <w:t>Фактические результаты по пяти вопросам приводятся в разделе 8 после анализа исходного файла; опубликованная ссылка — в разделе 9. Снимки и численные ответы в данном комплекте оставлены для заполнения, поскольку пользовательский CSV и готовый дашборд ещё не предоставлены.</w:t>
      </w:r>
    </w:p>
    <w:p>
      <w:pPr>
        <w:pStyle w:val="Heading1"/>
      </w:pPr>
      <w:r>
        <w:t>Список использованных источников</w:t>
      </w:r>
    </w:p>
    <w:p>
      <w:r>
        <w:rPr>
          <w:b w:val="0"/>
        </w:rPr>
        <w:t>1. Практическая работа 5. Визуализация данных из CSV-файла : методические указания. Предоставленный PDF. 7 с.</w:t>
      </w:r>
    </w:p>
    <w:p>
      <w:r>
        <w:rPr>
          <w:b w:val="0"/>
        </w:rPr>
        <w:t>2. Исходный CSV из задания. URL: https://disk.360.yandex.ru/d/lB8cvp_Abnd-Gw.</w:t>
      </w:r>
    </w:p>
    <w:p>
      <w:r>
        <w:rPr>
          <w:b w:val="0"/>
        </w:rPr>
        <w:t>3. Yandex DataLens. URL: https://datalens.ru/.</w:t>
      </w:r>
    </w:p>
    <w:p>
      <w:r>
        <w:rPr>
          <w:b w:val="0"/>
        </w:rPr>
        <w:t>4. Документация Yandex DataLens. URL: https://yandex.cloud/ru/docs/datalens/.</w:t>
      </w:r>
    </w:p>
    <w:p>
      <w:r>
        <w:rPr>
          <w:b w:val="0"/>
        </w:rPr>
        <w:t>5. ГОСТ 7.32–2017. СИБИД. Отчёт о научно-исследовательской работе. Структура и правила оформления.</w:t>
      </w:r>
    </w:p>
    <w:p>
      <w:r>
        <w:rPr>
          <w:b w:val="0"/>
        </w:rPr>
        <w:t>6. ГОСТ Р 2.105–2019. ЕСКД. Общие требования к текстовым документам.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Source_a">
    <w:name w:val="Title source Normal"/>
    <w:uiPriority w:val="1"/>
    <w:qFormat/>
    <w:rPr>
      <w:rFonts w:ascii="Times New Roman" w:eastAsia="Times New Roman" w:hAnsi="Times New Roman" w:cs="Times New Roman"/>
      <w:lang w:val="ru-RU"/>
      <w:sz w:val="22"/>
      <w:szCs w:val="22"/>
    </w:rPr>
    <w:pPr>
      <w:spacing w:before="0" w:after="0" w:line="240" w:lineRule="auto"/>
    </w:pPr>
  </w:style>
  <w:style w:type="paragraph" w:styleId="TitleSource_1">
    <w:name w:val="Title source heading 1"/>
    <w:basedOn w:val="TitleSource_a"/>
    <w:uiPriority w:val="1"/>
    <w:qFormat/>
    <w:pPr>
      <w:ind w:left="74"/>
      <w:jc w:val="center"/>
      <w:outlineLvl w:val="0"/>
    </w:pPr>
    <w:rPr>
      <w:sz w:val="28"/>
      <w:szCs w:val="28"/>
    </w:rPr>
  </w:style>
  <w:style w:type="paragraph" w:styleId="TitleSource_2">
    <w:name w:val="Title source heading 2"/>
    <w:basedOn w:val="TitleSource_a"/>
    <w:uiPriority w:val="1"/>
    <w:qFormat/>
    <w:pPr>
      <w:spacing w:before="73"/>
      <w:ind w:left="850"/>
      <w:outlineLvl w:val="1"/>
    </w:pPr>
    <w:rPr>
      <w:b/>
      <w:bCs/>
      <w:sz w:val="24"/>
      <w:szCs w:val="24"/>
    </w:rPr>
  </w:style>
  <w:style w:type="character" w:styleId="TitleSource_a0">
    <w:name w:val="Title source Default Paragraph Font"/>
    <w:uiPriority w:val="1"/>
    <w:semiHidden/>
    <w:unhideWhenUsed/>
  </w:style>
  <w:style w:type="table" w:styleId="TitleSource_a1">
    <w:name w:val="Title sourc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TitleSource_a2">
    <w:name w:val="Title source No List"/>
    <w:uiPriority w:val="99"/>
    <w:semiHidden/>
    <w:unhideWhenUsed/>
  </w:style>
  <w:style w:type="table" w:customStyle="1" w:styleId="TitleSource_TableNormal">
    <w:name w:val="Title source 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Source_a3">
    <w:name w:val="Title source Body Text"/>
    <w:basedOn w:val="TitleSource_a"/>
    <w:uiPriority w:val="1"/>
    <w:qFormat/>
    <w:rPr>
      <w:sz w:val="24"/>
      <w:szCs w:val="24"/>
    </w:rPr>
  </w:style>
  <w:style w:type="paragraph" w:styleId="TitleSource_a4">
    <w:name w:val="Title source List Paragraph"/>
    <w:basedOn w:val="TitleSource_a"/>
    <w:uiPriority w:val="1"/>
    <w:qFormat/>
    <w:pPr>
      <w:spacing w:before="1"/>
      <w:ind w:left="1117" w:hanging="267"/>
      <w:jc w:val="both"/>
    </w:pPr>
  </w:style>
  <w:style w:type="paragraph" w:customStyle="1" w:styleId="TitleSource_TableParagraph">
    <w:name w:val="Title source Table Paragraph"/>
    <w:basedOn w:val="TitleSource_a"/>
    <w:uiPriority w:val="1"/>
    <w:qFormat/>
  </w:style>
  <w:style w:type="paragraph" w:styleId="TitleSource_a5">
    <w:name w:val="Title source footer"/>
    <w:basedOn w:val="TitleSource_a"/>
    <w:link w:val="TitleSource_a6"/>
    <w:uiPriority w:val="99"/>
    <w:unhideWhenUsed/>
    <w:rsid w:val="00A9742A"/>
    <w:pPr>
      <w:widowControl/>
      <w:tabs>
        <w:tab w:val="center" w:pos="4680"/>
        <w:tab w:val="right" w:pos="9360"/>
      </w:tabs>
      <w:autoSpaceDE/>
      <w:autoSpaceDN/>
    </w:pPr>
    <w:rPr>
      <w:rFonts w:eastAsiaTheme="minorEastAsia" w:cstheme="minorBidi"/>
      <w:sz w:val="24"/>
      <w:lang w:val="en-US"/>
    </w:rPr>
  </w:style>
  <w:style w:type="character" w:customStyle="1" w:styleId="TitleSource_a6">
    <w:name w:val="Title source Нижний колонтитул Знак"/>
    <w:basedOn w:val="TitleSource_a0"/>
    <w:link w:val="TitleSource_a5"/>
    <w:uiPriority w:val="99"/>
    <w:rsid w:val="00A9742A"/>
    <w:rPr>
      <w:rFonts w:ascii="Times New Roman" w:eastAsiaTheme="minorEastAsia" w:hAnsi="Times New Roman"/>
      <w:sz w:val="24"/>
    </w:rPr>
  </w:style>
  <w:style w:type="table" w:styleId="TitleSource_a7">
    <w:name w:val="Title source Table Grid"/>
    <w:basedOn w:val="TitleSource_a1"/>
    <w:uiPriority w:val="59"/>
    <w:rsid w:val="00A9742A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