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C72" w:rsidRDefault="00683BA6" w:rsidP="005753BD">
      <w:pPr>
        <w:pStyle w:val="TitleSource_a3"/>
        <w:spacing w:before="76" w:line="658" w:lineRule="auto"/>
        <w:ind w:left="4099" w:right="3952"/>
        <w:jc w:val="center"/>
      </w:pPr>
      <w:r>
        <w:rPr>
          <w:spacing w:val="-4"/>
        </w:rPr>
        <w:t xml:space="preserve">ГУАП </w:t>
      </w:r>
      <w:r>
        <w:t>КАФЕДРА</w:t>
      </w:r>
      <w:r>
        <w:rPr>
          <w:spacing w:val="-15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t>41</w:t>
      </w:r>
    </w:p>
    <w:p w:rsidR="00606C72" w:rsidRDefault="00606C72">
      <w:pPr>
        <w:pStyle w:val="TitleSource_a3"/>
      </w:pPr>
    </w:p>
    <w:p w:rsidR="00606C72" w:rsidRDefault="00606C72">
      <w:pPr>
        <w:pStyle w:val="TitleSource_a3"/>
        <w:spacing w:before="167"/>
      </w:pPr>
    </w:p>
    <w:p w:rsidR="00606C72" w:rsidRDefault="00683BA6">
      <w:pPr>
        <w:pStyle w:val="TitleSource_a3"/>
      </w:pPr>
      <w:r>
        <w:rPr>
          <w:spacing w:val="-2"/>
        </w:rPr>
        <w:t>ОТЧЕТ</w:t>
      </w:r>
    </w:p>
    <w:p w:rsidR="00606C72" w:rsidRDefault="00683BA6">
      <w:pPr>
        <w:pStyle w:val="TitleSource_a3"/>
        <w:spacing w:line="343" w:lineRule="auto"/>
        <w:ind w:right="5093"/>
      </w:pPr>
      <w:r>
        <w:t>ЗАЩИЩЕН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ОЦЕНКОЙ </w:t>
      </w:r>
      <w:r>
        <w:rPr>
          <w:spacing w:val="-2"/>
        </w:rPr>
        <w:t>ПРЕПОДАВАТЕЛЬ</w:t>
      </w:r>
    </w:p>
    <w:p w:rsidR="00606C72" w:rsidRDefault="00683BA6">
      <w:pPr>
        <w:pStyle w:val="TitleSource_a3"/>
        <w:tabs>
          <w:tab w:val="left" w:pos="6696"/>
        </w:tabs>
        <w:spacing w:before="82" w:line="320" w:lineRule="exact"/>
        <w:ind w:left="372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ragraph">
                  <wp:posOffset>266334</wp:posOffset>
                </wp:positionV>
                <wp:extent cx="20605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0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0575" h="6350">
                              <a:moveTo>
                                <a:pt x="20604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2060447" y="0"/>
                              </a:lnTo>
                              <a:lnTo>
                                <a:pt x="20604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83456" id="Graphic 1" o:spid="_x0000_s1026" style="position:absolute;margin-left:83.4pt;margin-top:20.95pt;width:162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0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" path="m2060447,6096l,6096,,,2060447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3299460</wp:posOffset>
                </wp:positionH>
                <wp:positionV relativeFrom="paragraph">
                  <wp:posOffset>266334</wp:posOffset>
                </wp:positionV>
                <wp:extent cx="1790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6350">
                              <a:moveTo>
                                <a:pt x="17907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790700" y="0"/>
                              </a:lnTo>
                              <a:lnTo>
                                <a:pt x="17907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2723F" id="Graphic 2" o:spid="_x0000_s1026" style="position:absolute;margin-left:259.8pt;margin-top:20.95pt;width:14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" path="m1790700,6096l,6096,,,17907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5266944</wp:posOffset>
                </wp:positionH>
                <wp:positionV relativeFrom="paragraph">
                  <wp:posOffset>266334</wp:posOffset>
                </wp:positionV>
                <wp:extent cx="191262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26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2620" h="6350">
                              <a:moveTo>
                                <a:pt x="191261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912619" y="0"/>
                              </a:lnTo>
                              <a:lnTo>
                                <a:pt x="191261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F2CE" id="Graphic 3" o:spid="_x0000_s1026" style="position:absolute;margin-left:414.7pt;margin-top:20.95pt;width:150.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2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" path="m1912619,6096l,6096,,,1912619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position w:val="6"/>
        </w:rPr>
        <w:t>Ассистент</w:t>
      </w:r>
      <w:r>
        <w:rPr>
          <w:position w:val="6"/>
        </w:rPr>
        <w:tab/>
      </w:r>
      <w:r>
        <w:t>Д.С.</w:t>
      </w:r>
      <w:r>
        <w:rPr>
          <w:spacing w:val="-1"/>
        </w:rPr>
        <w:t xml:space="preserve"> </w:t>
      </w:r>
      <w:r>
        <w:rPr>
          <w:spacing w:val="-2"/>
        </w:rPr>
        <w:t>Лисюков</w:t>
      </w:r>
    </w:p>
    <w:p w:rsidR="00606C72" w:rsidRDefault="00683BA6">
      <w:pPr>
        <w:pStyle w:val="TitleSource_a"/>
        <w:tabs>
          <w:tab w:val="left" w:pos="4462"/>
          <w:tab w:val="left" w:pos="7383"/>
        </w:tabs>
        <w:spacing w:line="187" w:lineRule="exact"/>
        <w:ind w:left="411"/>
        <w:rPr>
          <w:sz w:val="20"/>
        </w:rPr>
      </w:pPr>
      <w:r>
        <w:rPr>
          <w:sz w:val="20"/>
        </w:rPr>
        <w:t>должность,</w:t>
      </w:r>
      <w:r>
        <w:rPr>
          <w:spacing w:val="-8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606C72">
      <w:pPr>
        <w:pStyle w:val="TitleSource_a3"/>
        <w:rPr>
          <w:sz w:val="28"/>
        </w:rPr>
      </w:pPr>
    </w:p>
    <w:p w:rsidR="00606C72" w:rsidRDefault="00606C72">
      <w:pPr>
        <w:pStyle w:val="TitleSource_a3"/>
        <w:rPr>
          <w:sz w:val="28"/>
        </w:rPr>
      </w:pPr>
    </w:p>
    <w:p w:rsidR="00606C72" w:rsidRDefault="00606C72">
      <w:pPr>
        <w:pStyle w:val="TitleSource_a3"/>
        <w:spacing w:before="308"/>
        <w:rPr>
          <w:sz w:val="28"/>
        </w:rPr>
      </w:pPr>
    </w:p>
    <w:p w:rsidR="00606C72" w:rsidRDefault="00683BA6">
      <w:pPr>
        <w:pStyle w:val="TitleSource_a"/>
        <w:ind w:left="76"/>
        <w:jc w:val="center"/>
        <w:rPr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РАБОТЕ</w:t>
      </w:r>
      <w:r w:rsidR="00A9742A">
        <w:rPr>
          <w:spacing w:val="-7"/>
          <w:sz w:val="28"/>
        </w:rPr>
        <w:t xml:space="preserve"> №4</w:t>
      </w:r>
    </w:p>
    <w:p w:rsidR="00606C72" w:rsidRDefault="00606C72">
      <w:pPr>
        <w:pStyle w:val="TitleSource_a3"/>
        <w:rPr>
          <w:sz w:val="28"/>
        </w:rPr>
      </w:pPr>
    </w:p>
    <w:p w:rsidR="00606C72" w:rsidRDefault="00606C72">
      <w:pPr>
        <w:pStyle w:val="TitleSource_a3"/>
        <w:spacing w:before="76"/>
        <w:rPr>
          <w:sz w:val="28"/>
        </w:rPr>
      </w:pPr>
    </w:p>
    <w:p w:rsidR="00606C72" w:rsidRPr="00A9742A" w:rsidRDefault="00A9742A">
      <w:pPr>
        <w:pStyle w:val="TitleSource_1"/>
      </w:pPr>
      <w:r>
        <w:t xml:space="preserve">Знакомство с Yandex DataLens</w:t>
      </w:r>
      <w:r>
        <w:rPr>
          <w:lang w:val="en-US"/>
        </w:rPr>
        <w:t/>
      </w:r>
    </w:p>
    <w:p w:rsidR="00606C72" w:rsidRDefault="00606C72">
      <w:pPr>
        <w:pStyle w:val="TitleSource_a3"/>
        <w:rPr>
          <w:sz w:val="28"/>
        </w:rPr>
      </w:pPr>
    </w:p>
    <w:p w:rsidR="00606C72" w:rsidRDefault="00606C72">
      <w:pPr>
        <w:pStyle w:val="TitleSource_a3"/>
        <w:spacing w:before="194"/>
        <w:rPr>
          <w:sz w:val="28"/>
        </w:rPr>
      </w:pPr>
    </w:p>
    <w:p w:rsidR="00606C72" w:rsidRDefault="00683BA6">
      <w:pPr>
        <w:pStyle w:val="TitleSource_a3"/>
        <w:spacing w:before="1"/>
        <w:ind w:left="76"/>
        <w:jc w:val="center"/>
      </w:pPr>
      <w:r>
        <w:t>по</w:t>
      </w:r>
      <w:r>
        <w:rPr>
          <w:spacing w:val="-1"/>
        </w:rPr>
        <w:t xml:space="preserve"> </w:t>
      </w:r>
      <w:r>
        <w:t>курсу:</w:t>
      </w:r>
      <w:r>
        <w:rPr>
          <w:spacing w:val="-1"/>
        </w:rPr>
        <w:t xml:space="preserve"> </w:t>
      </w:r>
      <w:r>
        <w:t>Облачные</w:t>
      </w:r>
      <w:r>
        <w:rPr>
          <w:spacing w:val="-1"/>
        </w:rPr>
        <w:t xml:space="preserve"> </w:t>
      </w:r>
      <w:r>
        <w:t>технологии</w:t>
      </w:r>
      <w:r>
        <w:rPr>
          <w:spacing w:val="2"/>
        </w:rPr>
        <w:t xml:space="preserve"> </w:t>
      </w:r>
      <w:r>
        <w:t xml:space="preserve">и </w:t>
      </w:r>
      <w:r>
        <w:rPr>
          <w:spacing w:val="-2"/>
        </w:rPr>
        <w:t>сервисы</w:t>
      </w: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  <w:spacing w:before="36"/>
      </w:pPr>
    </w:p>
    <w:p w:rsidR="00606C72" w:rsidRDefault="00683BA6">
      <w:pPr>
        <w:pStyle w:val="TitleSource_a3"/>
      </w:pPr>
      <w:r>
        <w:t>РАБОТУ</w:t>
      </w:r>
      <w:r>
        <w:rPr>
          <w:spacing w:val="-2"/>
        </w:rPr>
        <w:t xml:space="preserve"> ВЫПОЛНИЛ</w:t>
      </w:r>
    </w:p>
    <w:p w:rsidR="00606C72" w:rsidRDefault="00683BA6">
      <w:pPr>
        <w:pStyle w:val="TitleSource_a3"/>
        <w:tabs>
          <w:tab w:val="left" w:pos="2276"/>
          <w:tab w:val="left" w:pos="2900"/>
          <w:tab w:val="left" w:pos="4008"/>
          <w:tab w:val="left" w:pos="4244"/>
          <w:tab w:val="left" w:pos="6940"/>
          <w:tab w:val="left" w:pos="7640"/>
          <w:tab w:val="left" w:pos="9747"/>
        </w:tabs>
        <w:spacing w:before="257" w:line="260" w:lineRule="exact"/>
        <w:ind w:left="108"/>
      </w:pPr>
      <w:r>
        <w:t xml:space="preserve">СТУДЕНТ ГР. </w:t>
      </w:r>
      <w:r>
        <w:rPr>
          <w:spacing w:val="-10"/>
        </w:rPr>
        <w:t>№</w:t>
      </w:r>
      <w:r>
        <w:tab/>
      </w:r>
      <w:r>
        <w:rPr>
          <w:u w:val="single"/>
        </w:rPr>
        <w:tab/>
      </w:r>
      <w:r>
        <w:rPr>
          <w:spacing w:val="-4"/>
          <w:u w:val="single"/>
        </w:rPr>
        <w:t>4417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spacing w:val="118"/>
        </w:rPr>
        <w:t xml:space="preserve"> </w:t>
      </w:r>
      <w:r>
        <w:rPr>
          <w:u w:val="single"/>
        </w:rPr>
        <w:tab/>
      </w:r>
      <w:r w:rsidR="005753BD">
        <w:rPr>
          <w:u w:val="single"/>
        </w:rPr>
        <w:t>М. П. Курбатов</w:t>
      </w:r>
      <w:r>
        <w:rPr>
          <w:u w:val="single"/>
        </w:rPr>
        <w:tab/>
      </w:r>
    </w:p>
    <w:p w:rsidR="00606C72" w:rsidRDefault="00683BA6">
      <w:pPr>
        <w:pStyle w:val="TitleSource_a"/>
        <w:tabs>
          <w:tab w:val="left" w:pos="7575"/>
        </w:tabs>
        <w:spacing w:line="214" w:lineRule="exact"/>
        <w:ind w:left="4976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</w:pPr>
    </w:p>
    <w:p w:rsidR="00606C72" w:rsidRDefault="00606C72">
      <w:pPr>
        <w:pStyle w:val="TitleSource_a3"/>
        <w:spacing w:before="90"/>
      </w:pPr>
    </w:p>
    <w:p w:rsidR="00606C72" w:rsidRDefault="00683BA6">
      <w:pPr>
        <w:pStyle w:val="TitleSource_a3"/>
        <w:ind w:left="147"/>
        <w:jc w:val="center"/>
      </w:pPr>
      <w:r>
        <w:t xml:space="preserve">Санкт-Петербург </w:t>
      </w:r>
      <w:r>
        <w:rPr>
          <w:spacing w:val="-4"/>
        </w:rPr>
        <w:t>2026</w:t>
      </w:r>
    </w:p>
    <w:p w:rsidR="00606C72" w:rsidRDefault="00606C72">
      <w:pPr>
        <w:pStyle w:val="TitleSource_a3"/>
        <w:jc w:val="center"/>
        <w:sectPr w:rsidR="00606C72">
          <w:type w:val="nextPage"/>
          <w:pgSz w:w="11910" w:h="16840"/>
          <w:pgMar w:top="1220" w:right="566" w:bottom="280" w:left="1559" w:header="720" w:footer="720" w:gutter="0"/>
          <w:cols w:space="720"/>
          <w:titlePg/>
        </w:sectPr>
      </w:pP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1 Цель и задачи работы</w:t>
      </w:r>
    </w:p>
    <w:p>
      <w:r>
        <w:rPr>
          <w:rFonts w:ascii="Times New Roman" w:hAnsi="Times New Roman"/>
          <w:b w:val="0"/>
          <w:color w:val="000000"/>
          <w:sz w:val="28"/>
        </w:rPr>
        <w:t>Цель работы — знакомство с облачным сервисом бизнес-аналитики Yandex DataLens и получение навыков подключения источника данных, настройки датасета, создания визуализаций и интерактивного дашборда.</w:t>
      </w:r>
    </w:p>
    <w:p>
      <w:r>
        <w:rPr>
          <w:rFonts w:ascii="Times New Roman" w:hAnsi="Times New Roman"/>
          <w:b w:val="0"/>
          <w:color w:val="000000"/>
          <w:sz w:val="28"/>
        </w:rPr>
        <w:t>Задачи: подготовить организацию и воркбук; подключить PostgreSQL; задать типы полей; построить три чарта; добавить селектор и Markdown-вывод; получить публичную ссылку на результат.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2 Организация рабочего пространства</w:t>
      </w:r>
    </w:p>
    <w:p>
      <w:r>
        <w:rPr>
          <w:rFonts w:ascii="Times New Roman" w:hAnsi="Times New Roman"/>
          <w:b w:val="0"/>
          <w:color w:val="000000"/>
          <w:sz w:val="28"/>
        </w:rPr>
        <w:t>Для работы использована организация «КурбатовМП-4417» с техническим именем kurbatovmp-4417. На рисунке 1 показаны её название, описание и активное состояние. Воркбук назван «Практическая работа 1» в соответствии с буквальным указанием методички к работе № 4.</w:t>
      </w:r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868000" cy="2849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4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1 — Учебная организация в Cloud Center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3 Подключение PostgreSQL</w:t>
      </w:r>
    </w:p>
    <w:p>
      <w:r>
        <w:rPr>
          <w:rFonts w:ascii="Times New Roman" w:hAnsi="Times New Roman"/>
          <w:b w:val="0"/>
          <w:color w:val="000000"/>
          <w:sz w:val="28"/>
        </w:rPr>
        <w:t>Источник данных — база cloud_lab на сервере 194.226.199.230, порт 25432. Используется учётная запись cloud_lab_ro. Пароль в отчёт не включён и на снимке скрыт. Выбран уровень «SQL на чтение», предусматривающий подзапросы, параметризацию источников и QL-чарты.</w:t>
      </w:r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868000" cy="33093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9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2 — Параметры подключения к PostgreSQL</w:t>
      </w:r>
    </w:p>
    <w:p>
      <w:r>
        <w:rPr>
          <w:rFonts w:ascii="Times New Roman" w:hAnsi="Times New Roman"/>
          <w:b w:val="0"/>
          <w:color w:val="000000"/>
          <w:sz w:val="28"/>
        </w:rPr>
        <w:t>Снимок фиксирует параметры подключения, но не содержит отдельного сообщения об успешной проверке. Последующие изображения датасета и чартов демонстрируют использование загруженных данных.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4 Датасет и логика обработки данных</w:t>
      </w:r>
    </w:p>
    <w:p>
      <w:r>
        <w:rPr>
          <w:rFonts w:ascii="Times New Roman" w:hAnsi="Times New Roman"/>
          <w:b w:val="0"/>
          <w:color w:val="000000"/>
          <w:sz w:val="28"/>
        </w:rPr>
        <w:t>Датасет pr_1_gostinicy сформирован на основе одноимённой таблицы. Подключение задаёт доступ к базе; датасет определяет поля и их типы; чарты выполняют группировку и агрегацию. Все три чарта используют этот датасет.</w:t>
      </w:r>
    </w:p>
    <w:p>
      <w:pPr>
        <w:spacing w:line="240" w:lineRule="auto"/>
        <w:ind w:firstLine="0"/>
      </w:pPr>
      <w:r>
        <w:rPr>
          <w:rFonts w:ascii="Times New Roman" w:hAnsi="Times New Roman"/>
          <w:b w:val="0"/>
          <w:color w:val="000000"/>
          <w:sz w:val="24"/>
        </w:rPr>
        <w:t>Таблица 1 — Типы и назначение основных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Поле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Тип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№ в ГТИБД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Целое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Идентификатор; COUNTD для количества объектов.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Кол-во комнат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Целое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SUM для суммарного количества комнат.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Кол-во спальных мест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Целое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Числовая характеристика вместимости.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Координаты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Геоточка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Размещение объектов на карте.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Класс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Строка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Группировка типов и цвет точек.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Район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Строка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Группировка и интерактивный фильтр.</w:t>
            </w:r>
          </w:p>
        </w:tc>
      </w:tr>
    </w:tbl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868000" cy="3047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04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3 — Типы полей датасета pr_1_gostinicy</w:t>
      </w:r>
    </w:p>
    <w:p>
      <w:r>
        <w:rPr>
          <w:rFonts w:ascii="Times New Roman" w:hAnsi="Times New Roman"/>
          <w:b w:val="0"/>
          <w:color w:val="000000"/>
          <w:sz w:val="28"/>
        </w:rPr>
        <w:t>Идентификатор не суммируется: количество объектов рассчитывается как COUNTD([№ в ГТИБД]). Вместимость по комнатам рассчитывается отдельно: SUM([Кол-во комнат]). Эти показатели имеют разный смысл.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5 Количество зданий по типу и анализ качества</w:t>
      </w:r>
    </w:p>
    <w:p>
      <w:r>
        <w:rPr>
          <w:rFonts w:ascii="Times New Roman" w:hAnsi="Times New Roman"/>
          <w:b w:val="0"/>
          <w:color w:val="000000"/>
          <w:sz w:val="28"/>
        </w:rPr>
        <w:t>Чарт «Количество зданий по типу» — линейчатая диаграмма. В Y используется «Класс», в X и подписях — вычисляемый показатель «Количество» с формулой COUNTD([№ в ГТИБД]). Цветовая шкала красная и зависит от этого же показателя; заголовок включён.</w:t>
      </w:r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868000" cy="3284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8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4 — Количество уникальных объектов по типу</w:t>
      </w:r>
    </w:p>
    <w:p>
      <w:r>
        <w:rPr>
          <w:rFonts w:ascii="Times New Roman" w:hAnsi="Times New Roman"/>
          <w:b w:val="0"/>
          <w:color w:val="000000"/>
          <w:sz w:val="28"/>
        </w:rPr>
        <w:t>На рисунке 4 видны отдельные категории «Мини отель» и «Мини-отель». Это признак неунифицированного написания категориального поля. Следует сверить значения со справочником типов и, если они обозначают один тип, унифицировать пробелы, дефисы и регистр. Визуально одинаковые отдельные подписи требуют проверки скрытых пробелов и символов; точная причина по снимку не устанавливается.</w:t>
      </w:r>
    </w:p>
    <w:p>
      <w:r>
        <w:rPr>
          <w:rFonts w:ascii="Times New Roman" w:hAnsi="Times New Roman"/>
          <w:b w:val="0"/>
          <w:color w:val="000000"/>
          <w:sz w:val="28"/>
        </w:rPr>
        <w:t>На диаграмме районов также присутствуют варианты «Адмиралтейский» и «Адмиралтейский район». Их необходимо сопоставить с официальным справочником районов. Объединять разные категории только по сходству названия нельзя.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6 Карта и самостоятельная визуализация</w:t>
      </w:r>
    </w:p>
    <w:p>
      <w:r>
        <w:rPr>
          <w:rFonts w:ascii="Times New Roman" w:hAnsi="Times New Roman"/>
          <w:b w:val="0"/>
          <w:color w:val="000000"/>
          <w:sz w:val="28"/>
        </w:rPr>
        <w:t>Карта «Гостиницы на карте» использует слой «Гостиницы»: геоточки — «Координаты», цвета — «Класс», подписи — «Кол-во комнат». По методичке для слоя задаются постоянный размер точек 5 и агрегация подписей «Сумма».</w:t>
      </w:r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544000" cy="3076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7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5 — Карта расположения объектов по классам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6.1 Самостоятельный чарт по районам</w:t>
      </w:r>
    </w:p>
    <w:p>
      <w:r>
        <w:rPr>
          <w:rFonts w:ascii="Times New Roman" w:hAnsi="Times New Roman"/>
          <w:b w:val="0"/>
          <w:color w:val="000000"/>
          <w:sz w:val="28"/>
        </w:rPr>
        <w:t>Самостоятельный чарт «Количество комнат по районам»: X — «Район», Y, подписи и сортировка — сумма «Кол-во комнат». Сортировка выполняется по убыванию показателя.</w:t>
      </w:r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544000" cy="30815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8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6 — Суммарное количество комнат по районам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7 Дашборд, селектор и текстовый вывод</w:t>
      </w:r>
    </w:p>
    <w:p>
      <w:r>
        <w:rPr>
          <w:rFonts w:ascii="Times New Roman" w:hAnsi="Times New Roman"/>
          <w:b w:val="0"/>
          <w:color w:val="000000"/>
          <w:sz w:val="28"/>
        </w:rPr>
        <w:t>Дашборд «Практическая работа 4. Курбатов» объединяет карту, две диаграммы, селектор «Район» и Markdown-вывод. На рисунках 7а и 7б показаны верхняя и нижняя части дашборда.</w:t>
      </w:r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544000" cy="2866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6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7а — Верхняя часть дашборда: карта и количество объектов</w:t>
      </w:r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544000" cy="25266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2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7б — Нижняя часть: комнаты, селектор и Markdown-вывод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8 Проверка множественного выбора районов</w:t>
      </w:r>
    </w:p>
    <w:p>
      <w:r>
        <w:rPr>
          <w:rFonts w:ascii="Times New Roman" w:hAnsi="Times New Roman"/>
          <w:b w:val="0"/>
          <w:color w:val="000000"/>
          <w:sz w:val="28"/>
        </w:rPr>
        <w:t>Для проверки выбраны Адмиралтейский и Петроградский районы. На рисунке 8 диаграмма комнат ограничена двумя категориями: 5 917 и 2 649 комнат соответственно. Одновременно изменились карта и диаграмма количества объектов по типу.</w:t>
      </w:r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868000" cy="31712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7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8 — Результат фильтрации по двум районам</w:t>
      </w:r>
    </w:p>
    <w:p>
      <w:r>
        <w:rPr>
          <w:rFonts w:ascii="Times New Roman" w:hAnsi="Times New Roman"/>
          <w:b w:val="0"/>
          <w:color w:val="000000"/>
          <w:sz w:val="28"/>
        </w:rPr>
        <w:t>Для выбранного среза в Адмиралтейском районе на 3 268 комнат больше, чем в Петроградском (5 917 − 2 649). Это сравнение относится к конкретным значениям поля «Район» и не учитывает автоматически отдельно записанные варианты названий тех же территорий.</w:t>
      </w:r>
    </w:p>
    <w:p>
      <w:r>
        <w:rPr>
          <w:rFonts w:ascii="Times New Roman" w:hAnsi="Times New Roman"/>
          <w:b w:val="0"/>
          <w:color w:val="000000"/>
          <w:sz w:val="28"/>
        </w:rPr>
        <w:t>Селектор использует общий датасет pr_1_gostinicy и поле «Район». На рисунке 7б виден множественный выбор. Для удобства использования целесообразно перенести селектор выше чартов, как указано в методичке; на представленном снимке он расположен внизу.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9 Публикация дашборда</w:t>
      </w:r>
    </w:p>
    <w:p>
      <w:r>
        <w:rPr>
          <w:rFonts w:ascii="Times New Roman" w:hAnsi="Times New Roman"/>
          <w:b w:val="0"/>
          <w:color w:val="000000"/>
          <w:sz w:val="28"/>
        </w:rPr>
        <w:t>В отчёте указана публичная ссылка на дашборд:</w:t>
      </w:r>
    </w:p>
    <w:p>
      <w:pPr>
        <w:spacing w:line="240" w:lineRule="auto"/>
        <w:ind w:firstLine="0"/>
      </w:pPr>
      <w:hyperlink r:id="rId19">
        <w:r>
          <w:rPr>
            <w:sz w:val="24"/>
          </w:rPr>
          <w:t>https://datalens.yandex/9j2imxk0empos?_share_link=public</w:t>
        </w:r>
      </w:hyperlink>
    </w:p>
    <w:p>
      <w:pPr>
        <w:keepNext/>
        <w:spacing w:line="240" w:lineRule="auto" w:before="120" w:after="60"/>
        <w:ind w:firstLine="0"/>
        <w:jc w:val="center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868000" cy="25113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51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9 — Публичная версия дашборда DataLens</w:t>
      </w:r>
    </w:p>
    <w:p>
      <w:r>
        <w:rPr>
          <w:rFonts w:ascii="Times New Roman" w:hAnsi="Times New Roman"/>
          <w:b w:val="0"/>
          <w:color w:val="000000"/>
          <w:sz w:val="28"/>
        </w:rPr>
        <w:t>На рисунке 9 отображается интерфейс DataLens Public без панели редактирования. Адресная строка не включена в снимок, поэтому URL приведён отдельно. При сдаче эта же ссылка добавляется в описание ответа в личном кабинете.</w:t>
      </w:r>
    </w:p>
    <w:p>
      <w:r>
        <w:rPr>
          <w:rFonts w:ascii="Times New Roman" w:hAnsi="Times New Roman"/>
          <w:b w:val="0"/>
          <w:color w:val="000000"/>
          <w:sz w:val="28"/>
        </w:rPr>
        <w:t>Снимки зафиксированы в разных состояниях: названия и значения отдельных категорий на рисунках 4, 7 и 9 различаются. Поэтому численные выводы следует делать для явно указанного среза; для единой итоговой версии рекомендуется обновить снимки после сохранения дашборда и сброса фильтров.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10 Вывод</w:t>
      </w:r>
    </w:p>
    <w:p>
      <w:r>
        <w:rPr>
          <w:rFonts w:ascii="Times New Roman" w:hAnsi="Times New Roman"/>
          <w:b w:val="0"/>
          <w:color w:val="000000"/>
          <w:sz w:val="28"/>
        </w:rPr>
        <w:t>В ходе работы подготовлены организация и воркбук DataLens, выполнена настройка подключения PostgreSQL и типов полей датасета. Построены три визуализации: количество уникальных объектов по типу, карта расположения объектов и сумма комнат по районам.</w:t>
      </w:r>
    </w:p>
    <w:p>
      <w:r>
        <w:rPr>
          <w:rFonts w:ascii="Times New Roman" w:hAnsi="Times New Roman"/>
          <w:b w:val="0"/>
          <w:color w:val="000000"/>
          <w:sz w:val="28"/>
        </w:rPr>
        <w:t>Дашборд объединяет чарты, множественный выбор районов и текстовый вывод. Проверка выбранного среза показала согласованное изменение визуализаций; для Адмиралтейского и Петроградского районов на снимке получены 5 917 и 2 649 комнат.</w:t>
      </w:r>
    </w:p>
    <w:p>
      <w:r>
        <w:rPr>
          <w:rFonts w:ascii="Times New Roman" w:hAnsi="Times New Roman"/>
          <w:b w:val="0"/>
          <w:color w:val="000000"/>
          <w:sz w:val="28"/>
        </w:rPr>
        <w:t>Анализ выявил неоднородность написания категорий и названий районов. Предложено согласовать значения со справочниками. Дубликаты идентификаторов, пропуски и ошибки координат требуют отдельных проверок источника; их наличие не объявляется доказанным только по диаграммам.</w:t>
      </w:r>
    </w:p>
    <w:p>
      <w:r>
        <w:rPr>
          <w:rFonts w:ascii="Times New Roman" w:hAnsi="Times New Roman"/>
          <w:b w:val="0"/>
          <w:color w:val="000000"/>
          <w:sz w:val="28"/>
        </w:rPr>
        <w:t>Освоены подключение источника, настройка датасета, выбор агрегаций COUNTD и SUM, построение чартов и организация интерактивного анализа. Публичная версия представлена снимком DataLens Public и ссылкой. Доступность ссылки из независимого браузера проверяется отдельно перед сдачей.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Список использованных источников</w:t>
      </w:r>
    </w:p>
    <w:p>
      <w:r>
        <w:rPr>
          <w:rFonts w:ascii="Times New Roman" w:hAnsi="Times New Roman"/>
          <w:b w:val="0"/>
          <w:color w:val="000000"/>
          <w:sz w:val="28"/>
        </w:rPr>
        <w:t>1. Практическая работа 4. Знакомство с Yandex DataLens : методические указания. Предоставленный PDF. 11 с.</w:t>
      </w:r>
    </w:p>
    <w:p>
      <w:r>
        <w:rPr>
          <w:rFonts w:ascii="Times New Roman" w:hAnsi="Times New Roman"/>
          <w:b w:val="0"/>
          <w:color w:val="000000"/>
          <w:sz w:val="28"/>
        </w:rPr>
        <w:t>2. Yandex DataLens : официальный сайт. URL: https://datalens.ru/.</w:t>
      </w:r>
    </w:p>
    <w:p>
      <w:r>
        <w:rPr>
          <w:rFonts w:ascii="Times New Roman" w:hAnsi="Times New Roman"/>
          <w:b w:val="0"/>
          <w:color w:val="000000"/>
          <w:sz w:val="28"/>
        </w:rPr>
        <w:t>3. Документация Yandex DataLens. URL: https://yandex.cloud/ru/docs/datalens/.</w:t>
      </w:r>
    </w:p>
    <w:p>
      <w:r>
        <w:rPr>
          <w:rFonts w:ascii="Times New Roman" w:hAnsi="Times New Roman"/>
          <w:b w:val="0"/>
          <w:color w:val="000000"/>
          <w:sz w:val="28"/>
        </w:rPr>
        <w:t>4. ГОСТ 7.32–2017. СИБИД. Отчёт о научно-исследовательской работе. Структура и правила оформления.</w:t>
      </w:r>
    </w:p>
    <w:p>
      <w:r>
        <w:rPr>
          <w:rFonts w:ascii="Times New Roman" w:hAnsi="Times New Roman"/>
          <w:b w:val="0"/>
          <w:color w:val="000000"/>
          <w:sz w:val="28"/>
        </w:rPr>
        <w:t>5. ГОСТ Р 2.105–2019. ЕСКД. Общие требования к текстовым документам.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leSource_a">
    <w:name w:val="Title source Normal"/>
    <w:uiPriority w:val="1"/>
    <w:qFormat/>
    <w:rPr>
      <w:rFonts w:ascii="Times New Roman" w:eastAsia="Times New Roman" w:hAnsi="Times New Roman" w:cs="Times New Roman"/>
      <w:lang w:val="ru-RU"/>
      <w:sz w:val="22"/>
      <w:szCs w:val="22"/>
    </w:rPr>
    <w:pPr>
      <w:spacing w:before="0" w:after="0" w:line="240" w:lineRule="auto"/>
    </w:pPr>
  </w:style>
  <w:style w:type="paragraph" w:styleId="TitleSource_1">
    <w:name w:val="Title source heading 1"/>
    <w:basedOn w:val="TitleSource_a"/>
    <w:uiPriority w:val="1"/>
    <w:qFormat/>
    <w:pPr>
      <w:ind w:left="74"/>
      <w:jc w:val="center"/>
      <w:outlineLvl w:val="0"/>
    </w:pPr>
    <w:rPr>
      <w:sz w:val="28"/>
      <w:szCs w:val="28"/>
    </w:rPr>
  </w:style>
  <w:style w:type="paragraph" w:styleId="TitleSource_2">
    <w:name w:val="Title source heading 2"/>
    <w:basedOn w:val="TitleSource_a"/>
    <w:uiPriority w:val="1"/>
    <w:qFormat/>
    <w:pPr>
      <w:spacing w:before="73"/>
      <w:ind w:left="850"/>
      <w:outlineLvl w:val="1"/>
    </w:pPr>
    <w:rPr>
      <w:b/>
      <w:bCs/>
      <w:sz w:val="24"/>
      <w:szCs w:val="24"/>
    </w:rPr>
  </w:style>
  <w:style w:type="character" w:styleId="TitleSource_a0">
    <w:name w:val="Title source Default Paragraph Font"/>
    <w:uiPriority w:val="1"/>
    <w:semiHidden/>
    <w:unhideWhenUsed/>
  </w:style>
  <w:style w:type="table" w:styleId="TitleSource_a1">
    <w:name w:val="Title sourc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TitleSource_a2">
    <w:name w:val="Title source No List"/>
    <w:uiPriority w:val="99"/>
    <w:semiHidden/>
    <w:unhideWhenUsed/>
  </w:style>
  <w:style w:type="table" w:customStyle="1" w:styleId="TitleSource_TableNormal">
    <w:name w:val="Title source 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Source_a3">
    <w:name w:val="Title source Body Text"/>
    <w:basedOn w:val="TitleSource_a"/>
    <w:uiPriority w:val="1"/>
    <w:qFormat/>
    <w:rPr>
      <w:sz w:val="24"/>
      <w:szCs w:val="24"/>
    </w:rPr>
  </w:style>
  <w:style w:type="paragraph" w:styleId="TitleSource_a4">
    <w:name w:val="Title source List Paragraph"/>
    <w:basedOn w:val="TitleSource_a"/>
    <w:uiPriority w:val="1"/>
    <w:qFormat/>
    <w:pPr>
      <w:spacing w:before="1"/>
      <w:ind w:left="1117" w:hanging="267"/>
      <w:jc w:val="both"/>
    </w:pPr>
  </w:style>
  <w:style w:type="paragraph" w:customStyle="1" w:styleId="TitleSource_TableParagraph">
    <w:name w:val="Title source Table Paragraph"/>
    <w:basedOn w:val="TitleSource_a"/>
    <w:uiPriority w:val="1"/>
    <w:qFormat/>
  </w:style>
  <w:style w:type="paragraph" w:styleId="TitleSource_a5">
    <w:name w:val="Title source footer"/>
    <w:basedOn w:val="TitleSource_a"/>
    <w:link w:val="TitleSource_a6"/>
    <w:uiPriority w:val="99"/>
    <w:unhideWhenUsed/>
    <w:rsid w:val="00A9742A"/>
    <w:pPr>
      <w:widowControl/>
      <w:tabs>
        <w:tab w:val="center" w:pos="4680"/>
        <w:tab w:val="right" w:pos="9360"/>
      </w:tabs>
      <w:autoSpaceDE/>
      <w:autoSpaceDN/>
    </w:pPr>
    <w:rPr>
      <w:rFonts w:eastAsiaTheme="minorEastAsia" w:cstheme="minorBidi"/>
      <w:sz w:val="24"/>
      <w:lang w:val="en-US"/>
    </w:rPr>
  </w:style>
  <w:style w:type="character" w:customStyle="1" w:styleId="TitleSource_a6">
    <w:name w:val="Title source Нижний колонтитул Знак"/>
    <w:basedOn w:val="TitleSource_a0"/>
    <w:link w:val="TitleSource_a5"/>
    <w:uiPriority w:val="99"/>
    <w:rsid w:val="00A9742A"/>
    <w:rPr>
      <w:rFonts w:ascii="Times New Roman" w:eastAsiaTheme="minorEastAsia" w:hAnsi="Times New Roman"/>
      <w:sz w:val="24"/>
    </w:rPr>
  </w:style>
  <w:style w:type="table" w:styleId="TitleSource_a7">
    <w:name w:val="Title source Table Grid"/>
    <w:basedOn w:val="TitleSource_a1"/>
    <w:uiPriority w:val="59"/>
    <w:rsid w:val="00A9742A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yperlink" Target="https://datalens.yandex/9j2imxk0empos?_share_link=public" TargetMode="External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