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1D457D14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9A4212" w:rsidRPr="009A4212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9A4212" w:rsidRPr="009A4212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9A4212" w:rsidRPr="009A4212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9A4212" w:rsidRPr="009A4212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9A4212" w:rsidRPr="009A4212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DA145A3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9A4212" w:rsidRPr="009A4212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9A4212" w:rsidRPr="009A4212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24F04CC5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87006" w:rsidRPr="00A87006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5853A7" w:rsidRPr="005853A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5853A7" w:rsidRPr="005853A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00D63886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5853A7" w:rsidRPr="005853A7">
              <w:rPr>
                <w:rFonts w:ascii="Georgia" w:hAnsi="Georgia" w:cs="Courier New"/>
                <w:sz w:val="21"/>
                <w:szCs w:val="21"/>
                <w:lang w:eastAsia="bg-BG"/>
              </w:rPr>
              <w:t>{{deposit_percent}}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договор във формата на нотариален акт дължимата сума от общата продажна цена е в размер на 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84FD09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1B451A4C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1F4F0448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разясних на участващите в нотариалното производство лица, ясно 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473BB695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D2B86" w:rsidRPr="007D2B86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55B8FBE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7D2B86" w:rsidRPr="007D2B86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4</Pages>
  <Words>1872</Words>
  <Characters>10676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2026-05-01T08:17:00Z</dcterms:modified>
</cp:coreProperties>
</file>