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>{{seller_address}}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>{{cadastral_scheme_number}}-{{cadastral_scheme_date}}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{{property_identifier}} ({{property_identifier_words}})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{{property_address_full}}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{{property_floor}} ({{property_floor_words}})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{{building_identifier}} ({{building_identifier_words}})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{{building_floors}} ({{building_floors_words}})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{{parcel_identifier}} ({{parcel_identifier_words}})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{{property_levels}} ({{property_levels_words}})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{{property_area}} кв.м. ({{property_area_words}}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{{attic_number}} ({{attic_number_words}})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{{basement_number}} ({{basement_number_words}})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{{common_parts_percentage}} % ({{common_parts_percentage_words}})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{{property_levels}} ({{property_levels_words}})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{{neighbor_same_floor}}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({{neighbor_same_floor_words}})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{{neighbor_below}}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({{neighbor_below_words}})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{{neighbor_above}}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({{neighbor_above_words}})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{{sale_price}} евро ({{sale_price_words}})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{{deposit_amount}} евро ({{deposit_amount_words}})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{{tax_evaluation}}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>{{cadastral_scheme_number}}-{{cadastral_scheme_date}}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4DBDE809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{{seller_name_signature}}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61E441EA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{{buyer_name_signature}}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8364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04A8D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2026-05-09T02:21:00Z</dcterms:modified>
</cp:coreProperties>
</file>