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м., прилежащи части: таван 6, изба 6 и 12,51 % ид.ч.от общите части на сградата,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