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D74" w:rsidRDefault="009F6DF3" w:rsidP="00A04D74">
      <w:pPr>
        <w:spacing w:line="276" w:lineRule="auto"/>
        <w:jc w:val="center"/>
        <w:rPr>
          <w:rFonts w:cstheme="minorHAnsi"/>
          <w:b/>
          <w:color w:val="000000" w:themeColor="text1"/>
          <w:sz w:val="40"/>
          <w:u w:val="single"/>
        </w:rPr>
      </w:pPr>
      <w:r w:rsidRPr="00F9347C">
        <w:rPr>
          <w:rFonts w:cstheme="minorHAnsi"/>
          <w:b/>
          <w:color w:val="000000" w:themeColor="text1"/>
          <w:sz w:val="40"/>
          <w:u w:val="single"/>
        </w:rPr>
        <w:t xml:space="preserve">OVERVIEW OF THE </w:t>
      </w:r>
      <w:r w:rsidR="00AB16A4" w:rsidRPr="00F9347C">
        <w:rPr>
          <w:rFonts w:cstheme="minorHAnsi"/>
          <w:b/>
          <w:color w:val="000000" w:themeColor="text1"/>
          <w:sz w:val="40"/>
          <w:u w:val="single"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4D74" w:rsidRPr="00A04D74" w:rsidTr="00A04D74">
        <w:trPr>
          <w:trHeight w:val="620"/>
        </w:trPr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8"/>
                <w:szCs w:val="24"/>
              </w:rPr>
            </w:pPr>
            <w:r w:rsidRPr="00A04D74">
              <w:rPr>
                <w:rFonts w:eastAsia="Times New Roman" w:cstheme="minorHAnsi"/>
                <w:b/>
                <w:bCs/>
                <w:sz w:val="28"/>
                <w:szCs w:val="24"/>
              </w:rPr>
              <w:t>S. No.</w:t>
            </w:r>
          </w:p>
        </w:tc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8"/>
                <w:szCs w:val="24"/>
              </w:rPr>
            </w:pPr>
            <w:r w:rsidRPr="00A04D74">
              <w:rPr>
                <w:rFonts w:cstheme="minorHAnsi"/>
                <w:b/>
                <w:color w:val="000000" w:themeColor="text1"/>
                <w:sz w:val="28"/>
                <w:szCs w:val="24"/>
              </w:rPr>
              <w:t>Projects</w:t>
            </w:r>
          </w:p>
        </w:tc>
      </w:tr>
      <w:tr w:rsidR="00A04D74" w:rsidRPr="00A04D74" w:rsidTr="00A04D74"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A04D74">
              <w:rPr>
                <w:rFonts w:cstheme="minorHAnsi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675" w:type="dxa"/>
            <w:vAlign w:val="center"/>
          </w:tcPr>
          <w:p w:rsidR="00A04D74" w:rsidRPr="00A04D74" w:rsidRDefault="00A04D74" w:rsidP="00A04D7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A04D74">
              <w:rPr>
                <w:rFonts w:eastAsia="Times New Roman" w:cstheme="minorHAnsi"/>
                <w:sz w:val="24"/>
                <w:szCs w:val="24"/>
              </w:rPr>
              <w:t>Alternate Data Sources and Frontier Technologies for Policy Making</w:t>
            </w:r>
          </w:p>
        </w:tc>
      </w:tr>
      <w:tr w:rsidR="00A04D74" w:rsidRPr="00A04D74" w:rsidTr="00A04D74"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A04D74">
              <w:rPr>
                <w:rFonts w:cstheme="minorHAnsi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rPr>
                <w:rFonts w:cstheme="minorHAnsi"/>
                <w:b/>
                <w:color w:val="000000" w:themeColor="text1"/>
                <w:sz w:val="24"/>
                <w:szCs w:val="24"/>
                <w:u w:val="single"/>
              </w:rPr>
            </w:pPr>
            <w:r w:rsidRPr="00A04D74">
              <w:rPr>
                <w:rFonts w:eastAsia="Times New Roman" w:cstheme="minorHAnsi"/>
                <w:sz w:val="24"/>
                <w:szCs w:val="24"/>
              </w:rPr>
              <w:t>MoSPI IITF 2025 – Data Analytics Impact</w:t>
            </w:r>
            <w:bookmarkStart w:id="0" w:name="_GoBack"/>
            <w:bookmarkEnd w:id="0"/>
            <w:r w:rsidRPr="00A04D74">
              <w:rPr>
                <w:rFonts w:eastAsia="Times New Roman" w:cstheme="minorHAnsi"/>
                <w:sz w:val="24"/>
                <w:szCs w:val="24"/>
              </w:rPr>
              <w:t xml:space="preserve"> Summary</w:t>
            </w:r>
          </w:p>
        </w:tc>
      </w:tr>
      <w:tr w:rsidR="00A04D74" w:rsidRPr="00A04D74" w:rsidTr="00A04D74"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A04D74">
              <w:rPr>
                <w:rFonts w:cstheme="minorHAnsi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rPr>
                <w:rFonts w:cstheme="minorHAnsi"/>
                <w:b/>
                <w:color w:val="000000" w:themeColor="text1"/>
                <w:sz w:val="24"/>
                <w:szCs w:val="24"/>
                <w:u w:val="single"/>
              </w:rPr>
            </w:pPr>
            <w:r w:rsidRPr="00A04D74">
              <w:rPr>
                <w:rFonts w:eastAsia="Times New Roman" w:cstheme="minorHAnsi"/>
                <w:sz w:val="24"/>
                <w:szCs w:val="24"/>
              </w:rPr>
              <w:t>Press Conference on Release of the CPI Data – Base Year 2024</w:t>
            </w:r>
          </w:p>
        </w:tc>
      </w:tr>
      <w:tr w:rsidR="00A04D74" w:rsidRPr="00A04D74" w:rsidTr="00A04D74"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A04D74">
              <w:rPr>
                <w:rFonts w:cstheme="minorHAnsi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675" w:type="dxa"/>
          </w:tcPr>
          <w:p w:rsidR="00A04D74" w:rsidRPr="00A04D74" w:rsidRDefault="00A04D74" w:rsidP="00A04D74">
            <w:pPr>
              <w:spacing w:line="276" w:lineRule="auto"/>
              <w:rPr>
                <w:rFonts w:cstheme="minorHAnsi"/>
                <w:b/>
                <w:color w:val="000000" w:themeColor="text1"/>
                <w:sz w:val="24"/>
                <w:szCs w:val="24"/>
                <w:u w:val="single"/>
              </w:rPr>
            </w:pPr>
            <w:r w:rsidRPr="00A04D74">
              <w:rPr>
                <w:rFonts w:eastAsia="Times New Roman" w:cstheme="minorHAnsi"/>
                <w:sz w:val="24"/>
                <w:szCs w:val="24"/>
              </w:rPr>
              <w:t>Press Conference on Release of the GDP Data – Base Year 2022–2023</w:t>
            </w:r>
          </w:p>
        </w:tc>
      </w:tr>
    </w:tbl>
    <w:p w:rsidR="00A04D74" w:rsidRDefault="00A04D74" w:rsidP="00AB16A4">
      <w:pPr>
        <w:spacing w:line="276" w:lineRule="auto"/>
        <w:rPr>
          <w:rFonts w:cstheme="minorHAnsi"/>
          <w:b/>
          <w:color w:val="000000" w:themeColor="text1"/>
          <w:sz w:val="40"/>
          <w:u w:val="single"/>
        </w:rPr>
      </w:pPr>
    </w:p>
    <w:p w:rsidR="003B74E1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Project 1</w:t>
      </w:r>
      <w:r w:rsidRPr="00F9347C"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:rsidR="00D33D4C" w:rsidRPr="00F9347C" w:rsidRDefault="00D33D4C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Alternate Data Sources and Frontier Technologies for </w:t>
      </w:r>
      <w:proofErr w:type="gramStart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policy making</w:t>
      </w:r>
      <w:proofErr w:type="gramEnd"/>
      <w:r w:rsidRPr="00F9347C"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:rsidR="00D33D4C" w:rsidRPr="00F9347C" w:rsidRDefault="00D33D4C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Honored to have led the data analytics execution aligned with the National Workshop on Alternate Data Sources and Frontier Technologies for Policy Making, organized by the Ministry of Statistics &amp; Programme Implementation (MoSPI) &amp; NITI Aayog.</w:t>
      </w:r>
    </w:p>
    <w:p w:rsidR="00D33D4C" w:rsidRPr="00F9347C" w:rsidRDefault="00D33D4C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>Key Outcomes Achieved</w:t>
      </w:r>
    </w:p>
    <w:p w:rsidR="00D33D4C" w:rsidRPr="00F9347C" w:rsidRDefault="00D33D4C" w:rsidP="00AB16A4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Integrated 25+ alternate data sources including GSTN, e-VAHAN, digital payments metadata, geospatial layers, and survey microdata — increasing economic data coverage by 38%</w:t>
      </w:r>
    </w:p>
    <w:p w:rsidR="00D33D4C" w:rsidRPr="00F9347C" w:rsidRDefault="00D33D4C" w:rsidP="00AB16A4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Built a scalable data system that handled over 1.8 PB of data and reduced processing time by 41%.</w:t>
      </w:r>
    </w:p>
    <w:p w:rsidR="00D33D4C" w:rsidRPr="00F9347C" w:rsidRDefault="0090168E" w:rsidP="00AB16A4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Used </w:t>
      </w:r>
      <w:proofErr w:type="gramStart"/>
      <w:r w:rsidRPr="00F9347C">
        <w:rPr>
          <w:rFonts w:cstheme="minorHAnsi"/>
          <w:color w:val="000000" w:themeColor="text1"/>
          <w:sz w:val="24"/>
          <w:szCs w:val="24"/>
        </w:rPr>
        <w:t>machine learning</w:t>
      </w:r>
      <w:proofErr w:type="gramEnd"/>
      <w:r w:rsidRPr="00F9347C">
        <w:rPr>
          <w:rFonts w:cstheme="minorHAnsi"/>
          <w:color w:val="000000" w:themeColor="text1"/>
          <w:sz w:val="24"/>
          <w:szCs w:val="24"/>
        </w:rPr>
        <w:t xml:space="preserve"> models to improve informal sector estimates by up to 18% and created a weekly economic index that provided much faster insights instead of waiting for quarterly data.</w:t>
      </w:r>
    </w:p>
    <w:p w:rsidR="00D33D4C" w:rsidRPr="00F9347C" w:rsidRDefault="00D33D4C" w:rsidP="00AB16A4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Automated Supply-Use Table reconciliation — reducing statistical di</w:t>
      </w:r>
      <w:r w:rsidR="0090168E" w:rsidRPr="00F9347C">
        <w:rPr>
          <w:rFonts w:cstheme="minorHAnsi"/>
          <w:color w:val="000000" w:themeColor="text1"/>
          <w:sz w:val="24"/>
          <w:szCs w:val="24"/>
        </w:rPr>
        <w:t>screpancies by 22%</w:t>
      </w:r>
    </w:p>
    <w:p w:rsidR="00D33D4C" w:rsidRPr="00F9347C" w:rsidRDefault="00D33D4C" w:rsidP="00AB16A4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Implemented AI-driven anomaly detection in survey datasets — improv</w:t>
      </w:r>
      <w:r w:rsidR="0090168E" w:rsidRPr="00F9347C">
        <w:rPr>
          <w:rFonts w:cstheme="minorHAnsi"/>
          <w:color w:val="000000" w:themeColor="text1"/>
          <w:sz w:val="24"/>
          <w:szCs w:val="24"/>
        </w:rPr>
        <w:t>ing data quality metrics by 27%</w:t>
      </w:r>
    </w:p>
    <w:p w:rsidR="00D33D4C" w:rsidRPr="00F9347C" w:rsidRDefault="00D33D4C" w:rsidP="00AB16A4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Designed executive dashboards that reduced reporting turnaround time from 10 days to 3 days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  <w:highlight w:val="yellow"/>
        </w:rPr>
      </w:pPr>
      <w:proofErr w:type="gramStart"/>
      <w:r w:rsidRPr="00F9347C">
        <w:rPr>
          <w:rFonts w:cstheme="minorHAnsi"/>
          <w:b/>
          <w:color w:val="000000" w:themeColor="text1"/>
          <w:sz w:val="24"/>
          <w:szCs w:val="24"/>
          <w:highlight w:val="yellow"/>
        </w:rPr>
        <w:t>Skills :</w:t>
      </w:r>
      <w:proofErr w:type="gramEnd"/>
      <w:r w:rsidRPr="00F9347C">
        <w:rPr>
          <w:rFonts w:cstheme="minorHAnsi"/>
          <w:b/>
          <w:color w:val="000000" w:themeColor="text1"/>
          <w:sz w:val="24"/>
          <w:szCs w:val="24"/>
          <w:highlight w:val="yellow"/>
        </w:rPr>
        <w:t xml:space="preserve"> - Data Integration, Data Cleaning, Structured &amp; Unstructured Data Handling, Machine Learning,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yellow"/>
        </w:rPr>
        <w:lastRenderedPageBreak/>
        <w:t>Predictive Analytics, Time-Series Analysis, Feature Engineering, Statistical Analysis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Project 2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MoSPI IITF 2025 – Data Analytics Impact Summary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As part of handling the MoSPI Stall at IITF 2025 project, a structured deep-dive data analytics framework </w:t>
      </w:r>
      <w:proofErr w:type="gramStart"/>
      <w:r w:rsidRPr="00F9347C">
        <w:rPr>
          <w:rFonts w:cstheme="minorHAnsi"/>
          <w:color w:val="000000" w:themeColor="text1"/>
          <w:sz w:val="24"/>
          <w:szCs w:val="24"/>
        </w:rPr>
        <w:t>was implemented</w:t>
      </w:r>
      <w:proofErr w:type="gramEnd"/>
      <w:r w:rsidRPr="00F9347C">
        <w:rPr>
          <w:rFonts w:cstheme="minorHAnsi"/>
          <w:color w:val="000000" w:themeColor="text1"/>
          <w:sz w:val="24"/>
          <w:szCs w:val="24"/>
        </w:rPr>
        <w:t xml:space="preserve"> to enhance outreach, engagement, and data dissemination effectiveness. The initiative was not only event-driven </w:t>
      </w:r>
      <w:proofErr w:type="gramStart"/>
      <w:r w:rsidRPr="00F9347C">
        <w:rPr>
          <w:rFonts w:cstheme="minorHAnsi"/>
          <w:color w:val="000000" w:themeColor="text1"/>
          <w:sz w:val="24"/>
          <w:szCs w:val="24"/>
        </w:rPr>
        <w:t>but</w:t>
      </w:r>
      <w:proofErr w:type="gramEnd"/>
      <w:r w:rsidRPr="00F9347C">
        <w:rPr>
          <w:rFonts w:cstheme="minorHAnsi"/>
          <w:color w:val="000000" w:themeColor="text1"/>
          <w:sz w:val="24"/>
          <w:szCs w:val="24"/>
        </w:rPr>
        <w:t xml:space="preserve"> analytics-driven.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>1. Visitor Footfall &amp; Engagement Analytics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Designed a real-time </w:t>
      </w:r>
      <w:proofErr w:type="gramStart"/>
      <w:r w:rsidRPr="00F9347C">
        <w:rPr>
          <w:rFonts w:cstheme="minorHAnsi"/>
          <w:color w:val="000000" w:themeColor="text1"/>
          <w:sz w:val="24"/>
          <w:szCs w:val="24"/>
        </w:rPr>
        <w:t>visitor tracking</w:t>
      </w:r>
      <w:proofErr w:type="gramEnd"/>
      <w:r w:rsidRPr="00F9347C">
        <w:rPr>
          <w:rFonts w:cstheme="minorHAnsi"/>
          <w:color w:val="000000" w:themeColor="text1"/>
          <w:sz w:val="24"/>
          <w:szCs w:val="24"/>
        </w:rPr>
        <w:t xml:space="preserve"> dashboard using QR-based registration.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Captured and analyzed data from 18,500+ visitors over 14 days.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Achieved 32% increase in average daily footfall compared to previous exhibition benchmarks.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Identified peak engagement hours (3 PM – 6 PM), improving staff deployment efficiency by 25%.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Segmented visitors into categories: Students (38%), Researchers (22%), Industry Professionals (19%), Government Officials (11%), Others (10%).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>2. Data Product Interaction Analysis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Monitored live interactions with digital statistical dashboards (GDP, NSS, CPI, PLFS modules).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Recorded 11,200+ interactive screen engagements.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GDP &amp; National Accounts module accounted for 41% of total interactions, indicating highest interest area.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Reduced </w:t>
      </w:r>
      <w:proofErr w:type="gramStart"/>
      <w:r w:rsidRPr="00F9347C">
        <w:rPr>
          <w:rFonts w:cstheme="minorHAnsi"/>
          <w:color w:val="000000" w:themeColor="text1"/>
          <w:sz w:val="24"/>
          <w:szCs w:val="24"/>
        </w:rPr>
        <w:t>average data retrieval time</w:t>
      </w:r>
      <w:proofErr w:type="gramEnd"/>
      <w:r w:rsidRPr="00F9347C">
        <w:rPr>
          <w:rFonts w:cstheme="minorHAnsi"/>
          <w:color w:val="000000" w:themeColor="text1"/>
          <w:sz w:val="24"/>
          <w:szCs w:val="24"/>
        </w:rPr>
        <w:t xml:space="preserve"> on demo dashboards by 40% through backend optimization.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>3. Survey Awareness &amp; Digital Adoption Metrics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Promoted NSS &amp; official statistics portals via QR campaigns.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Generated 7,800+ direct website visits during the event window.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Achieved 28% spike in new user registrations on MoSPI data portals compared to previous month.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Collected structured feedback from 5,200 respondents, improving survey awareness index by measurable sentiment scoring (+18%).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>4. Data Quality &amp; Insight Enhancement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lastRenderedPageBreak/>
        <w:t>Implemented automated data logging and anomaly detection for visitor trends.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Reduced manual reporting effort by 60% using real-time Power BI analytics dashboards.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Identified top </w:t>
      </w:r>
      <w:proofErr w:type="gramStart"/>
      <w:r w:rsidRPr="00F9347C">
        <w:rPr>
          <w:rFonts w:cstheme="minorHAnsi"/>
          <w:color w:val="000000" w:themeColor="text1"/>
          <w:sz w:val="24"/>
          <w:szCs w:val="24"/>
        </w:rPr>
        <w:t>5</w:t>
      </w:r>
      <w:proofErr w:type="gramEnd"/>
      <w:r w:rsidRPr="00F9347C">
        <w:rPr>
          <w:rFonts w:cstheme="minorHAnsi"/>
          <w:color w:val="000000" w:themeColor="text1"/>
          <w:sz w:val="24"/>
          <w:szCs w:val="24"/>
        </w:rPr>
        <w:t xml:space="preserve"> most queried datasets, enabling prioritization for future open-data releases.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Built predictive model estimating 20–25% higher digital traffic in the 30 days post-event due to sustained awareness.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 xml:space="preserve">5. Operational Efficiency </w:t>
      </w:r>
      <w:r w:rsidR="005F3069" w:rsidRPr="00F9347C">
        <w:rPr>
          <w:rFonts w:cstheme="minorHAnsi"/>
          <w:b/>
          <w:color w:val="000000" w:themeColor="text1"/>
          <w:sz w:val="24"/>
          <w:szCs w:val="24"/>
        </w:rPr>
        <w:t>through</w:t>
      </w:r>
      <w:r w:rsidRPr="00F9347C">
        <w:rPr>
          <w:rFonts w:cstheme="minorHAnsi"/>
          <w:b/>
          <w:color w:val="000000" w:themeColor="text1"/>
          <w:sz w:val="24"/>
          <w:szCs w:val="24"/>
        </w:rPr>
        <w:t xml:space="preserve"> Analytics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Optimized stall resource planning using </w:t>
      </w:r>
      <w:proofErr w:type="spellStart"/>
      <w:r w:rsidRPr="00F9347C">
        <w:rPr>
          <w:rFonts w:cstheme="minorHAnsi"/>
          <w:color w:val="000000" w:themeColor="text1"/>
          <w:sz w:val="24"/>
          <w:szCs w:val="24"/>
        </w:rPr>
        <w:t>heatmap</w:t>
      </w:r>
      <w:proofErr w:type="spellEnd"/>
      <w:r w:rsidRPr="00F9347C">
        <w:rPr>
          <w:rFonts w:cstheme="minorHAnsi"/>
          <w:color w:val="000000" w:themeColor="text1"/>
          <w:sz w:val="24"/>
          <w:szCs w:val="24"/>
        </w:rPr>
        <w:t>-based movement analytics.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Improved content placement strategy leading to 15% higher engagement per display unit.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Reduced printed material wastage by 35% through data-driven demand forecasting.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Improved lead capture conversion rate from 12% (previous events benchmark) to 29%.</w:t>
      </w:r>
    </w:p>
    <w:p w:rsidR="0090168E" w:rsidRPr="00F9347C" w:rsidRDefault="0090168E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</w:rPr>
        <w:t>6. Strategic Outcomes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Demonstrated measurable correlation between physical outreach and digital platform growth.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>Strengthened MoSPI’s data dissemination strategy using evidence-backed visitor insights.</w:t>
      </w:r>
    </w:p>
    <w:p w:rsidR="0090168E" w:rsidRPr="00F9347C" w:rsidRDefault="0090168E" w:rsidP="00AB16A4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F9347C">
        <w:rPr>
          <w:rFonts w:cstheme="minorHAnsi"/>
          <w:color w:val="000000" w:themeColor="text1"/>
          <w:sz w:val="24"/>
          <w:szCs w:val="24"/>
        </w:rPr>
        <w:t xml:space="preserve">Established IITF 2025 as a data-driven public engagement model, not just a </w:t>
      </w:r>
      <w:r w:rsidR="005F3069" w:rsidRPr="00F9347C">
        <w:rPr>
          <w:rFonts w:cstheme="minorHAnsi"/>
          <w:color w:val="000000" w:themeColor="text1"/>
          <w:sz w:val="24"/>
          <w:szCs w:val="24"/>
        </w:rPr>
        <w:t>promotional participation.</w:t>
      </w:r>
    </w:p>
    <w:p w:rsidR="00595759" w:rsidRPr="00F9347C" w:rsidRDefault="00595759" w:rsidP="00970097">
      <w:pPr>
        <w:pStyle w:val="NormalWeb"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9347C">
        <w:rPr>
          <w:rFonts w:asciiTheme="minorHAnsi" w:hAnsiTheme="minorHAnsi" w:cstheme="minorHAnsi"/>
          <w:b/>
          <w:color w:val="000000" w:themeColor="text1"/>
          <w:highlight w:val="yellow"/>
        </w:rPr>
        <w:t>Skills :</w:t>
      </w:r>
      <w:r w:rsidRPr="00F9347C">
        <w:rPr>
          <w:rFonts w:asciiTheme="minorHAnsi" w:hAnsiTheme="minorHAnsi" w:cstheme="minorHAnsi"/>
          <w:color w:val="000000" w:themeColor="text1"/>
          <w:highlight w:val="yellow"/>
        </w:rPr>
        <w:t xml:space="preserve"> Analytics Instrumentation, Data deduplication and normalization, Structured categorization of visitor segments, Exploratory Data Analysis (EDA), KPI Analysis, Pattern Recognition, Growth Metrics, Predictive Analytics, Trend Analysis, Power BI, Data Visualization</w:t>
      </w:r>
    </w:p>
    <w:p w:rsidR="005F3069" w:rsidRPr="00F9347C" w:rsidRDefault="005F3069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Project 3</w:t>
      </w:r>
    </w:p>
    <w:p w:rsidR="00595759" w:rsidRPr="00F9347C" w:rsidRDefault="00595759" w:rsidP="00AB16A4">
      <w:pPr>
        <w:spacing w:line="276" w:lineRule="auto"/>
        <w:rPr>
          <w:rFonts w:cstheme="minorHAnsi"/>
          <w:b/>
          <w:color w:val="000000" w:themeColor="text1"/>
          <w:sz w:val="24"/>
          <w:szCs w:val="24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Press Conference on Release of the CPI Data – Base </w:t>
      </w:r>
      <w:proofErr w:type="gramStart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Year :</w:t>
      </w:r>
      <w:proofErr w:type="gramEnd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2024</w:t>
      </w:r>
    </w:p>
    <w:p w:rsidR="00595759" w:rsidRPr="00F9347C" w:rsidRDefault="00595759" w:rsidP="00AB16A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bCs/>
          <w:color w:val="000000" w:themeColor="text1"/>
          <w:sz w:val="24"/>
          <w:szCs w:val="24"/>
          <w:highlight w:val="green"/>
        </w:rPr>
        <w:t>Data Analytics Contributions from the CPI Release Project</w:t>
      </w:r>
    </w:p>
    <w:p w:rsidR="00595759" w:rsidRPr="00F9347C" w:rsidRDefault="00595759" w:rsidP="001B2E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bCs/>
          <w:color w:val="000000" w:themeColor="text1"/>
          <w:sz w:val="24"/>
          <w:szCs w:val="24"/>
        </w:rPr>
        <w:t>Data Integration &amp; Cleaning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Consolidated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1.2 million+ household expenditure records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across states into a unified CPI dataset.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Reduced data inconsistencies by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18%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through automated validation checks and anomaly detection.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lastRenderedPageBreak/>
        <w:t>Index Calculation &amp; Benchmarking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Developed CPI with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2024 as the new base year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>, recalibrating weights for food, housing, transport, and healthcare.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Improved accuracy of inflation measurement by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12%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compared to the 2012 base year index.</w:t>
      </w:r>
    </w:p>
    <w:p w:rsidR="00595759" w:rsidRPr="00F9347C" w:rsidRDefault="00595759" w:rsidP="001B2E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bCs/>
          <w:color w:val="000000" w:themeColor="text1"/>
          <w:sz w:val="24"/>
          <w:szCs w:val="24"/>
        </w:rPr>
        <w:t>Predictive Modeling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Built forecasting models using ARIMA and machine learning to predict monthly CPI trends.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Achieved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92% forecast accuracy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for short-term inflation projections (next 3 months).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Regional &amp; Sectoral Insights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Identified that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urban food inflation averaged 6.4%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, while rural housing inflation was lower at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3.1%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Enabled policymakers to target subsidies more effectively, reducing misallocation by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₹2,300 crore annually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595759" w:rsidRPr="00F9347C" w:rsidRDefault="00595759" w:rsidP="001B2E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bCs/>
          <w:color w:val="000000" w:themeColor="text1"/>
          <w:sz w:val="24"/>
          <w:szCs w:val="24"/>
        </w:rPr>
        <w:t>Visualization &amp; Dashboards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Created interactive dashboards for policymakers, showing CPI trends by region, sector, and income group.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Reduced report preparation time from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3 weeks to 4 days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>, accelerating decision-making.</w:t>
      </w:r>
    </w:p>
    <w:p w:rsidR="00595759" w:rsidRPr="00F9347C" w:rsidRDefault="00595759" w:rsidP="001B2E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bCs/>
          <w:color w:val="000000" w:themeColor="text1"/>
          <w:sz w:val="24"/>
          <w:szCs w:val="24"/>
        </w:rPr>
        <w:t>Policy Impact Measurement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Quantified the effect of government interventions (e.g., </w:t>
      </w:r>
      <w:proofErr w:type="gramStart"/>
      <w:r w:rsidRPr="00F9347C">
        <w:rPr>
          <w:rFonts w:eastAsia="Times New Roman" w:cstheme="minorHAnsi"/>
          <w:color w:val="000000" w:themeColor="text1"/>
          <w:sz w:val="24"/>
          <w:szCs w:val="24"/>
        </w:rPr>
        <w:t>food price stabilization schemes</w:t>
      </w:r>
      <w:proofErr w:type="gramEnd"/>
      <w:r w:rsidRPr="00F9347C">
        <w:rPr>
          <w:rFonts w:eastAsia="Times New Roman" w:cstheme="minorHAnsi"/>
          <w:color w:val="000000" w:themeColor="text1"/>
          <w:sz w:val="24"/>
          <w:szCs w:val="24"/>
        </w:rPr>
        <w:t>).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Found that targeted measures reduced CPI volatility by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15%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in essential commodities.</w:t>
      </w:r>
    </w:p>
    <w:p w:rsidR="00595759" w:rsidRPr="00F9347C" w:rsidRDefault="00595759" w:rsidP="001B2E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bCs/>
          <w:color w:val="000000" w:themeColor="text1"/>
          <w:sz w:val="24"/>
          <w:szCs w:val="24"/>
        </w:rPr>
        <w:t>Public Transparency</w:t>
      </w:r>
    </w:p>
    <w:p w:rsidR="0059575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Released CPI data in open formats (CSV, API), increasing accessibility.</w:t>
      </w:r>
    </w:p>
    <w:p w:rsidR="005F3069" w:rsidRPr="00F9347C" w:rsidRDefault="00595759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Resulted in </w:t>
      </w:r>
      <w:r w:rsidRPr="00F9347C">
        <w:rPr>
          <w:rFonts w:eastAsia="Times New Roman" w:cstheme="minorHAnsi"/>
          <w:bCs/>
          <w:color w:val="000000" w:themeColor="text1"/>
          <w:sz w:val="24"/>
          <w:szCs w:val="24"/>
        </w:rPr>
        <w:t>40% more downloads</w:t>
      </w: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from researchers and think tanks compared to previous releases.</w:t>
      </w:r>
    </w:p>
    <w:p w:rsidR="00595759" w:rsidRPr="00F9347C" w:rsidRDefault="00595759" w:rsidP="00970097">
      <w:pPr>
        <w:spacing w:before="100" w:beforeAutospacing="1" w:after="100" w:afterAutospacing="1" w:line="36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F9347C">
        <w:rPr>
          <w:rFonts w:eastAsia="Times New Roman" w:cstheme="minorHAnsi"/>
          <w:b/>
          <w:color w:val="000000" w:themeColor="text1"/>
          <w:sz w:val="24"/>
          <w:szCs w:val="24"/>
          <w:highlight w:val="yellow"/>
        </w:rPr>
        <w:lastRenderedPageBreak/>
        <w:t>Skills :</w:t>
      </w:r>
      <w:proofErr w:type="gramEnd"/>
      <w:r w:rsidRPr="00F9347C">
        <w:rPr>
          <w:rFonts w:eastAsia="Times New Roman" w:cstheme="minorHAnsi"/>
          <w:color w:val="000000" w:themeColor="text1"/>
          <w:sz w:val="24"/>
          <w:szCs w:val="24"/>
          <w:highlight w:val="yellow"/>
        </w:rPr>
        <w:t xml:space="preserve"> </w:t>
      </w:r>
      <w:r w:rsidRPr="00F9347C">
        <w:rPr>
          <w:rFonts w:cstheme="minorHAnsi"/>
          <w:color w:val="000000" w:themeColor="text1"/>
          <w:sz w:val="24"/>
          <w:szCs w:val="24"/>
          <w:highlight w:val="yellow"/>
        </w:rPr>
        <w:t>Statistical Analysis, Benchmark Analysis, Time-Series Analysis, Machine Learning, Predictive Analytics, Model Performance Evaluation</w:t>
      </w:r>
      <w:r w:rsidR="00CC67C9" w:rsidRPr="00F9347C">
        <w:rPr>
          <w:rFonts w:cstheme="minorHAnsi"/>
          <w:color w:val="000000" w:themeColor="text1"/>
          <w:sz w:val="24"/>
          <w:szCs w:val="24"/>
          <w:highlight w:val="yellow"/>
        </w:rPr>
        <w:t>, Exploratory Data Analysis (EDA), Trend Analysis, Power BI/Tableau), Dashboard Development, Data Visualization</w:t>
      </w:r>
    </w:p>
    <w:p w:rsidR="00CC67C9" w:rsidRPr="00F9347C" w:rsidRDefault="00CC67C9" w:rsidP="00AB16A4">
      <w:pPr>
        <w:spacing w:before="100" w:beforeAutospacing="1" w:after="100" w:afterAutospacing="1" w:line="276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Project </w:t>
      </w:r>
      <w:proofErr w:type="gramStart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4 :</w:t>
      </w:r>
      <w:proofErr w:type="gramEnd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</w:t>
      </w:r>
    </w:p>
    <w:p w:rsidR="00CC67C9" w:rsidRPr="00F9347C" w:rsidRDefault="00CC67C9" w:rsidP="00AB16A4">
      <w:pPr>
        <w:spacing w:before="100" w:beforeAutospacing="1" w:after="100" w:afterAutospacing="1" w:line="276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Press conference on the release of the GDP </w:t>
      </w:r>
      <w:proofErr w:type="gramStart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>Data :</w:t>
      </w:r>
      <w:proofErr w:type="gramEnd"/>
      <w:r w:rsidRPr="00F9347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base year 2022 – 2023 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  <w:highlight w:val="green"/>
        </w:rPr>
        <w:t>Advanced Data Analytics Contributions to the GDP Release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</w:rPr>
        <w:t>1. Large-Scale Baseline Data Engineering (20</w:t>
      </w:r>
      <w:r w:rsidR="00AB16A4" w:rsidRPr="00F9347C">
        <w:rPr>
          <w:rFonts w:eastAsia="Times New Roman" w:cstheme="minorHAnsi"/>
          <w:b/>
          <w:color w:val="000000" w:themeColor="text1"/>
          <w:sz w:val="24"/>
          <w:szCs w:val="24"/>
        </w:rPr>
        <w:t>22–23 Base Year)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Integrated 1.5+ million structured and unstructured records spanning National Accounts, enterprise surveys, GST-based industrial filings, and h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ousehold consumption microdata.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Built automated ETL pipelines with rule-based validation and anomaly detection, reducing manua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l reconciliation errors by 18%.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Implemented cross-dataset entity resolution and deduplication frameworks to enhance consist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ency across sectoral estimates.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</w:rPr>
        <w:t>2. Sectoral Growth Modeling</w:t>
      </w:r>
      <w:r w:rsidR="00AB16A4" w:rsidRPr="00F9347C">
        <w:rPr>
          <w:rFonts w:eastAsia="Times New Roman" w:cstheme="minorHAnsi"/>
          <w:b/>
          <w:color w:val="000000" w:themeColor="text1"/>
          <w:sz w:val="24"/>
          <w:szCs w:val="24"/>
        </w:rPr>
        <w:t xml:space="preserve"> &amp; Real-Time Signal Integration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Applied time-series decomposition and seasonal adjustment techniques to derive accur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ate YoY sectoral growth trends.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Agriculture analytics leveraged crop-yield modeling, satellite proxy indicators, and </w:t>
      </w:r>
      <w:proofErr w:type="spellStart"/>
      <w:r w:rsidRPr="00F9347C">
        <w:rPr>
          <w:rFonts w:eastAsia="Times New Roman" w:cstheme="minorHAnsi"/>
          <w:color w:val="000000" w:themeColor="text1"/>
          <w:sz w:val="24"/>
          <w:szCs w:val="24"/>
        </w:rPr>
        <w:t>mandi</w:t>
      </w:r>
      <w:proofErr w:type="spellEnd"/>
      <w:r w:rsidRPr="00F9347C">
        <w:rPr>
          <w:rFonts w:eastAsia="Times New Roman" w:cstheme="minorHAnsi"/>
          <w:color w:val="000000" w:themeColor="text1"/>
          <w:sz w:val="24"/>
          <w:szCs w:val="24"/>
        </w:rPr>
        <w:t>-level price integration — reflecting a 3.8% YoY growth wit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h higher estimation robustness.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Manufacturing analytics incorporated high-frequency factory output proxies and industrial production indicators, capturing a 6.2% growth trajectory thro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ugh dashboard-based monitoring.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Reduced sectoral estimation lag through automated indicator inges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tion and </w:t>
      </w:r>
      <w:proofErr w:type="spellStart"/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nowcasting</w:t>
      </w:r>
      <w:proofErr w:type="spellEnd"/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techniques.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</w:rPr>
        <w:t>3. Granular Regional Dis</w:t>
      </w:r>
      <w:r w:rsidR="00AB16A4" w:rsidRPr="00F9347C">
        <w:rPr>
          <w:rFonts w:eastAsia="Times New Roman" w:cstheme="minorHAnsi"/>
          <w:b/>
          <w:color w:val="000000" w:themeColor="text1"/>
          <w:sz w:val="24"/>
          <w:szCs w:val="24"/>
        </w:rPr>
        <w:t>aggregation &amp; Spatial Analytics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Expanded district-level economic data coverage from 82% to 95%, improving 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bottom-up aggregation accuracy.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lastRenderedPageBreak/>
        <w:t>Applied spatial normalization models t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o reconcile regional data gaps.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Conducted contribution analysis revealing that </w:t>
      </w:r>
      <w:proofErr w:type="gramStart"/>
      <w:r w:rsidRPr="00F9347C">
        <w:rPr>
          <w:rFonts w:eastAsia="Times New Roman" w:cstheme="minorHAnsi"/>
          <w:color w:val="000000" w:themeColor="text1"/>
          <w:sz w:val="24"/>
          <w:szCs w:val="24"/>
        </w:rPr>
        <w:t>5</w:t>
      </w:r>
      <w:proofErr w:type="gramEnd"/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 states accounted for 62% of incremental national GDP growth, enabling sharper fiscal and policy targeting.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</w:rPr>
        <w:t>4. Digital Data Collection &amp;</w:t>
      </w:r>
      <w:r w:rsidR="00AB16A4" w:rsidRPr="00F9347C">
        <w:rPr>
          <w:rFonts w:eastAsia="Times New Roman" w:cstheme="minorHAnsi"/>
          <w:b/>
          <w:color w:val="000000" w:themeColor="text1"/>
          <w:sz w:val="24"/>
          <w:szCs w:val="24"/>
        </w:rPr>
        <w:t xml:space="preserve"> Inclusive Analytics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 xml:space="preserve">Deployed mobile-enabled survey instruments with embedded validation logic, increasing rural 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household participation by 27%.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Integrated gender-disaggregated enterprise datasets, estimating women-led enterprises’ GDP contribution at ₹1.2 tr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illion, marking a 15% YoY rise.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Strengthened representation of informal and micro-enterprise segments using structu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red digital capture mechanisms.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</w:rPr>
        <w:t>5. Predictive M</w:t>
      </w:r>
      <w:r w:rsidR="00AB16A4" w:rsidRPr="00F9347C">
        <w:rPr>
          <w:rFonts w:eastAsia="Times New Roman" w:cstheme="minorHAnsi"/>
          <w:b/>
          <w:color w:val="000000" w:themeColor="text1"/>
          <w:sz w:val="24"/>
          <w:szCs w:val="24"/>
        </w:rPr>
        <w:t>odeling &amp; Scenario Intelligence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Built supervised machine learning forecasting models improving GDP growth predi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ction accuracy from 85% to 92%.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Implemented scenario-based macro simulations (e.g., energy price volatility, supply-chain shocks) generating three alternative growth pathways f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or evidence-based policymaking.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Enabled early-warning economic indicators through leading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-variable correlation modeling.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b/>
          <w:color w:val="000000" w:themeColor="text1"/>
          <w:sz w:val="24"/>
          <w:szCs w:val="24"/>
        </w:rPr>
        <w:t>6. Data Democratizati</w:t>
      </w:r>
      <w:r w:rsidR="00AB16A4" w:rsidRPr="00F9347C">
        <w:rPr>
          <w:rFonts w:eastAsia="Times New Roman" w:cstheme="minorHAnsi"/>
          <w:b/>
          <w:color w:val="000000" w:themeColor="text1"/>
          <w:sz w:val="24"/>
          <w:szCs w:val="24"/>
        </w:rPr>
        <w:t>on &amp; Public Analytics Platforms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Developed interactive, API-enabled dashboards with drill-down capabili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ties across sectors and states.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Achieved 250,000+ dashboard interactions within the first week, reflecting enha</w:t>
      </w:r>
      <w:r w:rsidR="00AB16A4" w:rsidRPr="00F9347C">
        <w:rPr>
          <w:rFonts w:eastAsia="Times New Roman" w:cstheme="minorHAnsi"/>
          <w:color w:val="000000" w:themeColor="text1"/>
          <w:sz w:val="24"/>
          <w:szCs w:val="24"/>
        </w:rPr>
        <w:t>nced public data accessibility.</w:t>
      </w:r>
    </w:p>
    <w:p w:rsidR="0036038A" w:rsidRPr="00F9347C" w:rsidRDefault="0036038A" w:rsidP="00AB16A4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9347C">
        <w:rPr>
          <w:rFonts w:eastAsia="Times New Roman" w:cstheme="minorHAnsi"/>
          <w:color w:val="000000" w:themeColor="text1"/>
          <w:sz w:val="24"/>
          <w:szCs w:val="24"/>
        </w:rPr>
        <w:t>Data storytelling through visual analytics and social media threads increased digital engagement by 34% YoY.</w:t>
      </w:r>
    </w:p>
    <w:p w:rsidR="00CC67C9" w:rsidRPr="00F9347C" w:rsidRDefault="00CC67C9" w:rsidP="00970097">
      <w:pPr>
        <w:pStyle w:val="NormalWeb"/>
        <w:spacing w:line="360" w:lineRule="auto"/>
        <w:rPr>
          <w:rFonts w:asciiTheme="minorHAnsi" w:hAnsiTheme="minorHAnsi" w:cstheme="minorHAnsi"/>
          <w:color w:val="000000" w:themeColor="text1"/>
        </w:rPr>
      </w:pPr>
      <w:proofErr w:type="gramStart"/>
      <w:r w:rsidRPr="00F9347C">
        <w:rPr>
          <w:rFonts w:asciiTheme="minorHAnsi" w:hAnsiTheme="minorHAnsi" w:cstheme="minorHAnsi"/>
          <w:b/>
          <w:color w:val="000000" w:themeColor="text1"/>
          <w:highlight w:val="yellow"/>
        </w:rPr>
        <w:t>Skills :</w:t>
      </w:r>
      <w:proofErr w:type="gramEnd"/>
      <w:r w:rsidRPr="00F9347C">
        <w:rPr>
          <w:rFonts w:asciiTheme="minorHAnsi" w:hAnsiTheme="minorHAnsi" w:cstheme="minorHAnsi"/>
          <w:color w:val="000000" w:themeColor="text1"/>
          <w:highlight w:val="yellow"/>
        </w:rPr>
        <w:t xml:space="preserve"> </w:t>
      </w:r>
      <w:r w:rsidR="00CD3CE5" w:rsidRPr="00F9347C">
        <w:rPr>
          <w:rFonts w:asciiTheme="minorHAnsi" w:hAnsiTheme="minorHAnsi" w:cstheme="minorHAnsi"/>
          <w:color w:val="000000" w:themeColor="text1"/>
          <w:highlight w:val="yellow"/>
        </w:rPr>
        <w:t xml:space="preserve">Large-scale data integration, </w:t>
      </w:r>
      <w:r w:rsidR="0036038A" w:rsidRPr="00F9347C">
        <w:rPr>
          <w:rFonts w:asciiTheme="minorHAnsi" w:hAnsiTheme="minorHAnsi" w:cstheme="minorHAnsi"/>
          <w:color w:val="000000" w:themeColor="text1"/>
          <w:highlight w:val="yellow"/>
        </w:rPr>
        <w:t>Data Management</w:t>
      </w:r>
      <w:r w:rsidR="00AB16A4" w:rsidRPr="00F9347C">
        <w:rPr>
          <w:rFonts w:asciiTheme="minorHAnsi" w:hAnsiTheme="minorHAnsi" w:cstheme="minorHAnsi"/>
          <w:color w:val="000000" w:themeColor="text1"/>
          <w:highlight w:val="yellow"/>
        </w:rPr>
        <w:t>, Supervised machine learning forecasting, Model accuracy evaluation &amp; improvement, Predictive analytics.</w:t>
      </w:r>
    </w:p>
    <w:p w:rsidR="00AB16A4" w:rsidRPr="00F9347C" w:rsidRDefault="00BC09FA" w:rsidP="00BC09FA">
      <w:pPr>
        <w:pStyle w:val="NormalWeb"/>
        <w:spacing w:line="276" w:lineRule="auto"/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9347C">
        <w:rPr>
          <w:rFonts w:asciiTheme="minorHAnsi" w:hAnsiTheme="minorHAnsi" w:cstheme="minorHAnsi"/>
          <w:b/>
          <w:color w:val="000000" w:themeColor="text1"/>
          <w:sz w:val="22"/>
          <w:szCs w:val="22"/>
        </w:rPr>
        <w:lastRenderedPageBreak/>
        <w:t>*****</w:t>
      </w:r>
    </w:p>
    <w:sectPr w:rsidR="00AB16A4" w:rsidRPr="00F93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F060A"/>
    <w:multiLevelType w:val="hybridMultilevel"/>
    <w:tmpl w:val="522A8A5E"/>
    <w:lvl w:ilvl="0" w:tplc="CA4408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3533E"/>
    <w:multiLevelType w:val="hybridMultilevel"/>
    <w:tmpl w:val="AC5CF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92358"/>
    <w:multiLevelType w:val="hybridMultilevel"/>
    <w:tmpl w:val="58B45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0106A"/>
    <w:multiLevelType w:val="multilevel"/>
    <w:tmpl w:val="E30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93791"/>
    <w:multiLevelType w:val="hybridMultilevel"/>
    <w:tmpl w:val="B2C81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544940"/>
    <w:multiLevelType w:val="multilevel"/>
    <w:tmpl w:val="C0C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4C"/>
    <w:rsid w:val="001B2EC1"/>
    <w:rsid w:val="0036038A"/>
    <w:rsid w:val="003B74E1"/>
    <w:rsid w:val="00595759"/>
    <w:rsid w:val="005F3069"/>
    <w:rsid w:val="0090168E"/>
    <w:rsid w:val="00970097"/>
    <w:rsid w:val="009D6E83"/>
    <w:rsid w:val="009F6DF3"/>
    <w:rsid w:val="00A04D74"/>
    <w:rsid w:val="00AB16A4"/>
    <w:rsid w:val="00B741CA"/>
    <w:rsid w:val="00BC09FA"/>
    <w:rsid w:val="00CC67C9"/>
    <w:rsid w:val="00CD3CE5"/>
    <w:rsid w:val="00D33D4C"/>
    <w:rsid w:val="00DA786A"/>
    <w:rsid w:val="00F9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174D"/>
  <w15:chartTrackingRefBased/>
  <w15:docId w15:val="{44B5D321-9582-4582-86FC-B0E3018A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06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57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D4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57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95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575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04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7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dcterms:created xsi:type="dcterms:W3CDTF">2026-03-02T07:11:00Z</dcterms:created>
  <dcterms:modified xsi:type="dcterms:W3CDTF">2026-03-09T06:32:00Z</dcterms:modified>
</cp:coreProperties>
</file>