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02D5B"/>
          <w:sz w:val="32"/>
        </w:rPr>
        <w:t>PRAKHAR MISHRA</w:t>
      </w:r>
    </w:p>
    <w:p>
      <w:pPr>
        <w:spacing w:before="0" w:after="40"/>
        <w:jc w:val="center"/>
      </w:pPr>
      <w:r>
        <w:rPr>
          <w:rFonts w:ascii="Calibri" w:hAnsi="Calibri"/>
          <w:b/>
          <w:color w:val="0070AD"/>
          <w:sz w:val="21"/>
        </w:rPr>
        <w:t>Senior Manager | Chief of Staff &amp; Enterprise AI Transformation Lead</w:t>
      </w:r>
    </w:p>
    <w:p>
      <w:pPr>
        <w:spacing w:before="0" w:after="120"/>
        <w:jc w:val="center"/>
      </w:pPr>
      <w:r>
        <w:rPr>
          <w:rFonts w:ascii="Calibri" w:hAnsi="Calibri"/>
          <w:color w:val="5A646E"/>
          <w:sz w:val="17"/>
        </w:rPr>
        <w:t>Gurgaon, India  •  prakharmishra2015@gmail.com  •  +91 62395 54160  •  linkedin.com/in/prakhar-mishra-b74b85124-mishra-b74b85124  •  prakhar-ai.dev</w:t>
      </w:r>
    </w:p>
    <w:p>
      <w:pPr>
        <w:keepNext/>
        <w:spacing w:before="100" w:after="40"/>
        <w:pBdr>
          <w:bottom w:val="single" w:sz="6" w:space="1" w:color="0070AD"/>
        </w:pBdr>
      </w:pPr>
      <w:r>
        <w:rPr>
          <w:rFonts w:ascii="Calibri" w:hAnsi="Calibri"/>
          <w:b/>
          <w:color w:val="002D5B"/>
          <w:sz w:val="19"/>
        </w:rPr>
        <w:t>EXECUTIVE PROFILE</w:t>
      </w:r>
    </w:p>
    <w:p>
      <w:pPr>
        <w:spacing w:before="40" w:after="80" w:line="252" w:lineRule="auto"/>
      </w:pPr>
      <w:r>
        <w:rPr>
          <w:rFonts w:ascii="Calibri" w:hAnsi="Calibri"/>
          <w:color w:val="232323"/>
          <w:sz w:val="17"/>
        </w:rPr>
        <w:t>Strategic Chief of Staff and Enterprise AI Transformation Leader with 6 years of accelerated growth (4 promotions) across Capgemini India's C&amp;CA practice (~20,000 professionals). Direct strategic advisor to the Executive Vice President (EVP) and partner to the Unit COO, translating C-suite vision into global PMO governance, workforce upskilling, and large-scale AI adoption frameworks. Combines boardroom execution rigor with Anthropic Claude Certified Architect literacy to guide cross-functional teams in building and scaling production-grade AI solutions.</w:t>
      </w:r>
    </w:p>
    <w:p>
      <w:pPr>
        <w:keepNext/>
        <w:spacing w:before="100" w:after="40"/>
        <w:pBdr>
          <w:bottom w:val="single" w:sz="6" w:space="1" w:color="0070AD"/>
        </w:pBdr>
      </w:pPr>
      <w:r>
        <w:rPr>
          <w:rFonts w:ascii="Calibri" w:hAnsi="Calibri"/>
          <w:b/>
          <w:color w:val="002D5B"/>
          <w:sz w:val="19"/>
        </w:rPr>
        <w:t>CORE COMPETENCIES &amp; EXPERTISE</w:t>
      </w:r>
    </w:p>
    <w:p>
      <w:pPr>
        <w:spacing w:before="0" w:after="30" w:line="252" w:lineRule="auto"/>
        <w:ind w:left="173"/>
      </w:pPr>
      <w:r>
        <w:rPr>
          <w:rFonts w:ascii="Calibri" w:hAnsi="Calibri"/>
          <w:b/>
          <w:color w:val="232323"/>
          <w:sz w:val="17"/>
        </w:rPr>
        <w:t>•  AI Strategy &amp; Adoption:</w:t>
      </w:r>
      <w:r>
        <w:rPr>
          <w:rFonts w:ascii="Calibri" w:hAnsi="Calibri"/>
          <w:color w:val="232323"/>
          <w:sz w:val="17"/>
        </w:rPr>
        <w:t xml:space="preserve"> Executive AI Studios, Enterprise AI Transformation Blueprints, Vibe Coding, Train-the-Trainer (TTT) Scaling, Agentic AI Workflows, Model Context Protocol (MCP), AI Readiness Frameworks.</w:t>
      </w:r>
    </w:p>
    <w:p>
      <w:pPr>
        <w:spacing w:before="0" w:after="30" w:line="252" w:lineRule="auto"/>
        <w:ind w:left="173"/>
      </w:pPr>
      <w:r>
        <w:rPr>
          <w:rFonts w:ascii="Calibri" w:hAnsi="Calibri"/>
          <w:b/>
          <w:color w:val="232323"/>
          <w:sz w:val="17"/>
        </w:rPr>
        <w:t>•  Strategic PMO &amp; Governance:</w:t>
      </w:r>
      <w:r>
        <w:rPr>
          <w:rFonts w:ascii="Calibri" w:hAnsi="Calibri"/>
          <w:color w:val="232323"/>
          <w:sz w:val="17"/>
        </w:rPr>
        <w:t xml:space="preserve"> Chief of Staff Leadership, Execution Control Towers, Strategic Account Matrix Data Mining, Operating KPI Architecture, Leadership Strategy Summits, C-Suite Decision Support.</w:t>
      </w:r>
    </w:p>
    <w:p>
      <w:pPr>
        <w:spacing w:before="0" w:after="30" w:line="252" w:lineRule="auto"/>
        <w:ind w:left="173"/>
      </w:pPr>
      <w:r>
        <w:rPr>
          <w:rFonts w:ascii="Calibri" w:hAnsi="Calibri"/>
          <w:b/>
          <w:color w:val="232323"/>
          <w:sz w:val="17"/>
        </w:rPr>
        <w:t>•  Workforce Transformation:</w:t>
      </w:r>
      <w:r>
        <w:rPr>
          <w:rFonts w:ascii="Calibri" w:hAnsi="Calibri"/>
          <w:color w:val="232323"/>
          <w:sz w:val="17"/>
        </w:rPr>
        <w:t xml:space="preserve"> Continuous Candidate Evaluation Ecosystems, Adaptive MCQ Testing Engines, AI Voice Interviewing, Bench Cost De-risking, B-School Talent Lifecycle Redesign, Demand-Supply Matching.</w:t>
      </w:r>
    </w:p>
    <w:p>
      <w:pPr>
        <w:spacing w:before="0" w:after="30" w:line="252" w:lineRule="auto"/>
        <w:ind w:left="173"/>
      </w:pPr>
      <w:r>
        <w:rPr>
          <w:rFonts w:ascii="Calibri" w:hAnsi="Calibri"/>
          <w:b/>
          <w:color w:val="232323"/>
          <w:sz w:val="17"/>
        </w:rPr>
        <w:t>•  Product &amp; Program Delivery:</w:t>
      </w:r>
      <w:r>
        <w:rPr>
          <w:rFonts w:ascii="Calibri" w:hAnsi="Calibri"/>
          <w:color w:val="232323"/>
          <w:sz w:val="17"/>
        </w:rPr>
        <w:t xml:space="preserve"> Technical Direction, Knowledge Graph Architectures, Multi-Model Routing (RoutingMagic), SAFe 5 POPM, Agile Scrum Delivery, SaaS Product Analysis (Sony/Universal).</w:t>
      </w:r>
    </w:p>
    <w:p>
      <w:pPr>
        <w:keepNext/>
        <w:spacing w:before="100" w:after="40"/>
        <w:pBdr>
          <w:bottom w:val="single" w:sz="6" w:space="1" w:color="0070AD"/>
        </w:pBdr>
      </w:pPr>
      <w:r>
        <w:rPr>
          <w:rFonts w:ascii="Calibri" w:hAnsi="Calibri"/>
          <w:b/>
          <w:color w:val="002D5B"/>
          <w:sz w:val="19"/>
        </w:rPr>
        <w:t>PROFESSIONAL EXPERIENCE</w:t>
      </w:r>
    </w:p>
    <w:p>
      <w:pPr>
        <w:keepNext/>
        <w:spacing w:before="40" w:after="0"/>
      </w:pPr>
      <w:r>
        <w:rPr>
          <w:rFonts w:ascii="Calibri" w:hAnsi="Calibri"/>
          <w:b/>
          <w:color w:val="002D5B"/>
          <w:sz w:val="18"/>
        </w:rPr>
        <w:t>CAPGEMINI TECHNOLOGY SERVICES INDIA LIMITED</w:t>
      </w:r>
      <w:r>
        <w:rPr>
          <w:rFonts w:ascii="Calibri" w:hAnsi="Calibri"/>
          <w:b w:val="0"/>
          <w:color w:val="5A646E"/>
          <w:sz w:val="17"/>
        </w:rPr>
        <w:t xml:space="preserve">  •  Aug 2020 – Present  </w:t>
      </w:r>
      <w:r>
        <w:rPr>
          <w:rFonts w:ascii="Calibri" w:hAnsi="Calibri"/>
          <w:i/>
          <w:color w:val="0070AD"/>
          <w:sz w:val="16"/>
        </w:rPr>
        <w:t>(Consultant → Senior Consultant → Manager → Senior Manager | 4 Promotions in 6 Years)</w:t>
      </w:r>
    </w:p>
    <w:p>
      <w:pPr>
        <w:keepNext/>
        <w:spacing w:before="20" w:after="40"/>
      </w:pPr>
      <w:r>
        <w:rPr>
          <w:rFonts w:ascii="Calibri" w:hAnsi="Calibri"/>
          <w:b/>
          <w:color w:val="232323"/>
          <w:sz w:val="17"/>
        </w:rPr>
        <w:t xml:space="preserve">Senior Manager | Chief of Staff &amp; AI Transformation Lead — Cloud &amp; Custom Applications (C&amp;CA)  </w:t>
      </w:r>
      <w:r>
        <w:rPr>
          <w:rFonts w:ascii="Calibri" w:hAnsi="Calibri"/>
          <w:color w:val="5A646E"/>
          <w:sz w:val="16"/>
        </w:rPr>
        <w:t>(Nov 2023 – Present | 7 Direct Reports)</w:t>
      </w:r>
    </w:p>
    <w:p>
      <w:pPr>
        <w:spacing w:before="0" w:after="30" w:line="252" w:lineRule="auto"/>
        <w:ind w:left="173"/>
      </w:pPr>
      <w:r>
        <w:rPr>
          <w:rFonts w:ascii="Calibri" w:hAnsi="Calibri"/>
          <w:b/>
          <w:color w:val="232323"/>
          <w:sz w:val="17"/>
        </w:rPr>
        <w:t>•  Executive AI Adoption (Executive AI Studio):</w:t>
      </w:r>
      <w:r>
        <w:rPr>
          <w:rFonts w:ascii="Calibri" w:hAnsi="Calibri"/>
          <w:color w:val="232323"/>
          <w:sz w:val="17"/>
        </w:rPr>
        <w:t xml:space="preserve"> Architected national AI enablement blueprint across 4 hubs (Bangalore, Hyderabad, Mumbai, Pune) for 2,500+ E &amp; F Grade leaders (VPs, Senior Directors); executive participants developed 94 distinct production-grade AI prototypes.</w:t>
      </w:r>
    </w:p>
    <w:p>
      <w:pPr>
        <w:spacing w:before="0" w:after="30" w:line="252" w:lineRule="auto"/>
        <w:ind w:left="173"/>
      </w:pPr>
      <w:r>
        <w:rPr>
          <w:rFonts w:ascii="Calibri" w:hAnsi="Calibri"/>
          <w:b/>
          <w:color w:val="232323"/>
          <w:sz w:val="17"/>
        </w:rPr>
        <w:t>•  Train-the-Trainer (TTT) Multiplier:</w:t>
      </w:r>
      <w:r>
        <w:rPr>
          <w:rFonts w:ascii="Calibri" w:hAnsi="Calibri"/>
          <w:color w:val="232323"/>
          <w:sz w:val="17"/>
        </w:rPr>
        <w:t xml:space="preserve"> Formulated a structured scaling engine, expanding a core facilitator group into a certified network of 200 secondary trainers to propagate firm-wide AI literacy; personally mentored 500+ corporate professionals.</w:t>
      </w:r>
    </w:p>
    <w:p>
      <w:pPr>
        <w:spacing w:before="0" w:after="30" w:line="252" w:lineRule="auto"/>
        <w:ind w:left="173"/>
      </w:pPr>
      <w:r>
        <w:rPr>
          <w:rFonts w:ascii="Calibri" w:hAnsi="Calibri"/>
          <w:b/>
          <w:color w:val="232323"/>
          <w:sz w:val="17"/>
        </w:rPr>
        <w:t>•  Continuous Evaluation &amp; Bench De-risking:</w:t>
      </w:r>
      <w:r>
        <w:rPr>
          <w:rFonts w:ascii="Calibri" w:hAnsi="Calibri"/>
          <w:color w:val="232323"/>
          <w:sz w:val="17"/>
        </w:rPr>
        <w:t xml:space="preserve"> Directed deployment of AI-driven capability validation for 2,500+ associates; engineered adaptive MCQ testing (cutting certification failure rate from 20% to &lt;5%) and AI voice interviews (240+ candidates), compressing bench cycles from 117 to &lt;60 days ($1.5M–$3M+ annual bench savings).</w:t>
      </w:r>
    </w:p>
    <w:p>
      <w:pPr>
        <w:spacing w:before="0" w:after="30" w:line="252" w:lineRule="auto"/>
        <w:ind w:left="173"/>
      </w:pPr>
      <w:r>
        <w:rPr>
          <w:rFonts w:ascii="Calibri" w:hAnsi="Calibri"/>
          <w:b/>
          <w:color w:val="232323"/>
          <w:sz w:val="17"/>
        </w:rPr>
        <w:t>•  Global PMO Execution Control Tower:</w:t>
      </w:r>
      <w:r>
        <w:rPr>
          <w:rFonts w:ascii="Calibri" w:hAnsi="Calibri"/>
          <w:color w:val="232323"/>
          <w:sz w:val="17"/>
        </w:rPr>
        <w:t xml:space="preserve"> Partnered with Unit COO to align India PMO with global standards, governing 9 central transformation programs across 38+ leaders; built Top 10-20 Account Matrix data-mining asset used by AI CoE to pitch high-value AI use cases.</w:t>
      </w:r>
    </w:p>
    <w:p>
      <w:pPr>
        <w:spacing w:before="0" w:after="30" w:line="252" w:lineRule="auto"/>
        <w:ind w:left="173"/>
      </w:pPr>
      <w:r>
        <w:rPr>
          <w:rFonts w:ascii="Calibri" w:hAnsi="Calibri"/>
          <w:b/>
          <w:color w:val="232323"/>
          <w:sz w:val="17"/>
        </w:rPr>
        <w:t>•  B-School Talent Lifecycle Overhaul:</w:t>
      </w:r>
      <w:r>
        <w:rPr>
          <w:rFonts w:ascii="Calibri" w:hAnsi="Calibri"/>
          <w:color w:val="232323"/>
          <w:sz w:val="17"/>
        </w:rPr>
        <w:t xml:space="preserve"> Redesigned management trainee allocation and demand matching, raising talent billability from 30% to 60%, accelerating intake cycle times by 80%, and reducing trainee attrition by ~90% (saving ~3 FTEs annually).</w:t>
      </w:r>
    </w:p>
    <w:p>
      <w:pPr>
        <w:keepNext/>
        <w:spacing w:before="30" w:after="40"/>
      </w:pPr>
      <w:r>
        <w:rPr>
          <w:rFonts w:ascii="Calibri" w:hAnsi="Calibri"/>
          <w:b/>
          <w:color w:val="232323"/>
          <w:sz w:val="17"/>
        </w:rPr>
        <w:t xml:space="preserve">Product Business Analyst | Project Manager | Scrum Master  </w:t>
      </w:r>
      <w:r>
        <w:rPr>
          <w:rFonts w:ascii="Calibri" w:hAnsi="Calibri"/>
          <w:color w:val="5A646E"/>
          <w:sz w:val="16"/>
        </w:rPr>
        <w:t>(Aug 2020 – Nov 2023)</w:t>
      </w:r>
    </w:p>
    <w:p>
      <w:pPr>
        <w:spacing w:before="0" w:after="30" w:line="252" w:lineRule="auto"/>
        <w:ind w:left="173"/>
      </w:pPr>
      <w:r>
        <w:rPr>
          <w:rFonts w:ascii="Calibri" w:hAnsi="Calibri"/>
          <w:b/>
          <w:color w:val="232323"/>
          <w:sz w:val="17"/>
        </w:rPr>
        <w:t>•  Theatrical Distribution SaaS (Sony &amp; Universal):</w:t>
      </w:r>
      <w:r>
        <w:rPr>
          <w:rFonts w:ascii="Calibri" w:hAnsi="Calibri"/>
          <w:color w:val="232323"/>
          <w:sz w:val="17"/>
        </w:rPr>
        <w:t xml:space="preserve"> Product BA for Hollywood digital distribution; led client demos driving 15% engagement uplift and 5% revenue increase; designated single point of contact for Sony Pictures account.</w:t>
      </w:r>
    </w:p>
    <w:p>
      <w:pPr>
        <w:spacing w:before="0" w:after="30" w:line="252" w:lineRule="auto"/>
        <w:ind w:left="173"/>
      </w:pPr>
      <w:r>
        <w:rPr>
          <w:rFonts w:ascii="Calibri" w:hAnsi="Calibri"/>
          <w:b/>
          <w:color w:val="232323"/>
          <w:sz w:val="17"/>
        </w:rPr>
        <w:t>•  ReelSwipe Mobile App &amp; Marketing CoE Lead:</w:t>
      </w:r>
      <w:r>
        <w:rPr>
          <w:rFonts w:ascii="Calibri" w:hAnsi="Calibri"/>
          <w:color w:val="232323"/>
          <w:sz w:val="17"/>
        </w:rPr>
        <w:t xml:space="preserve"> Accelerated app delivery by 25% (featured at NAB Show New York); managed 8-member marketing office (29 blogs + 9 whitepapers), winning Capgemini Super Team Award 2021; Scrum Master for Baker Hughes IIoT migration (95% on-time).</w:t>
      </w:r>
    </w:p>
    <w:p>
      <w:pPr>
        <w:keepNext/>
        <w:spacing w:before="100" w:after="40"/>
        <w:pBdr>
          <w:bottom w:val="single" w:sz="6" w:space="1" w:color="0070AD"/>
        </w:pBdr>
      </w:pPr>
      <w:r>
        <w:rPr>
          <w:rFonts w:ascii="Calibri" w:hAnsi="Calibri"/>
          <w:b/>
          <w:color w:val="002D5B"/>
          <w:sz w:val="19"/>
        </w:rPr>
        <w:t>EDUCATION &amp; CREDENTIALS</w:t>
      </w:r>
    </w:p>
    <w:p>
      <w:pPr>
        <w:spacing w:before="0" w:after="30" w:line="252" w:lineRule="auto"/>
        <w:ind w:left="173"/>
      </w:pPr>
      <w:r>
        <w:rPr>
          <w:rFonts w:ascii="Calibri" w:hAnsi="Calibri"/>
          <w:b/>
          <w:color w:val="232323"/>
          <w:sz w:val="17"/>
        </w:rPr>
        <w:t>•  MBA in Strategy &amp; Marketing:</w:t>
      </w:r>
      <w:r>
        <w:rPr>
          <w:rFonts w:ascii="Calibri" w:hAnsi="Calibri"/>
          <w:color w:val="232323"/>
          <w:sz w:val="17"/>
        </w:rPr>
        <w:t xml:space="preserve"> Xavier Institute of Management, Bhubaneswar (XIMB, 2018–2020) — Nestlé Brand Ambassador, Ogilvy Placement</w:t>
      </w:r>
    </w:p>
    <w:p>
      <w:pPr>
        <w:spacing w:before="0" w:after="30" w:line="252" w:lineRule="auto"/>
        <w:ind w:left="173"/>
      </w:pPr>
      <w:r>
        <w:rPr>
          <w:rFonts w:ascii="Calibri" w:hAnsi="Calibri"/>
          <w:b/>
          <w:color w:val="232323"/>
          <w:sz w:val="17"/>
        </w:rPr>
        <w:t>•  B.Tech in Mining Engineering:</w:t>
      </w:r>
      <w:r>
        <w:rPr>
          <w:rFonts w:ascii="Calibri" w:hAnsi="Calibri"/>
          <w:color w:val="232323"/>
          <w:sz w:val="17"/>
        </w:rPr>
        <w:t xml:space="preserve"> National Institute of Technology, Jalandhar (NIT-J, 2013–2017) — Publicity &amp; Sports Secretary, Founder of H7 Studios</w:t>
      </w:r>
    </w:p>
    <w:p>
      <w:pPr>
        <w:spacing w:before="0" w:after="30" w:line="252" w:lineRule="auto"/>
        <w:ind w:left="173"/>
      </w:pPr>
      <w:r>
        <w:rPr>
          <w:rFonts w:ascii="Calibri" w:hAnsi="Calibri"/>
          <w:b/>
          <w:color w:val="232323"/>
          <w:sz w:val="17"/>
        </w:rPr>
        <w:t>•  Verified Certifications (Credly):</w:t>
      </w:r>
      <w:r>
        <w:rPr>
          <w:rFonts w:ascii="Calibri" w:hAnsi="Calibri"/>
          <w:color w:val="232323"/>
          <w:sz w:val="17"/>
        </w:rPr>
        <w:t xml:space="preserve"> Anthropic Claude Certified Architect (Foundations, 2026 - 100% in Agentic Architecture) • AWS Partner: Sales Accredited • 24-Week AI Catalyst Certification (OutSkill, 2024) • AWS Solutions Architect Associate • SAFe 5 POPM • Lean Six Sigma Green Belt (KPMG)</w:t>
      </w:r>
    </w:p>
    <w:sectPr w:rsidR="00FC693F" w:rsidRPr="0006063C" w:rsidSect="00034616">
      <w:pgSz w:w="12240" w:h="15840"/>
      <w:pgMar w:top="720" w:right="792" w:bottom="720" w:left="792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