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80" w:after="120"/>
        <w:jc w:val="left"/>
      </w:pPr>
      <w:r>
        <w:rPr>
          <w:sz w:val="28"/>
        </w:rPr>
        <w:t>Date de Identificare — Dosar Înscricere ONCS 2026</w:t>
      </w:r>
    </w:p>
    <w:p>
      <w:pPr>
        <w:spacing w:after="160"/>
        <w:jc w:val="both"/>
      </w:pPr>
      <w:r>
        <w:rPr>
          <w:rFonts w:ascii="Calibri" w:hAnsi="Calibri"/>
          <w:b w:val="0"/>
          <w:i/>
          <w:sz w:val="18"/>
        </w:rPr>
        <w:t>Anexă nr. 2 — Regulament ONCS 2026 | ⚠  Câmpurile marcate necesită completare înainte de depunere.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W w:w="2551" w:type="dxa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Acronimul proiectului</w:t>
            </w:r>
          </w:p>
        </w:tc>
        <w:tc>
          <w:tcPr>
            <w:tcW w:type="dxa" w:w="4703"/>
            <w:tcW w:w="6237" w:type="dxa"/>
          </w:tcPr>
          <w:p>
            <w:pPr>
              <w:spacing w:after="20"/>
            </w:pPr>
            <w:r>
              <w:rPr>
                <w:rFonts w:ascii="Calibri" w:hAnsi="Calibri"/>
                <w:sz w:val="20"/>
              </w:rPr>
              <w:t>P.O.L.A.R.I.S.</w:t>
            </w:r>
          </w:p>
        </w:tc>
      </w:tr>
      <w:tr>
        <w:tc>
          <w:tcPr>
            <w:tcW w:type="dxa" w:w="4703"/>
            <w:tcW w:w="2551" w:type="dxa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Titlul complet</w:t>
            </w:r>
          </w:p>
        </w:tc>
        <w:tc>
          <w:tcPr>
            <w:tcW w:type="dxa" w:w="4703"/>
            <w:tcW w:w="6237" w:type="dxa"/>
          </w:tcPr>
          <w:p>
            <w:pPr>
              <w:spacing w:after="20"/>
            </w:pPr>
            <w:r>
              <w:rPr>
                <w:rFonts w:ascii="Calibri" w:hAnsi="Calibri"/>
                <w:sz w:val="20"/>
              </w:rPr>
              <w:t>Platformă Orbitală Laser pentru Alimentare şi Recepție Inovativă Solară</w:t>
            </w:r>
          </w:p>
        </w:tc>
      </w:tr>
      <w:tr>
        <w:tc>
          <w:tcPr>
            <w:tcW w:type="dxa" w:w="4703"/>
            <w:tcW w:w="2551" w:type="dxa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Categoria ONCS 2026</w:t>
            </w:r>
          </w:p>
        </w:tc>
        <w:tc>
          <w:tcPr>
            <w:tcW w:type="dxa" w:w="4703"/>
            <w:tcW w:w="6237" w:type="dxa"/>
          </w:tcPr>
          <w:p>
            <w:pPr>
              <w:spacing w:after="20"/>
            </w:pPr>
            <w:r>
              <w:rPr>
                <w:rFonts w:ascii="Calibri" w:hAnsi="Calibri"/>
                <w:sz w:val="20"/>
              </w:rPr>
              <w:t>⚠ De completat</w:t>
            </w:r>
          </w:p>
        </w:tc>
      </w:tr>
      <w:tr>
        <w:tc>
          <w:tcPr>
            <w:tcW w:type="dxa" w:w="4703"/>
            <w:tcW w:w="2551" w:type="dxa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Secțiunea</w:t>
            </w:r>
          </w:p>
        </w:tc>
        <w:tc>
          <w:tcPr>
            <w:tcW w:type="dxa" w:w="4703"/>
            <w:tcW w:w="6237" w:type="dxa"/>
          </w:tcPr>
          <w:p>
            <w:pPr>
              <w:spacing w:after="20"/>
            </w:pPr>
            <w:r>
              <w:rPr>
                <w:rFonts w:ascii="Calibri" w:hAnsi="Calibri"/>
                <w:sz w:val="20"/>
              </w:rPr>
              <w:t>Științe fundamentale</w:t>
            </w:r>
          </w:p>
        </w:tc>
      </w:tr>
      <w:tr>
        <w:tc>
          <w:tcPr>
            <w:tcW w:type="dxa" w:w="4703"/>
            <w:tcW w:w="2551" w:type="dxa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Mentorul echipei</w:t>
            </w:r>
          </w:p>
        </w:tc>
        <w:tc>
          <w:tcPr>
            <w:tcW w:type="dxa" w:w="4703"/>
            <w:tcW w:w="6237" w:type="dxa"/>
          </w:tcPr>
          <w:p>
            <w:pPr>
              <w:spacing w:after="20"/>
            </w:pPr>
            <w:r>
              <w:rPr>
                <w:rFonts w:ascii="Calibri" w:hAnsi="Calibri"/>
                <w:sz w:val="20"/>
              </w:rPr>
              <w:t>Prof. Francisc Dionisie Aaron</w:t>
            </w:r>
          </w:p>
          <w:p>
            <w:pPr>
              <w:spacing w:after="20"/>
            </w:pPr>
            <w:r>
              <w:rPr>
                <w:rFonts w:ascii="Calibri" w:hAnsi="Calibri"/>
                <w:i w:val="0"/>
                <w:sz w:val="19"/>
              </w:rPr>
              <w:t>ICHB — Liceul Teoretic Internațional de Informatică</w:t>
            </w:r>
          </w:p>
          <w:p>
            <w:pPr>
              <w:spacing w:after="20"/>
            </w:pPr>
            <w:r>
              <w:rPr>
                <w:rFonts w:ascii="Calibri" w:hAnsi="Calibri"/>
                <w:i/>
                <w:sz w:val="19"/>
              </w:rPr>
              <w:t>⚠ Nr. telefon: de completat</w:t>
            </w:r>
          </w:p>
        </w:tc>
      </w:tr>
      <w:tr>
        <w:tc>
          <w:tcPr>
            <w:tcW w:type="dxa" w:w="4703"/>
            <w:tcW w:w="2551" w:type="dxa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Elev 1</w:t>
            </w:r>
          </w:p>
        </w:tc>
        <w:tc>
          <w:tcPr>
            <w:tcW w:type="dxa" w:w="4703"/>
            <w:tcW w:w="6237" w:type="dxa"/>
          </w:tcPr>
          <w:p>
            <w:pPr>
              <w:spacing w:after="20"/>
            </w:pPr>
            <w:r>
              <w:rPr>
                <w:rFonts w:ascii="Calibri" w:hAnsi="Calibri"/>
                <w:sz w:val="20"/>
              </w:rPr>
              <w:t>Ioan Cristian CHELARU</w:t>
            </w:r>
          </w:p>
          <w:p>
            <w:pPr>
              <w:spacing w:after="20"/>
            </w:pPr>
            <w:r>
              <w:rPr>
                <w:rFonts w:ascii="Calibri" w:hAnsi="Calibri"/>
                <w:i w:val="0"/>
                <w:sz w:val="19"/>
              </w:rPr>
              <w:t>Clasa a VIII-a | ⚠ Unitate şcolară: de completat</w:t>
            </w:r>
          </w:p>
          <w:p>
            <w:pPr>
              <w:spacing w:after="20"/>
            </w:pPr>
            <w:r>
              <w:rPr>
                <w:rFonts w:ascii="Calibri" w:hAnsi="Calibri"/>
                <w:i w:val="0"/>
                <w:sz w:val="19"/>
              </w:rPr>
              <w:t>Rol: Modelare vizuală, scala Kardashev, rețeaua Star Power Grid, prezentare</w:t>
            </w:r>
          </w:p>
        </w:tc>
      </w:tr>
      <w:tr>
        <w:tc>
          <w:tcPr>
            <w:tcW w:type="dxa" w:w="4703"/>
            <w:tcW w:w="2551" w:type="dxa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Elev 2</w:t>
            </w:r>
          </w:p>
        </w:tc>
        <w:tc>
          <w:tcPr>
            <w:tcW w:type="dxa" w:w="4703"/>
            <w:tcW w:w="6237" w:type="dxa"/>
          </w:tcPr>
          <w:p>
            <w:pPr>
              <w:spacing w:after="20"/>
            </w:pPr>
            <w:r>
              <w:rPr>
                <w:rFonts w:ascii="Calibri" w:hAnsi="Calibri"/>
                <w:sz w:val="20"/>
              </w:rPr>
              <w:t>Albert David OLARIU</w:t>
            </w:r>
          </w:p>
          <w:p>
            <w:pPr>
              <w:spacing w:after="20"/>
            </w:pPr>
            <w:r>
              <w:rPr>
                <w:rFonts w:ascii="Calibri" w:hAnsi="Calibri"/>
                <w:i w:val="0"/>
                <w:sz w:val="19"/>
              </w:rPr>
              <w:t>Clasa a VIII-a | ⚠ Unitate şcolară: de completat</w:t>
            </w:r>
          </w:p>
          <w:p>
            <w:pPr>
              <w:spacing w:after="20"/>
            </w:pPr>
            <w:r>
              <w:rPr>
                <w:rFonts w:ascii="Calibri" w:hAnsi="Calibri"/>
                <w:i w:val="0"/>
                <w:sz w:val="19"/>
              </w:rPr>
              <w:t>Rol: Arhitectură sistem, calcule energetice, supraconductori YBCO, dinamică orbitală</w:t>
            </w:r>
          </w:p>
        </w:tc>
      </w:tr>
      <w:tr>
        <w:tc>
          <w:tcPr>
            <w:tcW w:type="dxa" w:w="4703"/>
            <w:tcW w:w="2551" w:type="dxa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Colaborator 1</w:t>
            </w:r>
          </w:p>
        </w:tc>
        <w:tc>
          <w:tcPr>
            <w:tcW w:type="dxa" w:w="4703"/>
            <w:tcW w:w="6237" w:type="dxa"/>
          </w:tcPr>
          <w:p>
            <w:pPr>
              <w:spacing w:after="20"/>
            </w:pPr>
            <w:r>
              <w:rPr>
                <w:rFonts w:ascii="Calibri" w:hAnsi="Calibri"/>
                <w:sz w:val="20"/>
              </w:rPr>
              <w:t>Daniel-Justinian ZELENSCHI</w:t>
            </w:r>
          </w:p>
          <w:p>
            <w:pPr>
              <w:spacing w:after="20"/>
            </w:pPr>
            <w:r>
              <w:rPr>
                <w:rFonts w:ascii="Calibri" w:hAnsi="Calibri"/>
                <w:i w:val="0"/>
                <w:sz w:val="19"/>
              </w:rPr>
              <w:t>Ing. chimic (UCL + Melbourne) • PhD(c) AI • NASA Ames Research Center</w:t>
            </w:r>
          </w:p>
          <w:p>
            <w:pPr>
              <w:spacing w:after="20"/>
            </w:pPr>
            <w:r>
              <w:rPr>
                <w:rFonts w:ascii="Calibri" w:hAnsi="Calibri"/>
                <w:i w:val="0"/>
                <w:sz w:val="19"/>
              </w:rPr>
              <w:t>Space Settlement Contest — Premiul II</w:t>
            </w:r>
          </w:p>
        </w:tc>
      </w:tr>
      <w:tr>
        <w:tc>
          <w:tcPr>
            <w:tcW w:type="dxa" w:w="4703"/>
            <w:tcW w:w="2551" w:type="dxa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Colaborator 2</w:t>
            </w:r>
          </w:p>
        </w:tc>
        <w:tc>
          <w:tcPr>
            <w:tcW w:type="dxa" w:w="4703"/>
            <w:tcW w:w="6237" w:type="dxa"/>
          </w:tcPr>
          <w:p>
            <w:pPr>
              <w:spacing w:after="20"/>
            </w:pPr>
            <w:r>
              <w:rPr>
                <w:rFonts w:ascii="Calibri" w:hAnsi="Calibri"/>
                <w:sz w:val="20"/>
              </w:rPr>
              <w:t>Carlo Emilio MONTANARI</w:t>
            </w:r>
          </w:p>
          <w:p>
            <w:pPr>
              <w:spacing w:after="20"/>
            </w:pPr>
            <w:r>
              <w:rPr>
                <w:rFonts w:ascii="Calibri" w:hAnsi="Calibri"/>
                <w:i w:val="0"/>
                <w:sz w:val="19"/>
              </w:rPr>
              <w:t>Fizician aplicat • Doctorand Dinamica Fasciculelor, CERN / Univ. Bologna</w:t>
            </w:r>
          </w:p>
          <w:p>
            <w:pPr>
              <w:spacing w:after="20"/>
            </w:pPr>
            <w:r>
              <w:rPr>
                <w:rFonts w:ascii="Calibri" w:hAnsi="Calibri"/>
                <w:i w:val="0"/>
                <w:sz w:val="19"/>
              </w:rPr>
              <w:t>Consultanță: dinamica fasciculelor de înaltă precizie (LHC → POLARIS)</w:t>
            </w:r>
          </w:p>
        </w:tc>
      </w:tr>
      <w:tr>
        <w:tc>
          <w:tcPr>
            <w:tcW w:type="dxa" w:w="4703"/>
            <w:tcW w:w="2551" w:type="dxa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Coordonator ştiințific</w:t>
            </w:r>
          </w:p>
        </w:tc>
        <w:tc>
          <w:tcPr>
            <w:tcW w:type="dxa" w:w="4703"/>
            <w:tcW w:w="6237" w:type="dxa"/>
          </w:tcPr>
          <w:p>
            <w:pPr>
              <w:spacing w:after="20"/>
            </w:pPr>
            <w:r>
              <w:rPr>
                <w:rFonts w:ascii="Calibri" w:hAnsi="Calibri"/>
                <w:sz w:val="20"/>
              </w:rPr>
              <w:t>Prof. Francisc Dionisie Aaron</w:t>
            </w:r>
          </w:p>
          <w:p>
            <w:pPr>
              <w:spacing w:after="20"/>
            </w:pPr>
            <w:r>
              <w:rPr>
                <w:rFonts w:ascii="Calibri" w:hAnsi="Calibri"/>
                <w:i w:val="0"/>
                <w:sz w:val="19"/>
              </w:rPr>
              <w:t>ICHB — Liceul Teoretic Internațional de Informatică</w:t>
            </w:r>
          </w:p>
        </w:tc>
      </w:tr>
    </w:tbl>
    <w:p/>
    <w:p>
      <w:pPr>
        <w:spacing w:after="40"/>
        <w:jc w:val="both"/>
      </w:pPr>
      <w:r>
        <w:rPr>
          <w:rFonts w:ascii="Calibri" w:hAnsi="Calibri"/>
          <w:b w:val="0"/>
          <w:i/>
          <w:sz w:val="18"/>
        </w:rPr>
        <w:t>Notă: Completarea datelor se va face cu denumiri corecte, cu diacritice, fără prescrurtări. Documentul se va transmite în format editabil şi scanat.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