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P.O.L.A.R.I.S.</w:t>
      </w:r>
    </w:p>
    <w:p>
      <w:pPr>
        <w:jc w:val="center"/>
      </w:pPr>
      <w:r>
        <w:rPr>
          <w:i/>
          <w:sz w:val="24"/>
        </w:rPr>
        <w:t>Polar Orbital Laser Architecture for Renewable Interconnected Solar-power</w:t>
      </w:r>
    </w:p>
    <w:p/>
    <w:p>
      <w:pPr>
        <w:jc w:val="center"/>
      </w:pPr>
      <w:r>
        <w:rPr>
          <w:sz w:val="18"/>
        </w:rPr>
        <w:t>────────────────────────────────────────────────────────────</w:t>
      </w:r>
    </w:p>
    <w:p/>
    <w:p>
      <w:pPr>
        <w:jc w:val="center"/>
      </w:pPr>
      <w:r>
        <w:rPr>
          <w:b/>
          <w:sz w:val="26"/>
        </w:rPr>
        <w:t>Olimpiada Națională de Cercetare Științifică — ONCS 2026</w:t>
      </w:r>
    </w:p>
    <w:p>
      <w:pPr>
        <w:jc w:val="center"/>
      </w:pPr>
      <w:r>
        <w:rPr>
          <w:sz w:val="22"/>
        </w:rPr>
        <w:t>Secțiunea A — Științe Exacte</w:t>
      </w:r>
    </w:p>
    <w:p/>
    <w:p/>
    <w:p>
      <w:pPr>
        <w:jc w:val="center"/>
      </w:pPr>
      <w:r>
        <w:rPr>
          <w:b/>
          <w:sz w:val="24"/>
        </w:rPr>
        <w:t>Ioan Cristian CHELARU  ·  Albert David OLARIU</w:t>
      </w:r>
    </w:p>
    <w:p>
      <w:pPr>
        <w:jc w:val="center"/>
      </w:pPr>
      <w:r>
        <w:rPr>
          <w:sz w:val="20"/>
        </w:rPr>
        <w:t>Coordonator: Prof. Aaron FRANCISC</w:t>
        <w:br/>
        <w:t>ICHB — Liceul Teoretic Internațional de Informatică București</w:t>
      </w:r>
    </w:p>
    <w:p/>
    <w:p/>
    <w:p/>
    <w:p>
      <w:pPr>
        <w:jc w:val="center"/>
      </w:pPr>
      <w:r>
        <w:rPr>
          <w:b/>
          <w:sz w:val="22"/>
        </w:rPr>
        <w:t>Aprilie 2026</w:t>
      </w:r>
    </w:p>
    <w:p>
      <w:r>
        <w:br w:type="page"/>
      </w:r>
    </w:p>
    <w:p>
      <w:pPr>
        <w:pStyle w:val="Heading1"/>
        <w:spacing w:after="240"/>
        <w:jc w:val="center"/>
      </w:pPr>
      <w:r>
        <w:t>CUPRINS</w:t>
      </w:r>
    </w:p>
    <w:p>
      <w:pPr>
        <w:spacing w:after="40"/>
        <w:ind w:left="0"/>
      </w:pPr>
      <w:r>
        <w:rPr>
          <w:b/>
          <w:sz w:val="22"/>
        </w:rPr>
        <w:t>1.  Date de identificare</w:t>
      </w:r>
    </w:p>
    <w:p>
      <w:pPr>
        <w:spacing w:after="40"/>
        <w:ind w:left="0"/>
      </w:pPr>
      <w:r>
        <w:rPr>
          <w:b/>
          <w:sz w:val="22"/>
        </w:rPr>
        <w:t>2.  Rezumat proiect (max. 250 cuvinte)</w:t>
      </w:r>
    </w:p>
    <w:p>
      <w:pPr>
        <w:spacing w:after="40"/>
        <w:ind w:left="0"/>
      </w:pPr>
      <w:r>
        <w:rPr>
          <w:b/>
          <w:sz w:val="22"/>
        </w:rPr>
        <w:t>3.  Descrierea detaliată a proiectului</w:t>
      </w:r>
    </w:p>
    <w:p>
      <w:pPr>
        <w:spacing w:after="40"/>
        <w:ind w:left="432"/>
      </w:pPr>
      <w:r>
        <w:rPr>
          <w:b w:val="0"/>
          <w:sz w:val="20"/>
        </w:rPr>
        <w:t>3.1.  Scop</w:t>
      </w:r>
    </w:p>
    <w:p>
      <w:pPr>
        <w:spacing w:after="40"/>
        <w:ind w:left="432"/>
      </w:pPr>
      <w:r>
        <w:rPr>
          <w:b w:val="0"/>
          <w:sz w:val="20"/>
        </w:rPr>
        <w:t>3.2.  Obiective</w:t>
      </w:r>
    </w:p>
    <w:p>
      <w:pPr>
        <w:spacing w:after="40"/>
        <w:ind w:left="432"/>
      </w:pPr>
      <w:r>
        <w:rPr>
          <w:b w:val="0"/>
          <w:sz w:val="20"/>
        </w:rPr>
        <w:t>3.3.  Problema identificată și stadiul actual în domeniu</w:t>
      </w:r>
    </w:p>
    <w:p>
      <w:pPr>
        <w:spacing w:after="40"/>
        <w:ind w:left="432"/>
      </w:pPr>
      <w:r>
        <w:rPr>
          <w:b w:val="0"/>
          <w:sz w:val="20"/>
        </w:rPr>
        <w:t>3.4.  Etape parcurse</w:t>
      </w:r>
    </w:p>
    <w:p>
      <w:pPr>
        <w:spacing w:after="40"/>
        <w:ind w:left="432"/>
      </w:pPr>
      <w:r>
        <w:rPr>
          <w:b w:val="0"/>
          <w:sz w:val="20"/>
        </w:rPr>
        <w:t>3.5.  Metode folosite</w:t>
      </w:r>
    </w:p>
    <w:p>
      <w:pPr>
        <w:spacing w:after="40"/>
        <w:ind w:left="432"/>
      </w:pPr>
      <w:r>
        <w:rPr>
          <w:b w:val="0"/>
          <w:sz w:val="20"/>
        </w:rPr>
        <w:t>3.6.  Date experimentale și calcule</w:t>
      </w:r>
    </w:p>
    <w:p>
      <w:pPr>
        <w:spacing w:after="40"/>
        <w:ind w:left="432"/>
      </w:pPr>
      <w:r>
        <w:rPr>
          <w:b w:val="0"/>
          <w:sz w:val="20"/>
        </w:rPr>
        <w:t>3.7.  Concluzii</w:t>
      </w:r>
    </w:p>
    <w:p>
      <w:pPr>
        <w:spacing w:after="40"/>
        <w:ind w:left="432"/>
      </w:pPr>
      <w:r>
        <w:rPr>
          <w:b w:val="0"/>
          <w:sz w:val="20"/>
        </w:rPr>
        <w:t>3.8.  Bibliografie</w:t>
      </w:r>
    </w:p>
    <w:p>
      <w:pPr>
        <w:spacing w:after="40"/>
        <w:ind w:left="432"/>
      </w:pPr>
      <w:r>
        <w:rPr>
          <w:b w:val="0"/>
          <w:sz w:val="20"/>
        </w:rPr>
        <w:t>3.9.  Anexe</w:t>
      </w:r>
    </w:p>
    <w:p>
      <w:r>
        <w:br w:type="page"/>
      </w:r>
    </w:p>
    <w:p>
      <w:pPr>
        <w:pStyle w:val="Heading1"/>
        <w:spacing w:before="0" w:after="160"/>
      </w:pPr>
      <w:r>
        <w:t>1. Date de identificare</w:t>
      </w:r>
    </w:p>
    <w:tbl>
      <w:tblPr>
        <w:tblStyle w:val="TableGrid"/>
        <w:tblW w:type="auto" w:w="0"/>
        <w:tblLook w:firstColumn="1" w:firstRow="1" w:lastColumn="0" w:lastRow="0" w:noHBand="0" w:noVBand="1" w:val="04A0"/>
      </w:tblPr>
      <w:tblGrid>
        <w:gridCol w:w="4421"/>
        <w:gridCol w:w="4421"/>
      </w:tblGrid>
      <w:tr>
        <w:tc>
          <w:tcPr>
            <w:tcW w:type="dxa" w:w="4421"/>
            <w:tcW w:w="2592" w:type="dxa"/>
          </w:tcPr>
          <w:p>
            <w:r>
              <w:rPr>
                <w:b/>
                <w:sz w:val="20"/>
              </w:rPr>
              <w:t>Acronimul proiectului</w:t>
            </w:r>
          </w:p>
        </w:tc>
        <w:tc>
          <w:tcPr>
            <w:tcW w:type="dxa" w:w="4421"/>
            <w:tcW w:w="7488" w:type="dxa"/>
          </w:tcPr>
          <w:p>
            <w:r>
              <w:rPr>
                <w:sz w:val="20"/>
              </w:rPr>
              <w:t>P.O.L.A.R.I.S.</w:t>
              <w:br/>
              <w:t>(Polar Orbital Laser Architecture for Renewable Interconnected Solar-power)</w:t>
            </w:r>
          </w:p>
        </w:tc>
      </w:tr>
      <w:tr>
        <w:tc>
          <w:tcPr>
            <w:tcW w:type="dxa" w:w="4421"/>
            <w:tcW w:w="2592" w:type="dxa"/>
          </w:tcPr>
          <w:p>
            <w:r>
              <w:rPr>
                <w:b/>
                <w:sz w:val="20"/>
              </w:rPr>
              <w:t>Categorie</w:t>
            </w:r>
          </w:p>
        </w:tc>
        <w:tc>
          <w:tcPr>
            <w:tcW w:type="dxa" w:w="4421"/>
            <w:tcW w:w="7488" w:type="dxa"/>
          </w:tcPr>
          <w:p>
            <w:r>
              <w:rPr>
                <w:sz w:val="20"/>
              </w:rPr>
              <w:t>[De completat conform categoriei ONCS 2026]</w:t>
            </w:r>
          </w:p>
        </w:tc>
      </w:tr>
      <w:tr>
        <w:tc>
          <w:tcPr>
            <w:tcW w:type="dxa" w:w="4421"/>
            <w:tcW w:w="2592" w:type="dxa"/>
          </w:tcPr>
          <w:p>
            <w:r>
              <w:rPr>
                <w:b/>
                <w:sz w:val="20"/>
              </w:rPr>
              <w:t>Secțiune</w:t>
            </w:r>
          </w:p>
        </w:tc>
        <w:tc>
          <w:tcPr>
            <w:tcW w:type="dxa" w:w="4421"/>
            <w:tcW w:w="7488" w:type="dxa"/>
          </w:tcPr>
          <w:p>
            <w:r>
              <w:rPr>
                <w:sz w:val="20"/>
              </w:rPr>
              <w:t>Secțiunea A — Științe Exacte</w:t>
            </w:r>
          </w:p>
        </w:tc>
      </w:tr>
      <w:tr>
        <w:tc>
          <w:tcPr>
            <w:tcW w:type="dxa" w:w="4421"/>
            <w:tcW w:w="2592" w:type="dxa"/>
          </w:tcPr>
          <w:p>
            <w:r>
              <w:rPr>
                <w:b/>
                <w:sz w:val="20"/>
              </w:rPr>
              <w:t>Mentorul echipei</w:t>
            </w:r>
          </w:p>
        </w:tc>
        <w:tc>
          <w:tcPr>
            <w:tcW w:type="dxa" w:w="4421"/>
            <w:tcW w:w="7488" w:type="dxa"/>
          </w:tcPr>
          <w:p>
            <w:r>
              <w:rPr>
                <w:sz w:val="20"/>
              </w:rPr>
              <w:t>Prof. Aaron FRANCISC</w:t>
              <w:br/>
              <w:t>ICHB — Liceul Teoretic Internațional de Informatică București</w:t>
              <w:br/>
              <w:t>Tel.: [De completat]</w:t>
            </w:r>
          </w:p>
        </w:tc>
      </w:tr>
      <w:tr>
        <w:tc>
          <w:tcPr>
            <w:tcW w:type="dxa" w:w="4421"/>
            <w:tcW w:w="2592" w:type="dxa"/>
          </w:tcPr>
          <w:p>
            <w:r>
              <w:rPr>
                <w:b/>
                <w:sz w:val="20"/>
              </w:rPr>
              <w:t>Elev 1 — Ioan Cristian CHELARU</w:t>
            </w:r>
          </w:p>
        </w:tc>
        <w:tc>
          <w:tcPr>
            <w:tcW w:type="dxa" w:w="4421"/>
            <w:tcW w:w="7488" w:type="dxa"/>
          </w:tcPr>
          <w:p>
            <w:r>
              <w:rPr>
                <w:sz w:val="20"/>
              </w:rPr>
              <w:t>Clasa: [De completat] · Unitatea școlară: ICHB</w:t>
              <w:br/>
              <w:t>Rol: Modelare vizuală, scala Kardashev, rețeaua Star Power Grid, prezentare multimedia</w:t>
            </w:r>
          </w:p>
        </w:tc>
      </w:tr>
      <w:tr>
        <w:tc>
          <w:tcPr>
            <w:tcW w:type="dxa" w:w="4421"/>
            <w:tcW w:w="2592" w:type="dxa"/>
          </w:tcPr>
          <w:p>
            <w:r>
              <w:rPr>
                <w:b/>
                <w:sz w:val="20"/>
              </w:rPr>
              <w:t>Elev 2 — Albert David OLARIU</w:t>
            </w:r>
          </w:p>
        </w:tc>
        <w:tc>
          <w:tcPr>
            <w:tcW w:type="dxa" w:w="4421"/>
            <w:tcW w:w="7488" w:type="dxa"/>
          </w:tcPr>
          <w:p>
            <w:r>
              <w:rPr>
                <w:sz w:val="20"/>
              </w:rPr>
              <w:t>Clasa: [De completat] · Unitatea școlară: ICHB</w:t>
              <w:br/>
              <w:t>Rol: Arhitectura sistem, calcule energetice, supraconductori YBCO, dinamică orbitală</w:t>
            </w:r>
          </w:p>
        </w:tc>
      </w:tr>
      <w:tr>
        <w:tc>
          <w:tcPr>
            <w:tcW w:type="dxa" w:w="4421"/>
            <w:tcW w:w="2592" w:type="dxa"/>
          </w:tcPr>
          <w:p>
            <w:r>
              <w:rPr>
                <w:b/>
                <w:sz w:val="20"/>
              </w:rPr>
              <w:t>Colaboratori</w:t>
            </w:r>
          </w:p>
        </w:tc>
        <w:tc>
          <w:tcPr>
            <w:tcW w:type="dxa" w:w="4421"/>
            <w:tcW w:w="7488" w:type="dxa"/>
          </w:tcPr>
          <w:p>
            <w:r>
              <w:rPr>
                <w:sz w:val="20"/>
              </w:rPr>
              <w:t>Daniel-Justinian ZELENSCHI — Ing. chimic (UCL + Melbourne), PhD(c) AI, NASA Ames Research Center; Space Settlement Contest — Premiul II</w:t>
              <w:br/>
              <w:t>Carlo Emilio MONTANARI — Fizician aplicat, Doctorand Dinamica Fasciculelor, CERN / Univ. Bologna; consultanță: dinamica fasciculelor laser de înaltă precizie</w:t>
            </w:r>
          </w:p>
        </w:tc>
      </w:tr>
    </w:tbl>
    <w:p/>
    <w:p>
      <w:pPr>
        <w:spacing w:after="80"/>
      </w:pPr>
      <w:r>
        <w:rPr>
          <w:b w:val="0"/>
          <w:i/>
          <w:color w:val="AA4400"/>
          <w:sz w:val="18"/>
        </w:rPr>
        <w:t>Notă: Câmpurile marcate [De completat] trebuie completate de mentor înainte de depunere.</w:t>
      </w:r>
    </w:p>
    <w:p>
      <w:r>
        <w:br w:type="page"/>
      </w:r>
    </w:p>
    <w:p>
      <w:pPr>
        <w:pStyle w:val="Heading1"/>
        <w:spacing w:before="0" w:after="120"/>
      </w:pPr>
      <w:r>
        <w:t>2. Rezumat proiect</w:t>
      </w:r>
    </w:p>
    <w:p>
      <w:pPr>
        <w:spacing w:after="200"/>
      </w:pPr>
      <w:r>
        <w:rPr>
          <w:b w:val="0"/>
          <w:i/>
          <w:color w:val="555599"/>
          <w:sz w:val="18"/>
        </w:rPr>
        <w:t>Cerință Regulament: maximum 250 de cuvinte.</w:t>
      </w:r>
    </w:p>
    <w:p>
      <w:pPr>
        <w:pStyle w:val="Heading2"/>
        <w:spacing w:before="80" w:after="80"/>
      </w:pPr>
      <w:r>
        <w:t>Varianta A — redactată de echipă (de selectat sau modificat)</w:t>
      </w:r>
    </w:p>
    <w:p>
      <w:pPr>
        <w:spacing w:after="80"/>
        <w:ind w:firstLine="432"/>
      </w:pPr>
      <w:r>
        <w:rPr>
          <w:sz w:val="22"/>
        </w:rPr>
        <w:t>Proiectul propune un model teoretic al unui Sistem Energetic Spațial (SES) capabil să capteze energia solară în proximitatea Soarelui și să o transmită pe Pământ. Sistemul utilizează un Dyson swarm de 30 de oglinzi orbitale de 1 km diametru fiecare, plasate la aproximativ 7 milioane km de Soare, care reflectă radiația solară către patru sateliți colectori. Aceștia transformă lumina în fascicule laser cu randament de 43%, direcționate către noduri energetice amplasate în punctele Lagrange L4 și L5. Centralele orbitale polare, susținute la altitudini de ~30 km prin baloane cu heliu, convertesc energia laser în electricitate și o transmit la sol prin cabluri supraconductoare YBCO, fiecare capabil de 800 GW, rezultând o putere totală de ~1,6 TW. Proiectul examinează fezabilitatea fizică a acestei infrastructuri, incluzând calculul fluxului energetic, limitările impuse de densitatea de curent a cablurilor YBCO și flotabilitatea baloanelor. De asemenea, propune extensia vizionară „Star Power Grid”, o rețea orbitală de microunde pentru alimentarea regiunilor izolate. Analiza arată că, chiar cu pierderile de conversie și limitările tehnologice actuale, sistemul poate furniza aproape jumătate din necesarul global de energie electrică, respectând legile fundamentale ale fizicii. Proiectul combină fizica clasică, supraconductivitatea, criogenia, ingineria orbitală și power beaming, oferind o viziune interdisciplinară pentru viitorul energiei spațiale, cu relevanță educațională și științifică.</w:t>
      </w:r>
    </w:p>
    <w:p>
      <w:pPr>
        <w:spacing w:after="240"/>
      </w:pPr>
      <w:r>
        <w:rPr>
          <w:i/>
          <w:color w:val="338833"/>
          <w:sz w:val="18"/>
        </w:rPr>
        <w:t>[208 cuvinte — limita: 250]</w:t>
      </w:r>
    </w:p>
    <w:p>
      <w:pPr>
        <w:pStyle w:val="Heading2"/>
        <w:spacing w:before="80" w:after="80"/>
      </w:pPr>
      <w:r>
        <w:t>Varianta B — propusă de asistentul de cercetare</w:t>
      </w:r>
    </w:p>
    <w:p>
      <w:pPr>
        <w:spacing w:after="100"/>
        <w:ind w:firstLine="432"/>
      </w:pPr>
      <w:r>
        <w:rPr>
          <w:sz w:val="22"/>
        </w:rPr>
        <w:t>P.O.L.A.R.I.S. propune un model teoretic pentru un Sistem Energetic Spațial (SES) capabil să capteze energia solară în vecinătatea Soarelui și să o livreze la rețelele terestre, eliminând cele două limitări fundamentale ale energiei solare clasice: atenuarea atmosferică și ciclul zi–noapte.</w:t>
      </w:r>
    </w:p>
    <w:p>
      <w:pPr>
        <w:spacing w:after="100"/>
        <w:ind w:firstLine="432"/>
      </w:pPr>
      <w:r>
        <w:rPr>
          <w:sz w:val="22"/>
        </w:rPr>
        <w:t>Arhitectura sistemului se articulează în patru componente interconectate: (1) un Dyson swarm de 30 de oglinzi orbitale cu diametrul de 1 km, amplasate la ~7 milioane km de Soare; (2) patru sateliți colectori ce convertesc radiația în fascicule laser cu randament de 43%; (3) noduri energetice în punctele Lagrange L4 și L5 ale sistemului Soare–Pământ; (4) două centrale orbitale polare susținute la ~30 km altitudine prin baloane cu heliu, conectate la sol prin cabluri supraconductoare YBCO de 800 GW fiecare. Puterea totală livrată este de ~1,6 TW — echivalentul a circa 45% din consumul electric global actual.</w:t>
      </w:r>
    </w:p>
    <w:p>
      <w:pPr>
        <w:spacing w:after="100"/>
        <w:ind w:firstLine="432"/>
      </w:pPr>
      <w:r>
        <w:rPr>
          <w:sz w:val="22"/>
        </w:rPr>
        <w:t>Proiectul demonstrează coerența fizică a lanțului energetic, cuantifică pierderile la fiecare etapă de conversie și analizează limitele tehnologice actuale: densitatea de curent YBCO, cerințele criogenice și flotabilitatea baloanelor (~11 tone per centrală). Este introdusă și extensia „Star Power Grid” — o rețea orbitală de microunde care ancorează P.O.L.A.R.I.S. în contextul tranziției Kardashev de la civilizația de tip 0 la tip I.</w:t>
      </w:r>
    </w:p>
    <w:p>
      <w:pPr>
        <w:spacing w:after="100"/>
        <w:ind w:firstLine="432"/>
      </w:pPr>
      <w:r>
        <w:rPr>
          <w:sz w:val="22"/>
        </w:rPr>
        <w:t>Lucrarea combină fizica clasică, supraconductivitatea, ingineria orbitală și power beaming într-un cadru interdisciplinar care distinge riguros între „posibil fizic” și „posibil tehnologic”.</w:t>
      </w:r>
    </w:p>
    <w:p>
      <w:pPr>
        <w:spacing w:after="240"/>
      </w:pPr>
      <w:r>
        <w:rPr>
          <w:i/>
          <w:color w:val="338833"/>
          <w:sz w:val="18"/>
        </w:rPr>
        <w:t>[220 cuvinte — limita: 250]</w:t>
      </w:r>
    </w:p>
    <w:p>
      <w:pPr>
        <w:pStyle w:val="Heading2"/>
        <w:spacing w:before="80" w:after="120"/>
      </w:pPr>
      <w:r>
        <w:t>Comparație variante — criterii de selecție</w:t>
      </w:r>
    </w:p>
    <w:tbl>
      <w:tblPr>
        <w:tblStyle w:val="TableGrid"/>
        <w:tblW w:type="auto" w:w="0"/>
        <w:tblLook w:firstColumn="1" w:firstRow="1" w:lastColumn="0" w:lastRow="0" w:noHBand="0" w:noVBand="1" w:val="04A0"/>
      </w:tblPr>
      <w:tblGrid>
        <w:gridCol w:w="2947"/>
        <w:gridCol w:w="2947"/>
        <w:gridCol w:w="2947"/>
      </w:tblGrid>
      <w:tr>
        <w:tc>
          <w:tcPr>
            <w:tcW w:type="dxa" w:w="2947"/>
            <w:tcW w:w="2592" w:type="dxa"/>
          </w:tcPr>
          <w:p>
            <w:r>
              <w:rPr>
                <w:b/>
                <w:sz w:val="18"/>
              </w:rPr>
              <w:t>Criteriu</w:t>
            </w:r>
          </w:p>
        </w:tc>
        <w:tc>
          <w:tcPr>
            <w:tcW w:type="dxa" w:w="2947"/>
            <w:tcW w:w="3888" w:type="dxa"/>
          </w:tcPr>
          <w:p>
            <w:r>
              <w:rPr>
                <w:b/>
                <w:sz w:val="18"/>
              </w:rPr>
              <w:t>Varianta A (echipă)</w:t>
            </w:r>
          </w:p>
        </w:tc>
        <w:tc>
          <w:tcPr>
            <w:tcW w:type="dxa" w:w="2947"/>
            <w:tcW w:w="3888" w:type="dxa"/>
          </w:tcPr>
          <w:p>
            <w:r>
              <w:rPr>
                <w:b/>
                <w:sz w:val="18"/>
              </w:rPr>
              <w:t>Varianta B (asistent)</w:t>
            </w:r>
          </w:p>
        </w:tc>
      </w:tr>
      <w:tr>
        <w:tc>
          <w:tcPr>
            <w:tcW w:type="dxa" w:w="2947"/>
            <w:tcW w:w="2592" w:type="dxa"/>
          </w:tcPr>
          <w:p>
            <w:r>
              <w:rPr>
                <w:b w:val="0"/>
                <w:sz w:val="18"/>
              </w:rPr>
              <w:t>Ton</w:t>
            </w:r>
          </w:p>
        </w:tc>
        <w:tc>
          <w:tcPr>
            <w:tcW w:type="dxa" w:w="2947"/>
            <w:tcW w:w="3888" w:type="dxa"/>
          </w:tcPr>
          <w:p>
            <w:r>
              <w:rPr>
                <w:b w:val="0"/>
                <w:sz w:val="18"/>
              </w:rPr>
              <w:t>Tehnic, dens, narativ</w:t>
            </w:r>
          </w:p>
        </w:tc>
        <w:tc>
          <w:tcPr>
            <w:tcW w:type="dxa" w:w="2947"/>
            <w:tcW w:w="3888" w:type="dxa"/>
          </w:tcPr>
          <w:p>
            <w:r>
              <w:rPr>
                <w:b w:val="0"/>
                <w:sz w:val="18"/>
              </w:rPr>
              <w:t>Structurat, concis, cu enumerare</w:t>
            </w:r>
          </w:p>
        </w:tc>
      </w:tr>
      <w:tr>
        <w:tc>
          <w:tcPr>
            <w:tcW w:type="dxa" w:w="2947"/>
            <w:tcW w:w="2592" w:type="dxa"/>
          </w:tcPr>
          <w:p>
            <w:r>
              <w:rPr>
                <w:b w:val="0"/>
                <w:sz w:val="18"/>
              </w:rPr>
              <w:t>Structură</w:t>
            </w:r>
          </w:p>
        </w:tc>
        <w:tc>
          <w:tcPr>
            <w:tcW w:type="dxa" w:w="2947"/>
            <w:tcW w:w="3888" w:type="dxa"/>
          </w:tcPr>
          <w:p>
            <w:r>
              <w:rPr>
                <w:b w:val="0"/>
                <w:sz w:val="18"/>
              </w:rPr>
              <w:t>Paragraf unic curgător</w:t>
            </w:r>
          </w:p>
        </w:tc>
        <w:tc>
          <w:tcPr>
            <w:tcW w:type="dxa" w:w="2947"/>
            <w:tcW w:w="3888" w:type="dxa"/>
          </w:tcPr>
          <w:p>
            <w:r>
              <w:rPr>
                <w:b w:val="0"/>
                <w:sz w:val="18"/>
              </w:rPr>
              <w:t>4 paragrafe logice distincte</w:t>
            </w:r>
          </w:p>
        </w:tc>
      </w:tr>
      <w:tr>
        <w:tc>
          <w:tcPr>
            <w:tcW w:type="dxa" w:w="2947"/>
            <w:tcW w:w="2592" w:type="dxa"/>
          </w:tcPr>
          <w:p>
            <w:r>
              <w:rPr>
                <w:b w:val="0"/>
                <w:sz w:val="18"/>
              </w:rPr>
              <w:t>Cifre cheie</w:t>
            </w:r>
          </w:p>
        </w:tc>
        <w:tc>
          <w:tcPr>
            <w:tcW w:type="dxa" w:w="2947"/>
            <w:tcW w:w="3888" w:type="dxa"/>
          </w:tcPr>
          <w:p>
            <w:r>
              <w:rPr>
                <w:b w:val="0"/>
                <w:sz w:val="18"/>
              </w:rPr>
              <w:t>43%, 800 GW, 1,6 TW</w:t>
            </w:r>
          </w:p>
        </w:tc>
        <w:tc>
          <w:tcPr>
            <w:tcW w:type="dxa" w:w="2947"/>
            <w:tcW w:w="3888" w:type="dxa"/>
          </w:tcPr>
          <w:p>
            <w:r>
              <w:rPr>
                <w:b w:val="0"/>
                <w:sz w:val="18"/>
              </w:rPr>
              <w:t>43%, 800 GW, 1,6 TW, 45% global</w:t>
            </w:r>
          </w:p>
        </w:tc>
      </w:tr>
      <w:tr>
        <w:tc>
          <w:tcPr>
            <w:tcW w:type="dxa" w:w="2947"/>
            <w:tcW w:w="2592" w:type="dxa"/>
          </w:tcPr>
          <w:p>
            <w:r>
              <w:rPr>
                <w:b w:val="0"/>
                <w:sz w:val="18"/>
              </w:rPr>
              <w:t>Star Power Grid</w:t>
            </w:r>
          </w:p>
        </w:tc>
        <w:tc>
          <w:tcPr>
            <w:tcW w:type="dxa" w:w="2947"/>
            <w:tcW w:w="3888" w:type="dxa"/>
          </w:tcPr>
          <w:p>
            <w:r>
              <w:rPr>
                <w:b w:val="0"/>
                <w:sz w:val="18"/>
              </w:rPr>
              <w:t>Menționat, explicat</w:t>
            </w:r>
          </w:p>
        </w:tc>
        <w:tc>
          <w:tcPr>
            <w:tcW w:type="dxa" w:w="2947"/>
            <w:tcW w:w="3888" w:type="dxa"/>
          </w:tcPr>
          <w:p>
            <w:r>
              <w:rPr>
                <w:b w:val="0"/>
                <w:sz w:val="18"/>
              </w:rPr>
              <w:t>Legat explicit de Scala Kardashev</w:t>
            </w:r>
          </w:p>
        </w:tc>
      </w:tr>
      <w:tr>
        <w:tc>
          <w:tcPr>
            <w:tcW w:type="dxa" w:w="2947"/>
            <w:tcW w:w="2592" w:type="dxa"/>
          </w:tcPr>
          <w:p>
            <w:r>
              <w:rPr>
                <w:b w:val="0"/>
                <w:sz w:val="18"/>
              </w:rPr>
              <w:t>Interdisciplinaritate</w:t>
            </w:r>
          </w:p>
        </w:tc>
        <w:tc>
          <w:tcPr>
            <w:tcW w:type="dxa" w:w="2947"/>
            <w:tcW w:w="3888" w:type="dxa"/>
          </w:tcPr>
          <w:p>
            <w:r>
              <w:rPr>
                <w:b w:val="0"/>
                <w:sz w:val="18"/>
              </w:rPr>
              <w:t>Menționată la final</w:t>
            </w:r>
          </w:p>
        </w:tc>
        <w:tc>
          <w:tcPr>
            <w:tcW w:type="dxa" w:w="2947"/>
            <w:tcW w:w="3888" w:type="dxa"/>
          </w:tcPr>
          <w:p>
            <w:r>
              <w:rPr>
                <w:b w:val="0"/>
                <w:sz w:val="18"/>
              </w:rPr>
              <w:t>Integrată pe tot parcursul</w:t>
            </w:r>
          </w:p>
        </w:tc>
      </w:tr>
      <w:tr>
        <w:tc>
          <w:tcPr>
            <w:tcW w:type="dxa" w:w="2947"/>
            <w:tcW w:w="2592" w:type="dxa"/>
          </w:tcPr>
          <w:p>
            <w:r>
              <w:rPr>
                <w:b w:val="0"/>
                <w:sz w:val="18"/>
              </w:rPr>
              <w:t>Nr. cuvinte</w:t>
            </w:r>
          </w:p>
        </w:tc>
        <w:tc>
          <w:tcPr>
            <w:tcW w:type="dxa" w:w="2947"/>
            <w:tcW w:w="3888" w:type="dxa"/>
          </w:tcPr>
          <w:p>
            <w:r>
              <w:rPr>
                <w:b w:val="0"/>
                <w:sz w:val="18"/>
              </w:rPr>
              <w:t>208 cuvinte</w:t>
            </w:r>
          </w:p>
        </w:tc>
        <w:tc>
          <w:tcPr>
            <w:tcW w:type="dxa" w:w="2947"/>
            <w:tcW w:w="3888" w:type="dxa"/>
          </w:tcPr>
          <w:p>
            <w:r>
              <w:rPr>
                <w:b w:val="0"/>
                <w:sz w:val="18"/>
              </w:rPr>
              <w:t>220 cuvinte</w:t>
            </w:r>
          </w:p>
        </w:tc>
      </w:tr>
      <w:tr>
        <w:tc>
          <w:tcPr>
            <w:tcW w:type="dxa" w:w="2947"/>
            <w:tcW w:w="2592" w:type="dxa"/>
          </w:tcPr>
          <w:p>
            <w:r>
              <w:rPr>
                <w:b w:val="0"/>
                <w:sz w:val="18"/>
              </w:rPr>
              <w:t>Recomandare</w:t>
            </w:r>
          </w:p>
        </w:tc>
        <w:tc>
          <w:tcPr>
            <w:tcW w:type="dxa" w:w="2947"/>
            <w:tcW w:w="3888" w:type="dxa"/>
          </w:tcPr>
          <w:p>
            <w:r>
              <w:rPr>
                <w:b w:val="0"/>
                <w:sz w:val="18"/>
              </w:rPr>
              <w:t>Stil narativ, mai accesibil</w:t>
            </w:r>
          </w:p>
        </w:tc>
        <w:tc>
          <w:tcPr>
            <w:tcW w:type="dxa" w:w="2947"/>
            <w:tcW w:w="3888" w:type="dxa"/>
          </w:tcPr>
          <w:p>
            <w:r>
              <w:rPr>
                <w:b w:val="0"/>
                <w:sz w:val="18"/>
              </w:rPr>
              <w:t>Structură clară, impact tehnic mai mare</w:t>
            </w:r>
          </w:p>
        </w:tc>
      </w:tr>
    </w:tbl>
    <w:p>
      <w:r>
        <w:br w:type="page"/>
      </w:r>
    </w:p>
    <w:p>
      <w:pPr>
        <w:pStyle w:val="Heading1"/>
        <w:spacing w:before="0" w:after="80"/>
      </w:pPr>
      <w:r>
        <w:t>3. Descrierea detaliată a proiectului</w:t>
      </w:r>
    </w:p>
    <w:p>
      <w:pPr>
        <w:spacing w:after="200"/>
      </w:pPr>
      <w:r>
        <w:rPr>
          <w:b w:val="0"/>
          <w:i/>
          <w:color w:val="888888"/>
          <w:sz w:val="18"/>
        </w:rPr>
        <w:t>Maxim 10 pagini — doar activitățile desfășurate în proiect.</w:t>
      </w:r>
    </w:p>
    <w:p>
      <w:pPr>
        <w:pStyle w:val="Heading2"/>
        <w:spacing w:before="200" w:after="80"/>
      </w:pPr>
      <w:r>
        <w:t>3.1 Scop</w:t>
      </w:r>
    </w:p>
    <w:p>
      <w:pPr>
        <w:spacing w:after="120"/>
      </w:pPr>
      <w:r>
        <w:rPr>
          <w:b w:val="0"/>
          <w:i w:val="0"/>
          <w:sz w:val="22"/>
        </w:rPr>
        <w:t>Scopul proiectului P.O.L.A.R.I.S. este modelarea teoretică și demonstrarea coerenței fizice a unui Sistem Energetic Spațial (SES) capabil să capteze energie solară în proximitatea Soarelui și să o transmită la nivelul rețelei terestre, cu o putere totală de ~1,6 TW. Proiectul vizează identificarea limitelor tehnologice actuale și evaluarea fezabilității pe termen lung a unei astfel de infrastructuri energetice globale.</w:t>
      </w:r>
    </w:p>
    <w:p>
      <w:pPr>
        <w:pStyle w:val="Heading2"/>
        <w:spacing w:before="200" w:after="80"/>
      </w:pPr>
      <w:r>
        <w:t>3.2 Obiective</w:t>
      </w:r>
    </w:p>
    <w:p>
      <w:pPr>
        <w:spacing w:after="60"/>
        <w:ind w:left="504"/>
      </w:pPr>
      <w:r>
        <w:rPr>
          <w:sz w:val="22"/>
        </w:rPr>
        <w:t>1. Modelarea fluxului energetic complet: de la colectarea circumsolară la livrarea la sol.</w:t>
      </w:r>
    </w:p>
    <w:p>
      <w:pPr>
        <w:spacing w:after="60"/>
        <w:ind w:left="504"/>
      </w:pPr>
      <w:r>
        <w:rPr>
          <w:sz w:val="22"/>
        </w:rPr>
        <w:t>2. Dimensionarea componentelor cheie: oglinzi Dyson swarm, sateliți colectori, cabluri YBCO, baloane.</w:t>
      </w:r>
    </w:p>
    <w:p>
      <w:pPr>
        <w:spacing w:after="60"/>
        <w:ind w:left="504"/>
      </w:pPr>
      <w:r>
        <w:rPr>
          <w:sz w:val="22"/>
        </w:rPr>
        <w:t>3. Evaluarea randamentelor de conversie la fiecare etapă a lanțului energetic.</w:t>
      </w:r>
    </w:p>
    <w:p>
      <w:pPr>
        <w:spacing w:after="60"/>
        <w:ind w:left="504"/>
      </w:pPr>
      <w:r>
        <w:rPr>
          <w:sz w:val="22"/>
        </w:rPr>
        <w:t>4. Analiza limitelor tehnologice actuale: supraconductori YBCO, criogenie, flotabilitate.</w:t>
      </w:r>
    </w:p>
    <w:p>
      <w:pPr>
        <w:spacing w:after="60"/>
        <w:ind w:left="504"/>
      </w:pPr>
      <w:r>
        <w:rPr>
          <w:sz w:val="22"/>
        </w:rPr>
        <w:t>5. Demonstrarea coerenței fizice a sistemului raportat la legile fundamentale ale fizicii.</w:t>
      </w:r>
    </w:p>
    <w:p>
      <w:pPr>
        <w:spacing w:after="60"/>
        <w:ind w:left="504"/>
      </w:pPr>
      <w:r>
        <w:rPr>
          <w:sz w:val="22"/>
        </w:rPr>
        <w:t>6. Introducerea extensiei Star Power Grid și poziționarea în contextul Scării Kardashev.</w:t>
      </w:r>
    </w:p>
    <w:p/>
    <w:p>
      <w:pPr>
        <w:pStyle w:val="Heading2"/>
        <w:spacing w:before="200" w:after="80"/>
      </w:pPr>
      <w:r>
        <w:t>3.3 Problema identificată și stadiul actual în domeniu</w:t>
      </w:r>
    </w:p>
    <w:p>
      <w:pPr>
        <w:spacing w:after="120"/>
      </w:pPr>
      <w:r>
        <w:rPr>
          <w:b w:val="0"/>
          <w:i w:val="0"/>
          <w:sz w:val="22"/>
        </w:rPr>
        <w:t>Criza energetică globală este definită de trei provocări structurale: cererea în creștere (~3,36 TW echivalent electric în 2024, conform IEA), intermitența surselor regenerabile terestre și limitările impuse de atmosferă și ciclul zi–noapte. Sursele solare terestre pierd 20–30% din radiație prin atenuare atmosferică și sunt inactive ~50% din timp.</w:t>
      </w:r>
    </w:p>
    <w:p>
      <w:pPr>
        <w:spacing w:after="120"/>
      </w:pPr>
      <w:r>
        <w:rPr>
          <w:b w:val="0"/>
          <w:i w:val="0"/>
          <w:sz w:val="22"/>
        </w:rPr>
        <w:t>Conceptul Space-Based Solar Power (SBSP) a fost introdus de Glaser (1968) și dezvoltat prin programele NASA NIAC (SPS-ALPHA, Mankins 2011) și JAXA SSPS. Demonstrațiile la scară mică au validat transmisia wireless prin microunde (Brown, 1984; JAXA). P.O.L.A.R.I.S. extinde paradigma SBSP prin plasarea colectorilor în proximitatea Soarelui (~7M km, validat de traiectoria sondei Parker Solar Probe, NASA 2018), maximizând irradianța disponibilă.</w:t>
      </w:r>
    </w:p>
    <w:p>
      <w:pPr>
        <w:pStyle w:val="Heading2"/>
        <w:spacing w:before="200" w:after="80"/>
      </w:pPr>
      <w:r>
        <w:t>3.4 Etape parcurse</w:t>
      </w:r>
    </w:p>
    <w:p>
      <w:pPr>
        <w:spacing w:after="80"/>
        <w:ind w:left="432"/>
      </w:pPr>
      <w:r>
        <w:rPr>
          <w:b/>
          <w:sz w:val="22"/>
        </w:rPr>
        <w:t xml:space="preserve">Etapa 1 — Documentare: </w:t>
      </w:r>
      <w:r>
        <w:rPr>
          <w:sz w:val="22"/>
        </w:rPr>
        <w:t>Studiul literaturii: Glaser (1968), NASA NIAC, JAXA SSPS, Parker Solar Probe, proprietăți YBCO.</w:t>
      </w:r>
    </w:p>
    <w:p>
      <w:pPr>
        <w:spacing w:after="80"/>
        <w:ind w:left="432"/>
      </w:pPr>
      <w:r>
        <w:rPr>
          <w:b/>
          <w:sz w:val="22"/>
        </w:rPr>
        <w:t xml:space="preserve">Etapa 2 — Arhitectură sistem: </w:t>
      </w:r>
      <w:r>
        <w:rPr>
          <w:sz w:val="22"/>
        </w:rPr>
        <w:t>Definirea componentelor: Dyson swarm (30 oglinzi × 1 km diametru), 4 sateliți colectori, 2 noduri Lagrange (L4/L5), 2 centrale polare (~30 km altitudine).</w:t>
      </w:r>
    </w:p>
    <w:p>
      <w:pPr>
        <w:spacing w:after="80"/>
        <w:ind w:left="432"/>
      </w:pPr>
      <w:r>
        <w:rPr>
          <w:b/>
          <w:sz w:val="22"/>
        </w:rPr>
        <w:t xml:space="preserve">Etapa 3 — Calcule energetice: </w:t>
      </w:r>
      <w:r>
        <w:rPr>
          <w:sz w:val="22"/>
        </w:rPr>
        <w:t>Modelarea fluxului energetic complet, calculul randamentelor cumulate, dimensionarea cablurilor YBCO și flotabilitatea baloanelor.</w:t>
      </w:r>
    </w:p>
    <w:p>
      <w:pPr>
        <w:spacing w:after="80"/>
        <w:ind w:left="432"/>
      </w:pPr>
      <w:r>
        <w:rPr>
          <w:b/>
          <w:sz w:val="22"/>
        </w:rPr>
        <w:t xml:space="preserve">Etapa 4 — Analiză limite tehnologice: </w:t>
      </w:r>
      <w:r>
        <w:rPr>
          <w:sz w:val="22"/>
        </w:rPr>
        <w:t>Evaluarea masei totale per centrală (~11 tone), limitei de curent YBCO (~500 A/mm²) și cerințelor criogenice la altitudine.</w:t>
      </w:r>
    </w:p>
    <w:p>
      <w:pPr>
        <w:spacing w:after="80"/>
        <w:ind w:left="432"/>
      </w:pPr>
      <w:r>
        <w:rPr>
          <w:b/>
          <w:sz w:val="22"/>
        </w:rPr>
        <w:t xml:space="preserve">Etapa 5 — Star Power Grid: </w:t>
      </w:r>
      <w:r>
        <w:rPr>
          <w:sz w:val="22"/>
        </w:rPr>
        <w:t>Conceptualizarea extensiei cu transmisie orbitală prin microunde și poziționarea pe Scala Kardashev (tranziție tip 0 → tip I).</w:t>
      </w:r>
    </w:p>
    <w:p>
      <w:pPr>
        <w:spacing w:after="80"/>
        <w:ind w:left="432"/>
      </w:pPr>
      <w:r>
        <w:rPr>
          <w:b/>
          <w:sz w:val="22"/>
        </w:rPr>
        <w:t xml:space="preserve">Etapa 6 — Prezentare multimedia: </w:t>
      </w:r>
      <w:r>
        <w:rPr>
          <w:sz w:val="22"/>
        </w:rPr>
        <w:t>Elaborarea prezentării P.O.L.A.R.I.S. (19 slide-uri) cu vizualizări generate AI (Kling AI, Google Gemini) și design Celestial Command.</w:t>
      </w:r>
    </w:p>
    <w:p/>
    <w:p>
      <w:pPr>
        <w:pStyle w:val="Heading2"/>
        <w:spacing w:before="200" w:after="80"/>
      </w:pPr>
      <w:r>
        <w:t>3.5 Metode folosite</w:t>
      </w:r>
    </w:p>
    <w:p>
      <w:pPr>
        <w:spacing w:after="120"/>
      </w:pPr>
      <w:r>
        <w:rPr>
          <w:b w:val="0"/>
          <w:i w:val="0"/>
          <w:sz w:val="22"/>
        </w:rPr>
        <w:t>Proiectul a utilizat metode teoretice și de modelare numerică, fără experimente fizice directe. Metodele principale sunt:</w:t>
      </w:r>
    </w:p>
    <w:p>
      <w:pPr>
        <w:spacing w:after="60"/>
        <w:ind w:left="504"/>
      </w:pPr>
      <w:r>
        <w:rPr>
          <w:sz w:val="22"/>
        </w:rPr>
        <w:t>• Calcul analitic al fluxului energetic (irradianță solară, randamente de reflexie, conversie laser, transmisie supraconductoare).</w:t>
      </w:r>
    </w:p>
    <w:p>
      <w:pPr>
        <w:spacing w:after="60"/>
        <w:ind w:left="504"/>
      </w:pPr>
      <w:r>
        <w:rPr>
          <w:sz w:val="22"/>
        </w:rPr>
        <w:t>• Modelare geometrică a orbitelor și unghiurilor de reflexie pentru Dyson swarm.</w:t>
      </w:r>
    </w:p>
    <w:p>
      <w:pPr>
        <w:spacing w:after="60"/>
        <w:ind w:left="504"/>
      </w:pPr>
      <w:r>
        <w:rPr>
          <w:sz w:val="22"/>
        </w:rPr>
        <w:t>• Analiză structurală a flotabilității baloanelor (principiul lui Arhimede, densitate He vs. aer la ~30 km altitudine).</w:t>
      </w:r>
    </w:p>
    <w:p>
      <w:pPr>
        <w:spacing w:after="60"/>
        <w:ind w:left="504"/>
      </w:pPr>
      <w:r>
        <w:rPr>
          <w:sz w:val="22"/>
        </w:rPr>
        <w:t>• Consultanță externă: Carlo Emilio MONTANARI (CERN / Univ. Bologna) — dinamica fasciculelor laser de înaltă precizie (transfer de la LHC la P.O.L.A.R.I.S.).</w:t>
      </w:r>
    </w:p>
    <w:p>
      <w:pPr>
        <w:spacing w:after="60"/>
        <w:ind w:left="504"/>
      </w:pPr>
      <w:r>
        <w:rPr>
          <w:sz w:val="22"/>
        </w:rPr>
        <w:t>• Documentare și sinteză bibliografică (12 surse academice, stil Harvard).</w:t>
      </w:r>
    </w:p>
    <w:p>
      <w:pPr>
        <w:spacing w:after="60"/>
        <w:ind w:left="504"/>
      </w:pPr>
      <w:r>
        <w:rPr>
          <w:sz w:val="22"/>
        </w:rPr>
        <w:t>• Vizualizare și prezentare: Kling AI (generare imagini), Google Gemini, Microsoft PowerPoint 2019 / 365.</w:t>
      </w:r>
    </w:p>
    <w:p/>
    <w:p>
      <w:pPr>
        <w:pStyle w:val="Heading2"/>
        <w:spacing w:before="200" w:after="80"/>
      </w:pPr>
      <w:r>
        <w:t>3.6 Date experimentale și calcule</w:t>
      </w:r>
    </w:p>
    <w:p>
      <w:pPr>
        <w:spacing w:after="120"/>
      </w:pPr>
      <w:r>
        <w:rPr>
          <w:b w:val="0"/>
          <w:i w:val="0"/>
          <w:sz w:val="22"/>
        </w:rPr>
        <w:t>Calculele au fost realizate pe baza datelor fizice măsurate și publicate. Parametrii principali și rezultatele sunt sintetizate mai jos:</w:t>
      </w:r>
    </w:p>
    <w:tbl>
      <w:tblPr>
        <w:tblStyle w:val="TableGrid"/>
        <w:tblW w:type="auto" w:w="0"/>
        <w:tblLook w:firstColumn="1" w:firstRow="1" w:lastColumn="0" w:lastRow="0" w:noHBand="0" w:noVBand="1" w:val="04A0"/>
      </w:tblPr>
      <w:tblGrid>
        <w:gridCol w:w="2947"/>
        <w:gridCol w:w="2947"/>
        <w:gridCol w:w="2947"/>
      </w:tblGrid>
      <w:tr>
        <w:tc>
          <w:tcPr>
            <w:tcW w:type="dxa" w:w="2947"/>
            <w:tcW w:w="3600" w:type="dxa"/>
          </w:tcPr>
          <w:p>
            <w:r>
              <w:rPr>
                <w:b/>
                <w:sz w:val="18"/>
              </w:rPr>
              <w:t>Parametru</w:t>
            </w:r>
          </w:p>
        </w:tc>
        <w:tc>
          <w:tcPr>
            <w:tcW w:type="dxa" w:w="2947"/>
            <w:tcW w:w="3024" w:type="dxa"/>
          </w:tcPr>
          <w:p>
            <w:r>
              <w:rPr>
                <w:b/>
                <w:sz w:val="18"/>
              </w:rPr>
              <w:t>Valoare</w:t>
            </w:r>
          </w:p>
        </w:tc>
        <w:tc>
          <w:tcPr>
            <w:tcW w:type="dxa" w:w="2947"/>
            <w:tcW w:w="3024" w:type="dxa"/>
          </w:tcPr>
          <w:p>
            <w:r>
              <w:rPr>
                <w:b/>
                <w:sz w:val="18"/>
              </w:rPr>
              <w:t>Sursă</w:t>
            </w:r>
          </w:p>
        </w:tc>
      </w:tr>
      <w:tr>
        <w:tc>
          <w:tcPr>
            <w:tcW w:type="dxa" w:w="2947"/>
            <w:tcW w:w="3600" w:type="dxa"/>
          </w:tcPr>
          <w:p>
            <w:r>
              <w:rPr>
                <w:b w:val="0"/>
                <w:sz w:val="18"/>
              </w:rPr>
              <w:t>Irradianță solară la 1 UA</w:t>
            </w:r>
          </w:p>
        </w:tc>
        <w:tc>
          <w:tcPr>
            <w:tcW w:type="dxa" w:w="2947"/>
            <w:tcW w:w="3024" w:type="dxa"/>
          </w:tcPr>
          <w:p>
            <w:r>
              <w:rPr>
                <w:b w:val="0"/>
                <w:sz w:val="18"/>
              </w:rPr>
              <w:t>1.361 W/m²</w:t>
            </w:r>
          </w:p>
        </w:tc>
        <w:tc>
          <w:tcPr>
            <w:tcW w:type="dxa" w:w="2947"/>
            <w:tcW w:w="3024" w:type="dxa"/>
          </w:tcPr>
          <w:p>
            <w:r>
              <w:rPr>
                <w:b w:val="0"/>
                <w:sz w:val="18"/>
              </w:rPr>
              <w:t>NASA GSFC</w:t>
            </w:r>
          </w:p>
        </w:tc>
      </w:tr>
      <w:tr>
        <w:tc>
          <w:tcPr>
            <w:tcW w:type="dxa" w:w="2947"/>
            <w:tcW w:w="3600" w:type="dxa"/>
          </w:tcPr>
          <w:p>
            <w:r>
              <w:rPr>
                <w:b w:val="0"/>
                <w:sz w:val="18"/>
              </w:rPr>
              <w:t>Irradianță la ~0,047 UA (7M km)</w:t>
            </w:r>
          </w:p>
        </w:tc>
        <w:tc>
          <w:tcPr>
            <w:tcW w:type="dxa" w:w="2947"/>
            <w:tcW w:w="3024" w:type="dxa"/>
          </w:tcPr>
          <w:p>
            <w:r>
              <w:rPr>
                <w:b w:val="0"/>
                <w:sz w:val="18"/>
              </w:rPr>
              <w:t>~612.500 W/m²</w:t>
            </w:r>
          </w:p>
        </w:tc>
        <w:tc>
          <w:tcPr>
            <w:tcW w:type="dxa" w:w="2947"/>
            <w:tcW w:w="3024" w:type="dxa"/>
          </w:tcPr>
          <w:p>
            <w:r>
              <w:rPr>
                <w:b w:val="0"/>
                <w:sz w:val="18"/>
              </w:rPr>
              <w:t>Calcul (legea 1/r²)</w:t>
            </w:r>
          </w:p>
        </w:tc>
      </w:tr>
      <w:tr>
        <w:tc>
          <w:tcPr>
            <w:tcW w:type="dxa" w:w="2947"/>
            <w:tcW w:w="3600" w:type="dxa"/>
          </w:tcPr>
          <w:p>
            <w:r>
              <w:rPr>
                <w:b w:val="0"/>
                <w:sz w:val="18"/>
              </w:rPr>
              <w:t>Suprafață totală oglinzi Dyson</w:t>
            </w:r>
          </w:p>
        </w:tc>
        <w:tc>
          <w:tcPr>
            <w:tcW w:type="dxa" w:w="2947"/>
            <w:tcW w:w="3024" w:type="dxa"/>
          </w:tcPr>
          <w:p>
            <w:r>
              <w:rPr>
                <w:b w:val="0"/>
                <w:sz w:val="18"/>
              </w:rPr>
              <w:t>30 × π × (500 m)² ≈ 23,6 km²</w:t>
            </w:r>
          </w:p>
        </w:tc>
        <w:tc>
          <w:tcPr>
            <w:tcW w:type="dxa" w:w="2947"/>
            <w:tcW w:w="3024" w:type="dxa"/>
          </w:tcPr>
          <w:p>
            <w:r>
              <w:rPr>
                <w:b w:val="0"/>
                <w:sz w:val="18"/>
              </w:rPr>
              <w:t>Proiect</w:t>
            </w:r>
          </w:p>
        </w:tc>
      </w:tr>
      <w:tr>
        <w:tc>
          <w:tcPr>
            <w:tcW w:type="dxa" w:w="2947"/>
            <w:tcW w:w="3600" w:type="dxa"/>
          </w:tcPr>
          <w:p>
            <w:r>
              <w:rPr>
                <w:b w:val="0"/>
                <w:sz w:val="18"/>
              </w:rPr>
              <w:t>Putere captată (η_ref = 85%)</w:t>
            </w:r>
          </w:p>
        </w:tc>
        <w:tc>
          <w:tcPr>
            <w:tcW w:type="dxa" w:w="2947"/>
            <w:tcW w:w="3024" w:type="dxa"/>
          </w:tcPr>
          <w:p>
            <w:r>
              <w:rPr>
                <w:b w:val="0"/>
                <w:sz w:val="18"/>
              </w:rPr>
              <w:t>~12.270 GW</w:t>
            </w:r>
          </w:p>
        </w:tc>
        <w:tc>
          <w:tcPr>
            <w:tcW w:type="dxa" w:w="2947"/>
            <w:tcW w:w="3024" w:type="dxa"/>
          </w:tcPr>
          <w:p>
            <w:r>
              <w:rPr>
                <w:b w:val="0"/>
                <w:sz w:val="18"/>
              </w:rPr>
              <w:t>Calcul</w:t>
            </w:r>
          </w:p>
        </w:tc>
      </w:tr>
      <w:tr>
        <w:tc>
          <w:tcPr>
            <w:tcW w:type="dxa" w:w="2947"/>
            <w:tcW w:w="3600" w:type="dxa"/>
          </w:tcPr>
          <w:p>
            <w:r>
              <w:rPr>
                <w:b w:val="0"/>
                <w:sz w:val="18"/>
              </w:rPr>
              <w:t>Randament conversie laser</w:t>
            </w:r>
          </w:p>
        </w:tc>
        <w:tc>
          <w:tcPr>
            <w:tcW w:type="dxa" w:w="2947"/>
            <w:tcW w:w="3024" w:type="dxa"/>
          </w:tcPr>
          <w:p>
            <w:r>
              <w:rPr>
                <w:b w:val="0"/>
                <w:sz w:val="18"/>
              </w:rPr>
              <w:t>43%</w:t>
            </w:r>
          </w:p>
        </w:tc>
        <w:tc>
          <w:tcPr>
            <w:tcW w:type="dxa" w:w="2947"/>
            <w:tcW w:w="3024" w:type="dxa"/>
          </w:tcPr>
          <w:p>
            <w:r>
              <w:rPr>
                <w:b w:val="0"/>
                <w:sz w:val="18"/>
              </w:rPr>
              <w:t>Proiect / lit.</w:t>
            </w:r>
          </w:p>
        </w:tc>
      </w:tr>
      <w:tr>
        <w:tc>
          <w:tcPr>
            <w:tcW w:type="dxa" w:w="2947"/>
            <w:tcW w:w="3600" w:type="dxa"/>
          </w:tcPr>
          <w:p>
            <w:r>
              <w:rPr>
                <w:b w:val="0"/>
                <w:sz w:val="18"/>
              </w:rPr>
              <w:t>Randament transmisie Lagrange→Pol</w:t>
            </w:r>
          </w:p>
        </w:tc>
        <w:tc>
          <w:tcPr>
            <w:tcW w:type="dxa" w:w="2947"/>
            <w:tcW w:w="3024" w:type="dxa"/>
          </w:tcPr>
          <w:p>
            <w:r>
              <w:rPr>
                <w:b w:val="0"/>
                <w:sz w:val="18"/>
              </w:rPr>
              <w:t>~90%</w:t>
            </w:r>
          </w:p>
        </w:tc>
        <w:tc>
          <w:tcPr>
            <w:tcW w:type="dxa" w:w="2947"/>
            <w:tcW w:w="3024" w:type="dxa"/>
          </w:tcPr>
          <w:p>
            <w:r>
              <w:rPr>
                <w:b w:val="0"/>
                <w:sz w:val="18"/>
              </w:rPr>
              <w:t>Estimare</w:t>
            </w:r>
          </w:p>
        </w:tc>
      </w:tr>
      <w:tr>
        <w:tc>
          <w:tcPr>
            <w:tcW w:type="dxa" w:w="2947"/>
            <w:tcW w:w="3600" w:type="dxa"/>
          </w:tcPr>
          <w:p>
            <w:r>
              <w:rPr>
                <w:b w:val="0"/>
                <w:sz w:val="18"/>
              </w:rPr>
              <w:t>Putere per cablu YBCO</w:t>
            </w:r>
          </w:p>
        </w:tc>
        <w:tc>
          <w:tcPr>
            <w:tcW w:type="dxa" w:w="2947"/>
            <w:tcW w:w="3024" w:type="dxa"/>
          </w:tcPr>
          <w:p>
            <w:r>
              <w:rPr>
                <w:b w:val="0"/>
                <w:sz w:val="18"/>
              </w:rPr>
              <w:t>800 GW</w:t>
            </w:r>
          </w:p>
        </w:tc>
        <w:tc>
          <w:tcPr>
            <w:tcW w:type="dxa" w:w="2947"/>
            <w:tcW w:w="3024" w:type="dxa"/>
          </w:tcPr>
          <w:p>
            <w:r>
              <w:rPr>
                <w:b w:val="0"/>
                <w:sz w:val="18"/>
              </w:rPr>
              <w:t>Proiect</w:t>
            </w:r>
          </w:p>
        </w:tc>
      </w:tr>
      <w:tr>
        <w:tc>
          <w:tcPr>
            <w:tcW w:type="dxa" w:w="2947"/>
            <w:tcW w:w="3600" w:type="dxa"/>
          </w:tcPr>
          <w:p>
            <w:r>
              <w:rPr>
                <w:b w:val="0"/>
                <w:sz w:val="18"/>
              </w:rPr>
              <w:t>Putere totală livrată la sol</w:t>
            </w:r>
          </w:p>
        </w:tc>
        <w:tc>
          <w:tcPr>
            <w:tcW w:type="dxa" w:w="2947"/>
            <w:tcW w:w="3024" w:type="dxa"/>
          </w:tcPr>
          <w:p>
            <w:r>
              <w:rPr>
                <w:b w:val="0"/>
                <w:sz w:val="18"/>
              </w:rPr>
              <w:t>~1,6 TW</w:t>
            </w:r>
          </w:p>
        </w:tc>
        <w:tc>
          <w:tcPr>
            <w:tcW w:type="dxa" w:w="2947"/>
            <w:tcW w:w="3024" w:type="dxa"/>
          </w:tcPr>
          <w:p>
            <w:r>
              <w:rPr>
                <w:b w:val="0"/>
                <w:sz w:val="18"/>
              </w:rPr>
              <w:t>Calcul</w:t>
            </w:r>
          </w:p>
        </w:tc>
      </w:tr>
      <w:tr>
        <w:tc>
          <w:tcPr>
            <w:tcW w:type="dxa" w:w="2947"/>
            <w:tcW w:w="3600" w:type="dxa"/>
          </w:tcPr>
          <w:p>
            <w:r>
              <w:rPr>
                <w:b w:val="0"/>
                <w:sz w:val="18"/>
              </w:rPr>
              <w:t>Masă totală per centrală polară</w:t>
            </w:r>
          </w:p>
        </w:tc>
        <w:tc>
          <w:tcPr>
            <w:tcW w:type="dxa" w:w="2947"/>
            <w:tcW w:w="3024" w:type="dxa"/>
          </w:tcPr>
          <w:p>
            <w:r>
              <w:rPr>
                <w:b w:val="0"/>
                <w:sz w:val="18"/>
              </w:rPr>
              <w:t>~11 tone</w:t>
            </w:r>
          </w:p>
        </w:tc>
        <w:tc>
          <w:tcPr>
            <w:tcW w:type="dxa" w:w="2947"/>
            <w:tcW w:w="3024" w:type="dxa"/>
          </w:tcPr>
          <w:p>
            <w:r>
              <w:rPr>
                <w:b w:val="0"/>
                <w:sz w:val="18"/>
              </w:rPr>
              <w:t>Estimare proiect</w:t>
            </w:r>
          </w:p>
        </w:tc>
      </w:tr>
    </w:tbl>
    <w:p/>
    <w:p>
      <w:pPr>
        <w:pStyle w:val="Heading2"/>
        <w:spacing w:before="200" w:after="80"/>
      </w:pPr>
      <w:r>
        <w:t>3.7 Concluzii</w:t>
      </w:r>
    </w:p>
    <w:p>
      <w:pPr>
        <w:spacing w:after="60"/>
        <w:ind w:left="504"/>
      </w:pPr>
      <w:r>
        <w:rPr>
          <w:sz w:val="22"/>
        </w:rPr>
        <w:t>• Sistemul P.O.L.A.R.I.S. este fizic fezabil — respectă legile fundamentale ale fizicii și ecuațiile de transfer energetic.</w:t>
      </w:r>
    </w:p>
    <w:p>
      <w:pPr>
        <w:spacing w:after="60"/>
        <w:ind w:left="504"/>
      </w:pPr>
      <w:r>
        <w:rPr>
          <w:sz w:val="22"/>
        </w:rPr>
        <w:t>• Puterea totală de ~1,6 TW corespunde cu ~45% din consumul electric global actual (IEA 2024 — 3,36 TW).</w:t>
      </w:r>
    </w:p>
    <w:p>
      <w:pPr>
        <w:spacing w:after="60"/>
        <w:ind w:left="504"/>
      </w:pPr>
      <w:r>
        <w:rPr>
          <w:sz w:val="22"/>
        </w:rPr>
        <w:t>• Limitele identificate sunt tehnologice, nu fizice: proprietățile actuale ale YBCO, criogenia la altitudine și materialele pentru oglinzi.</w:t>
      </w:r>
    </w:p>
    <w:p>
      <w:pPr>
        <w:spacing w:after="60"/>
        <w:ind w:left="504"/>
      </w:pPr>
      <w:r>
        <w:rPr>
          <w:sz w:val="22"/>
        </w:rPr>
        <w:t>• Star Power Grid reprezintă extensia naturală a sistemului și marchează tranziția spre civilizația de tip I pe Scala Kardashev.</w:t>
      </w:r>
    </w:p>
    <w:p>
      <w:pPr>
        <w:spacing w:after="60"/>
        <w:ind w:left="504"/>
      </w:pPr>
      <w:r>
        <w:rPr>
          <w:sz w:val="22"/>
        </w:rPr>
        <w:t>• Proiectul demonstrează că soluțiile energetice ale viitorului necesită o abordare interdisciplinară, integrând fizică, inginerie și viziune strategică.</w:t>
      </w:r>
    </w:p>
    <w:p/>
    <w:p>
      <w:r>
        <w:br w:type="page"/>
      </w:r>
    </w:p>
    <w:p>
      <w:pPr>
        <w:pStyle w:val="Heading2"/>
        <w:spacing w:before="0" w:after="80"/>
      </w:pPr>
      <w:r>
        <w:t>3.8 Bibliografie</w:t>
      </w:r>
    </w:p>
    <w:p>
      <w:pPr>
        <w:spacing w:after="160"/>
      </w:pPr>
      <w:r>
        <w:rPr>
          <w:b w:val="0"/>
          <w:i/>
          <w:color w:val="777777"/>
          <w:sz w:val="18"/>
        </w:rPr>
        <w:t>Stilul de citare: Harvard (autor, an, titlu, sursă, DOI/URL).</w:t>
      </w:r>
    </w:p>
    <w:p>
      <w:pPr>
        <w:spacing w:after="100"/>
        <w:ind w:left="576" w:hanging="576"/>
      </w:pPr>
      <w:r>
        <w:rPr>
          <w:b/>
          <w:sz w:val="20"/>
        </w:rPr>
        <w:t xml:space="preserve">[01] </w:t>
      </w:r>
      <w:r>
        <w:rPr>
          <w:sz w:val="20"/>
        </w:rPr>
        <w:t>Glaser, P.E., 1968. Power from the Sun: Its Future. Science, 162(3856), pp.857–861.</w:t>
      </w:r>
      <w:r>
        <w:rPr>
          <w:color w:val="004499"/>
          <w:sz w:val="18"/>
        </w:rPr>
        <w:br/>
        <w:t xml:space="preserve">        https://doi.org/10.1126/science.162.3856.857</w:t>
      </w:r>
    </w:p>
    <w:p>
      <w:pPr>
        <w:spacing w:after="100"/>
        <w:ind w:left="576" w:hanging="576"/>
      </w:pPr>
      <w:r>
        <w:rPr>
          <w:b/>
          <w:sz w:val="20"/>
        </w:rPr>
        <w:t xml:space="preserve">[02] </w:t>
      </w:r>
      <w:r>
        <w:rPr>
          <w:sz w:val="20"/>
        </w:rPr>
        <w:t>International Energy Agency (IEA), 2024. Electricity 2024: Analysis and forecast to 2026.</w:t>
      </w:r>
      <w:r>
        <w:rPr>
          <w:color w:val="004499"/>
          <w:sz w:val="18"/>
        </w:rPr>
        <w:br/>
        <w:t xml:space="preserve">        https://www.iea.org/reports/electricity-2024</w:t>
      </w:r>
    </w:p>
    <w:p>
      <w:pPr>
        <w:spacing w:after="100"/>
        <w:ind w:left="576" w:hanging="576"/>
      </w:pPr>
      <w:r>
        <w:rPr>
          <w:b/>
          <w:sz w:val="20"/>
        </w:rPr>
        <w:t xml:space="preserve">[03] </w:t>
      </w:r>
      <w:r>
        <w:rPr>
          <w:sz w:val="20"/>
        </w:rPr>
        <w:t>Japan Aerospace Exploration Agency (JAXA), n.d. Space Solar Power Systems (SSPS).</w:t>
      </w:r>
      <w:r>
        <w:rPr>
          <w:color w:val="004499"/>
          <w:sz w:val="18"/>
        </w:rPr>
        <w:br/>
        <w:t xml:space="preserve">        https://www.kenkai.jaxa.jp/eng/research/ssps/</w:t>
      </w:r>
    </w:p>
    <w:p>
      <w:pPr>
        <w:spacing w:after="100"/>
        <w:ind w:left="576" w:hanging="576"/>
      </w:pPr>
      <w:r>
        <w:rPr>
          <w:b/>
          <w:sz w:val="20"/>
        </w:rPr>
        <w:t xml:space="preserve">[04] </w:t>
      </w:r>
      <w:r>
        <w:rPr>
          <w:sz w:val="20"/>
        </w:rPr>
        <w:t>Mankins, J.C., 2011. SPS-ALPHA: The First Practical Solar Power Satellite via Arbitrarily Large Phased Array. NASA NIAC Phase I Report.</w:t>
      </w:r>
      <w:r>
        <w:rPr>
          <w:color w:val="004499"/>
          <w:sz w:val="18"/>
        </w:rPr>
        <w:br/>
        <w:t xml:space="preserve">        https://www.nasa.gov/sites/default/files/files/niac_2011_phaseI_mankins.pdf</w:t>
      </w:r>
    </w:p>
    <w:p>
      <w:pPr>
        <w:spacing w:after="100"/>
        <w:ind w:left="576" w:hanging="576"/>
      </w:pPr>
      <w:r>
        <w:rPr>
          <w:b/>
          <w:sz w:val="20"/>
        </w:rPr>
        <w:t xml:space="preserve">[05] </w:t>
      </w:r>
      <w:r>
        <w:rPr>
          <w:sz w:val="20"/>
        </w:rPr>
        <w:t>NASA, n.d. Space-Based Solar Power. NASA Innovative Advanced Concepts (NIAC).</w:t>
      </w:r>
      <w:r>
        <w:rPr>
          <w:color w:val="004499"/>
          <w:sz w:val="18"/>
        </w:rPr>
        <w:br/>
        <w:t xml:space="preserve">        https://www.nasa.gov/directorates/space-tech/niac/space-based-solar-power/</w:t>
      </w:r>
    </w:p>
    <w:p>
      <w:pPr>
        <w:spacing w:after="100"/>
        <w:ind w:left="576" w:hanging="576"/>
      </w:pPr>
      <w:r>
        <w:rPr>
          <w:b/>
          <w:sz w:val="20"/>
        </w:rPr>
        <w:t xml:space="preserve">[06] </w:t>
      </w:r>
      <w:r>
        <w:rPr>
          <w:sz w:val="20"/>
        </w:rPr>
        <w:t>NASA Goddard Space Flight Center, n.d. Total Solar Irradiance.</w:t>
      </w:r>
      <w:r>
        <w:rPr>
          <w:color w:val="004499"/>
          <w:sz w:val="18"/>
        </w:rPr>
        <w:br/>
        <w:t xml:space="preserve">        https://solarscience.msfc.nasa.gov/</w:t>
      </w:r>
    </w:p>
    <w:p>
      <w:pPr>
        <w:spacing w:after="100"/>
        <w:ind w:left="576" w:hanging="576"/>
      </w:pPr>
      <w:r>
        <w:rPr>
          <w:b/>
          <w:sz w:val="20"/>
        </w:rPr>
        <w:t xml:space="preserve">[07] </w:t>
      </w:r>
      <w:r>
        <w:rPr>
          <w:sz w:val="20"/>
        </w:rPr>
        <w:t>NASA, n.d. What are Lagrange Points? NASA Science — Solar System Exploration.</w:t>
      </w:r>
      <w:r>
        <w:rPr>
          <w:color w:val="004499"/>
          <w:sz w:val="18"/>
        </w:rPr>
        <w:br/>
        <w:t xml:space="preserve">        https://solarsystem.nasa.gov/resources/754/what-are-lagrange-points/</w:t>
      </w:r>
    </w:p>
    <w:p>
      <w:pPr>
        <w:spacing w:after="100"/>
        <w:ind w:left="576" w:hanging="576"/>
      </w:pPr>
      <w:r>
        <w:rPr>
          <w:b/>
          <w:sz w:val="20"/>
        </w:rPr>
        <w:t xml:space="preserve">[08] </w:t>
      </w:r>
      <w:r>
        <w:rPr>
          <w:sz w:val="20"/>
        </w:rPr>
        <w:t>NASA, 2018. Parker Solar Probe Mission Overview.</w:t>
      </w:r>
      <w:r>
        <w:rPr>
          <w:color w:val="004499"/>
          <w:sz w:val="18"/>
        </w:rPr>
        <w:br/>
        <w:t xml:space="preserve">        https://www.nasa.gov/content/goddard/parker-solar-probe</w:t>
      </w:r>
    </w:p>
    <w:p>
      <w:pPr>
        <w:spacing w:after="100"/>
        <w:ind w:left="576" w:hanging="576"/>
      </w:pPr>
      <w:r>
        <w:rPr>
          <w:b/>
          <w:sz w:val="20"/>
        </w:rPr>
        <w:t xml:space="preserve">[09] </w:t>
      </w:r>
      <w:r>
        <w:rPr>
          <w:sz w:val="20"/>
        </w:rPr>
        <w:t>Brown, W.C., 1984. The History of Power Transmission by Radio Waves. IEEE Transactions on Microwave Theory and Techniques, 32(9), pp.1230–1242.</w:t>
      </w:r>
    </w:p>
    <w:p>
      <w:pPr>
        <w:spacing w:after="100"/>
        <w:ind w:left="576" w:hanging="576"/>
      </w:pPr>
      <w:r>
        <w:rPr>
          <w:b/>
          <w:sz w:val="20"/>
        </w:rPr>
        <w:t xml:space="preserve">[10] </w:t>
      </w:r>
      <w:r>
        <w:rPr>
          <w:sz w:val="20"/>
        </w:rPr>
        <w:t>Shinohara, N., 2014. Wireless Power Transfer via Radiowaves. London: ISTE Ltd.</w:t>
      </w:r>
    </w:p>
    <w:p>
      <w:pPr>
        <w:spacing w:after="100"/>
        <w:ind w:left="576" w:hanging="576"/>
      </w:pPr>
      <w:r>
        <w:rPr>
          <w:b/>
          <w:sz w:val="20"/>
        </w:rPr>
        <w:t xml:space="preserve">[11] </w:t>
      </w:r>
      <w:r>
        <w:rPr>
          <w:sz w:val="20"/>
        </w:rPr>
        <w:t>CERN, 2021. High-temperature superconductors for future accelerators.</w:t>
      </w:r>
      <w:r>
        <w:rPr>
          <w:color w:val="004499"/>
          <w:sz w:val="18"/>
        </w:rPr>
        <w:br/>
        <w:t xml:space="preserve">        https://home.cern/science/engineering/superconductivity</w:t>
      </w:r>
    </w:p>
    <w:p>
      <w:pPr>
        <w:spacing w:after="100"/>
        <w:ind w:left="576" w:hanging="576"/>
      </w:pPr>
      <w:r>
        <w:rPr>
          <w:b/>
          <w:sz w:val="20"/>
        </w:rPr>
        <w:t xml:space="preserve">[12] </w:t>
      </w:r>
      <w:r>
        <w:rPr>
          <w:sz w:val="20"/>
        </w:rPr>
        <w:t>Larbalestier, D., Gurevich, A., Feldmann, D.M. și Polyanskii, A., 2001. High-Tc superconducting materials for electric power applications. Nature, 414(6861), pp.368–377.</w:t>
      </w:r>
      <w:r>
        <w:rPr>
          <w:color w:val="004499"/>
          <w:sz w:val="18"/>
        </w:rPr>
        <w:br/>
        <w:t xml:space="preserve">        https://doi.org/10.1038/35104654</w:t>
      </w:r>
    </w:p>
    <w:p/>
    <w:p>
      <w:pPr>
        <w:pStyle w:val="Heading2"/>
        <w:spacing w:before="160" w:after="80"/>
      </w:pPr>
      <w:r>
        <w:t>3.9 Anexe</w:t>
      </w:r>
    </w:p>
    <w:p>
      <w:pPr>
        <w:spacing w:after="60"/>
        <w:ind w:left="504"/>
      </w:pPr>
      <w:r>
        <w:rPr>
          <w:sz w:val="22"/>
        </w:rPr>
        <w:t>• Anexa 1: Prezentarea multimedia P.O.L.A.R.I.S. (19 slide-uri) — fișier PPTX atașat.</w:t>
      </w:r>
    </w:p>
    <w:p>
      <w:pPr>
        <w:spacing w:after="60"/>
        <w:ind w:left="504"/>
      </w:pPr>
      <w:r>
        <w:rPr>
          <w:sz w:val="22"/>
        </w:rPr>
        <w:t>• Anexa 2: Schema arhitecturală completă a sistemului SES.</w:t>
      </w:r>
    </w:p>
    <w:p>
      <w:pPr>
        <w:spacing w:after="60"/>
        <w:ind w:left="504"/>
      </w:pPr>
      <w:r>
        <w:rPr>
          <w:sz w:val="22"/>
        </w:rPr>
        <w:t>• Anexa 3: Diagrama fluxului energetic cu randamente detaliate pe etape.</w:t>
      </w:r>
    </w:p>
    <w:p>
      <w:pPr>
        <w:spacing w:after="60"/>
        <w:ind w:left="504"/>
      </w:pPr>
      <w:r>
        <w:rPr>
          <w:sz w:val="22"/>
        </w:rPr>
        <w:t>• Anexa 4: Grafic comparativ Scala Kardashev — poziționarea P.O.L.A.R.I.S.</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