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80" w:after="120"/>
        <w:jc w:val="left"/>
      </w:pPr>
      <w:r>
        <w:rPr>
          <w:sz w:val="28"/>
        </w:rPr>
        <w:t>Date de Identificare — Dosar Înscriere ONCS 2026</w:t>
      </w:r>
    </w:p>
    <w:p>
      <w:pPr>
        <w:spacing w:after="160"/>
        <w:jc w:val="both"/>
      </w:pPr>
      <w:r>
        <w:rPr>
          <w:rFonts w:ascii="Calibri" w:hAnsi="Calibri"/>
          <w:b w:val="0"/>
          <w:i/>
          <w:sz w:val="18"/>
        </w:rPr>
        <w:t>Anexă nr. 2 — Regulament ONCS 2026 | ⚠  Câmpurile marcate necesită completare înainte de depunere.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W w:w="2551" w:type="dxa"/>
          </w:tcPr>
          <w:p>
            <w:pPr>
              <w:spacing w:after="60"/>
            </w:pPr>
            <w:r>
              <w:rPr>
                <w:rFonts w:ascii="Calibri" w:hAnsi="Calibri"/>
                <w:b/>
                <w:sz w:val="20"/>
              </w:rPr>
              <w:t>Acronimul proiectului</w:t>
            </w:r>
          </w:p>
        </w:tc>
        <w:tc>
          <w:tcPr>
            <w:tcW w:type="dxa" w:w="4703"/>
            <w:tcW w:w="6237" w:type="dxa"/>
          </w:tcPr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P.O.L.A.R.I.S.</w:t>
            </w:r>
          </w:p>
        </w:tc>
      </w:tr>
      <w:tr>
        <w:tc>
          <w:tcPr>
            <w:tcW w:type="dxa" w:w="4703"/>
            <w:tcW w:w="2551" w:type="dxa"/>
          </w:tcPr>
          <w:p>
            <w:pPr>
              <w:spacing w:after="60"/>
            </w:pPr>
            <w:r>
              <w:rPr>
                <w:rFonts w:ascii="Calibri" w:hAnsi="Calibri"/>
                <w:b/>
                <w:sz w:val="20"/>
              </w:rPr>
              <w:t>Titlul complet</w:t>
            </w:r>
          </w:p>
        </w:tc>
        <w:tc>
          <w:tcPr>
            <w:tcW w:type="dxa" w:w="4703"/>
            <w:tcW w:w="6237" w:type="dxa"/>
          </w:tcPr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Platformă Orbitală Laser pentru Alimentare şi Recepție Inovativă Solară</w:t>
            </w:r>
          </w:p>
        </w:tc>
      </w:tr>
      <w:tr>
        <w:tc>
          <w:tcPr>
            <w:tcW w:type="dxa" w:w="4703"/>
            <w:tcW w:w="2551" w:type="dxa"/>
          </w:tcPr>
          <w:p>
            <w:pPr>
              <w:spacing w:after="60"/>
            </w:pPr>
            <w:r>
              <w:rPr>
                <w:rFonts w:ascii="Calibri" w:hAnsi="Calibri"/>
                <w:b/>
                <w:sz w:val="20"/>
              </w:rPr>
              <w:t>Categoria ONCS 2026</w:t>
            </w:r>
          </w:p>
        </w:tc>
        <w:tc>
          <w:tcPr>
            <w:tcW w:type="dxa" w:w="4703"/>
            <w:tcW w:w="6237" w:type="dxa"/>
          </w:tcPr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Juniori</w:t>
            </w:r>
          </w:p>
        </w:tc>
      </w:tr>
      <w:tr>
        <w:tc>
          <w:tcPr>
            <w:tcW w:type="dxa" w:w="4703"/>
            <w:tcW w:w="2551" w:type="dxa"/>
          </w:tcPr>
          <w:p>
            <w:pPr>
              <w:spacing w:after="60"/>
            </w:pPr>
            <w:r>
              <w:rPr>
                <w:rFonts w:ascii="Calibri" w:hAnsi="Calibri"/>
                <w:b/>
                <w:sz w:val="20"/>
              </w:rPr>
              <w:t>Secțiunea</w:t>
            </w:r>
          </w:p>
        </w:tc>
        <w:tc>
          <w:tcPr>
            <w:tcW w:type="dxa" w:w="4703"/>
            <w:tcW w:w="6237" w:type="dxa"/>
          </w:tcPr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Științe fundamentale</w:t>
            </w:r>
          </w:p>
        </w:tc>
      </w:tr>
      <w:tr>
        <w:tc>
          <w:tcPr>
            <w:tcW w:type="dxa" w:w="4703"/>
            <w:tcW w:w="2551" w:type="dxa"/>
          </w:tcPr>
          <w:p>
            <w:pPr>
              <w:spacing w:after="60"/>
            </w:pPr>
            <w:r>
              <w:rPr>
                <w:rFonts w:ascii="Calibri" w:hAnsi="Calibri"/>
                <w:b/>
                <w:sz w:val="20"/>
              </w:rPr>
              <w:t>Mentorul echipei</w:t>
            </w:r>
          </w:p>
        </w:tc>
        <w:tc>
          <w:tcPr>
            <w:tcW w:type="dxa" w:w="4703"/>
            <w:tcW w:w="6237" w:type="dxa"/>
          </w:tcPr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Prof. Francisc Dionisie AARON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ICHB — Liceul Teoretic Internațional de Informatică Bucureşti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Nr. telefon: 0721 185 014</w:t>
            </w:r>
          </w:p>
        </w:tc>
      </w:tr>
      <w:tr>
        <w:tc>
          <w:tcPr>
            <w:tcW w:type="dxa" w:w="4703"/>
            <w:tcW w:w="2551" w:type="dxa"/>
          </w:tcPr>
          <w:p>
            <w:pPr>
              <w:spacing w:after="60"/>
            </w:pPr>
            <w:r>
              <w:rPr>
                <w:rFonts w:ascii="Calibri" w:hAnsi="Calibri"/>
                <w:b/>
                <w:sz w:val="20"/>
              </w:rPr>
              <w:t>Elev 1</w:t>
            </w:r>
          </w:p>
        </w:tc>
        <w:tc>
          <w:tcPr>
            <w:tcW w:type="dxa" w:w="4703"/>
            <w:tcW w:w="6237" w:type="dxa"/>
          </w:tcPr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Ioan Cristian CHELARU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Clasa a VIII-a | ICHB — Liceul Teoretic Internațional de Informatică Bucureşti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Rol: Modelare vizuală, scala Kardashev, rețeaua Star Power Grid, prezentare</w:t>
            </w:r>
          </w:p>
        </w:tc>
      </w:tr>
      <w:tr>
        <w:tc>
          <w:tcPr>
            <w:tcW w:type="dxa" w:w="4703"/>
            <w:tcW w:w="2551" w:type="dxa"/>
          </w:tcPr>
          <w:p>
            <w:pPr>
              <w:spacing w:after="60"/>
            </w:pPr>
            <w:r>
              <w:rPr>
                <w:rFonts w:ascii="Calibri" w:hAnsi="Calibri"/>
                <w:b/>
                <w:sz w:val="20"/>
              </w:rPr>
              <w:t>Elev 2</w:t>
            </w:r>
          </w:p>
        </w:tc>
        <w:tc>
          <w:tcPr>
            <w:tcW w:type="dxa" w:w="4703"/>
            <w:tcW w:w="6237" w:type="dxa"/>
          </w:tcPr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Albert David OLARIU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Clasa a VIII-a | ICHB — Liceul Teoretic Internațional de Informatică Bucureşti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Rol: Arhitectură sistem, calcule energetice, supraconductori YBCO, dinamică orbitală</w:t>
            </w:r>
          </w:p>
        </w:tc>
      </w:tr>
      <w:tr>
        <w:tc>
          <w:tcPr>
            <w:tcW w:type="dxa" w:w="4703"/>
            <w:tcW w:w="2551" w:type="dxa"/>
          </w:tcPr>
          <w:p>
            <w:pPr>
              <w:spacing w:after="60"/>
            </w:pPr>
            <w:r>
              <w:rPr>
                <w:rFonts w:ascii="Calibri" w:hAnsi="Calibri"/>
                <w:b/>
                <w:sz w:val="20"/>
              </w:rPr>
              <w:t>Colaborator 1</w:t>
            </w:r>
          </w:p>
        </w:tc>
        <w:tc>
          <w:tcPr>
            <w:tcW w:type="dxa" w:w="4703"/>
            <w:tcW w:w="6237" w:type="dxa"/>
          </w:tcPr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Prof. Univ. Dr. Valentin BARNA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Facultatea de Fizică, Univ. Bucureşti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Specializare: Optică şi Fotonică, Fizica LASER-ilor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Consultanță: principii de fotonică şi conversie radiație solară → LASER</w:t>
            </w:r>
          </w:p>
        </w:tc>
      </w:tr>
      <w:tr>
        <w:tc>
          <w:tcPr>
            <w:tcW w:type="dxa" w:w="4703"/>
            <w:tcW w:w="2551" w:type="dxa"/>
          </w:tcPr>
          <w:p>
            <w:pPr>
              <w:spacing w:after="60"/>
            </w:pPr>
            <w:r>
              <w:rPr>
                <w:rFonts w:ascii="Calibri" w:hAnsi="Calibri"/>
                <w:b/>
                <w:sz w:val="20"/>
              </w:rPr>
              <w:t>Colaborator 2</w:t>
            </w:r>
          </w:p>
        </w:tc>
        <w:tc>
          <w:tcPr>
            <w:tcW w:type="dxa" w:w="4703"/>
            <w:tcW w:w="6237" w:type="dxa"/>
          </w:tcPr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Carlo Emilio MONTANARI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Fizician aplicat • Doctorand Dinamica Fasciculelor, CERN / Univ. Bologna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Consultanță: dinamica fasciculelor de înaltă precizie (LHC → POLARIS)</w:t>
            </w:r>
          </w:p>
        </w:tc>
      </w:tr>
      <w:tr>
        <w:tc>
          <w:tcPr>
            <w:tcW w:type="dxa" w:w="4703"/>
            <w:tcW w:w="2551" w:type="dxa"/>
          </w:tcPr>
          <w:p>
            <w:pPr>
              <w:spacing w:after="60"/>
            </w:pPr>
            <w:r>
              <w:rPr>
                <w:rFonts w:ascii="Calibri" w:hAnsi="Calibri"/>
                <w:b/>
                <w:sz w:val="20"/>
              </w:rPr>
              <w:t>Colaborator 3</w:t>
            </w:r>
          </w:p>
        </w:tc>
        <w:tc>
          <w:tcPr>
            <w:tcW w:type="dxa" w:w="4703"/>
            <w:tcW w:w="6237" w:type="dxa"/>
          </w:tcPr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Daniel-Justinian ZELENSCHI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Ing. chimic (UCL + Melbourne) • PhD(c) AI • NASA Ames Research Center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Space Settlement Contest — Premiul II • implementare AI la scară industrială (Raiffeisen AI)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Consultanță: algoritmi AI pentru controlul autonom al swarm-ului orbital şi optimizarea Star Power Grid</w:t>
            </w:r>
          </w:p>
        </w:tc>
      </w:tr>
      <w:tr>
        <w:tc>
          <w:tcPr>
            <w:tcW w:type="dxa" w:w="4703"/>
            <w:tcW w:w="2551" w:type="dxa"/>
          </w:tcPr>
          <w:p>
            <w:pPr>
              <w:spacing w:after="60"/>
            </w:pPr>
            <w:r>
              <w:rPr>
                <w:rFonts w:ascii="Calibri" w:hAnsi="Calibri"/>
                <w:b/>
                <w:sz w:val="20"/>
              </w:rPr>
              <w:t>Coordonator ştiințific</w:t>
            </w:r>
          </w:p>
        </w:tc>
        <w:tc>
          <w:tcPr>
            <w:tcW w:type="dxa" w:w="4703"/>
            <w:tcW w:w="6237" w:type="dxa"/>
          </w:tcPr>
          <w:p>
            <w:pPr>
              <w:spacing w:after="20"/>
            </w:pPr>
            <w:r>
              <w:rPr>
                <w:rFonts w:ascii="Calibri" w:hAnsi="Calibri"/>
                <w:sz w:val="20"/>
              </w:rPr>
              <w:t>Prof. Francisc Dionisie AARON</w:t>
            </w:r>
          </w:p>
          <w:p>
            <w:pPr>
              <w:spacing w:after="20"/>
            </w:pPr>
            <w:r>
              <w:rPr>
                <w:rFonts w:ascii="Calibri" w:hAnsi="Calibri"/>
                <w:i w:val="0"/>
                <w:sz w:val="19"/>
              </w:rPr>
              <w:t>ICHB — Liceul Teoretic Internațional de Informatică Bucureşti</w:t>
            </w:r>
          </w:p>
        </w:tc>
      </w:tr>
    </w:tbl>
    <w:p/>
    <w:p>
      <w:pPr>
        <w:spacing w:after="40"/>
        <w:jc w:val="both"/>
      </w:pPr>
      <w:r>
        <w:rPr>
          <w:rFonts w:ascii="Calibri" w:hAnsi="Calibri"/>
          <w:b w:val="0"/>
          <w:i/>
          <w:sz w:val="18"/>
        </w:rPr>
        <w:t>Notă: Completarea datelor se va face cu denumiri corecte, cu diacritice, fără prescurtări. Documentul se va transmite în format editabil şi scanat.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