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SHRI RAMDEOBABA COLLEGE OF ENGINEERING AND MANAGEMENT, NAGPUR</w:t>
      </w:r>
    </w:p>
    <w:p>
      <w:pPr>
        <w:jc w:val="center"/>
      </w:pPr>
      <w:r>
        <w:rPr>
          <w:sz w:val="22"/>
        </w:rPr>
        <w:t>School of Computer Science and Engineering</w:t>
        <w:br/>
        <w:t>Department of Computer Science and Engineering</w:t>
      </w:r>
    </w:p>
    <w:p/>
    <w:p>
      <w:pPr>
        <w:jc w:val="center"/>
      </w:pPr>
      <w:r>
        <w:rPr>
          <w:b/>
          <w:sz w:val="36"/>
        </w:rPr>
        <w:t>INNOVATIVE SELF-LEARNING ACTIVITY</w:t>
      </w:r>
    </w:p>
    <w:p>
      <w:pPr>
        <w:jc w:val="center"/>
      </w:pPr>
      <w:r>
        <w:rPr>
          <w:b/>
          <w:sz w:val="44"/>
        </w:rPr>
        <w:t>DATA DETECTIVE CHALLENGE</w:t>
      </w:r>
    </w:p>
    <w:p>
      <w:pPr>
        <w:jc w:val="center"/>
      </w:pPr>
      <w:r>
        <w:rPr>
          <w:b/>
          <w:sz w:val="36"/>
        </w:rPr>
        <w:t>Road Accident &amp; Traffic Safety Analytics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
              <w:rPr>
                <w:rFonts w:ascii="Arial" w:hAnsi="Arial"/>
                <w:b/>
                <w:sz w:val="20"/>
              </w:rPr>
              <w:t>Session</w:t>
            </w:r>
          </w:p>
        </w:tc>
        <w:tc>
          <w:tcPr>
            <w:tcW w:type="dxa" w:w="5040"/>
            <w:vAlign w:val="center"/>
          </w:tcPr>
          <w:p>
            <w:r/>
            <w:r>
              <w:rPr>
                <w:rFonts w:ascii="Arial" w:hAnsi="Arial"/>
                <w:b w:val="0"/>
                <w:sz w:val="20"/>
              </w:rPr>
              <w:t>2026–27</w:t>
            </w:r>
          </w:p>
        </w:tc>
      </w:tr>
      <w:tr>
        <w:tc>
          <w:tcPr>
            <w:tcW w:type="dxa" w:w="5040"/>
            <w:vAlign w:val="center"/>
          </w:tcPr>
          <w:p>
            <w:r/>
            <w:r>
              <w:rPr>
                <w:rFonts w:ascii="Arial" w:hAnsi="Arial"/>
                <w:b/>
                <w:sz w:val="20"/>
              </w:rPr>
              <w:t>Programme</w:t>
            </w:r>
          </w:p>
        </w:tc>
        <w:tc>
          <w:tcPr>
            <w:tcW w:type="dxa" w:w="5040"/>
            <w:vAlign w:val="center"/>
          </w:tcPr>
          <w:p>
            <w:r/>
            <w:r>
              <w:rPr>
                <w:rFonts w:ascii="Arial" w:hAnsi="Arial"/>
                <w:b w:val="0"/>
                <w:sz w:val="20"/>
              </w:rPr>
              <w:t>B.Tech. (Cyber Security)</w:t>
            </w:r>
          </w:p>
        </w:tc>
      </w:tr>
      <w:tr>
        <w:tc>
          <w:tcPr>
            <w:tcW w:type="dxa" w:w="5040"/>
            <w:vAlign w:val="center"/>
          </w:tcPr>
          <w:p>
            <w:r/>
            <w:r>
              <w:rPr>
                <w:rFonts w:ascii="Arial" w:hAnsi="Arial"/>
                <w:b/>
                <w:sz w:val="20"/>
              </w:rPr>
              <w:t>Semester</w:t>
            </w:r>
          </w:p>
        </w:tc>
        <w:tc>
          <w:tcPr>
            <w:tcW w:type="dxa" w:w="5040"/>
            <w:vAlign w:val="center"/>
          </w:tcPr>
          <w:p>
            <w:r/>
            <w:r>
              <w:rPr>
                <w:rFonts w:ascii="Arial" w:hAnsi="Arial"/>
                <w:b w:val="0"/>
                <w:sz w:val="20"/>
              </w:rPr>
              <w:t>VII</w:t>
            </w:r>
          </w:p>
        </w:tc>
      </w:tr>
      <w:tr>
        <w:tc>
          <w:tcPr>
            <w:tcW w:type="dxa" w:w="5040"/>
            <w:vAlign w:val="center"/>
          </w:tcPr>
          <w:p>
            <w:r/>
            <w:r>
              <w:rPr>
                <w:rFonts w:ascii="Arial" w:hAnsi="Arial"/>
                <w:b/>
                <w:sz w:val="20"/>
              </w:rPr>
              <w:t>Course</w:t>
            </w:r>
          </w:p>
        </w:tc>
        <w:tc>
          <w:tcPr>
            <w:tcW w:type="dxa" w:w="5040"/>
            <w:vAlign w:val="center"/>
          </w:tcPr>
          <w:p>
            <w:r/>
            <w:r>
              <w:rPr>
                <w:rFonts w:ascii="Arial" w:hAnsi="Arial"/>
                <w:b w:val="0"/>
                <w:sz w:val="20"/>
              </w:rPr>
              <w:t>Data Visualization Techniques</w:t>
            </w:r>
          </w:p>
        </w:tc>
      </w:tr>
      <w:tr>
        <w:tc>
          <w:tcPr>
            <w:tcW w:type="dxa" w:w="5040"/>
            <w:vAlign w:val="center"/>
          </w:tcPr>
          <w:p>
            <w:r/>
            <w:r>
              <w:rPr>
                <w:rFonts w:ascii="Arial" w:hAnsi="Arial"/>
                <w:b/>
                <w:sz w:val="20"/>
              </w:rPr>
              <w:t>Course Code</w:t>
            </w:r>
          </w:p>
        </w:tc>
        <w:tc>
          <w:tcPr>
            <w:tcW w:type="dxa" w:w="5040"/>
            <w:vAlign w:val="center"/>
          </w:tcPr>
          <w:p>
            <w:r/>
            <w:r>
              <w:rPr>
                <w:rFonts w:ascii="Arial" w:hAnsi="Arial"/>
                <w:b w:val="0"/>
                <w:sz w:val="20"/>
              </w:rPr>
              <w:t>CCP7005</w:t>
            </w:r>
          </w:p>
        </w:tc>
      </w:tr>
      <w:tr>
        <w:tc>
          <w:tcPr>
            <w:tcW w:type="dxa" w:w="5040"/>
            <w:vAlign w:val="center"/>
          </w:tcPr>
          <w:p>
            <w:r/>
            <w:r>
              <w:rPr>
                <w:rFonts w:ascii="Arial" w:hAnsi="Arial"/>
                <w:b/>
                <w:sz w:val="20"/>
              </w:rPr>
              <w:t>Group</w:t>
            </w:r>
          </w:p>
        </w:tc>
        <w:tc>
          <w:tcPr>
            <w:tcW w:type="dxa" w:w="5040"/>
            <w:vAlign w:val="center"/>
          </w:tcPr>
          <w:p>
            <w:r/>
            <w:r>
              <w:rPr>
                <w:rFonts w:ascii="Arial" w:hAnsi="Arial"/>
                <w:b w:val="0"/>
                <w:sz w:val="20"/>
              </w:rPr>
              <w:t>1</w:t>
            </w:r>
          </w:p>
        </w:tc>
      </w:tr>
    </w:tbl>
    <w:p/>
    <w:p>
      <w:pPr>
        <w:jc w:val="center"/>
      </w:pPr>
      <w:r>
        <w:rPr>
          <w:b/>
          <w:sz w:val="26"/>
        </w:rPr>
        <w:t>Group Members</w:t>
      </w:r>
    </w:p>
    <w:p>
      <w:pPr>
        <w:jc w:val="center"/>
      </w:pPr>
      <w:r>
        <w:t>1 – Arya Bhangadia</w:t>
      </w:r>
    </w:p>
    <w:p>
      <w:pPr>
        <w:jc w:val="center"/>
      </w:pPr>
      <w:r>
        <w:t>18 – Harshvardhan Tendulka</w:t>
      </w:r>
    </w:p>
    <w:p>
      <w:pPr>
        <w:jc w:val="center"/>
      </w:pPr>
      <w:r>
        <w:t>36 – Mishthi Jain</w:t>
      </w:r>
    </w:p>
    <w:p>
      <w:pPr>
        <w:jc w:val="center"/>
      </w:pPr>
      <w:r>
        <w:t>54 – Shreya Mishra</w:t>
      </w:r>
    </w:p>
    <w:p>
      <w:r>
        <w:br w:type="page"/>
      </w:r>
    </w:p>
    <w:p>
      <w:pPr>
        <w:pStyle w:val="Heading1"/>
      </w:pPr>
      <w:r>
        <w:t>1. Project Objective</w:t>
      </w:r>
    </w:p>
    <w:p>
      <w:r>
        <w:t>Our group was assigned the domain Road Accident &amp; Traffic Safety Analytics. We selected a real-world state-level road safety dataset and used it to compare fatal-collision rates, driver behaviour percentages and insurance-related values. The main aim is to identify visible patterns and present them through an interactive Streamlit dashboard.</w:t>
      </w:r>
    </w:p>
    <w:p>
      <w:pPr>
        <w:pStyle w:val="Heading1"/>
      </w:pPr>
      <w:r>
        <w:t>2. Dataset Source</w:t>
      </w:r>
    </w:p>
    <w:p>
      <w:r>
        <w:t>Dataset: FiveThirtyEight – bad-drivers dataset</w:t>
      </w:r>
    </w:p>
    <w:p>
      <w:r>
        <w:t>Repository: https://github.com/fivethirtyeight/data/tree/master/bad-drivers</w:t>
      </w:r>
    </w:p>
    <w:p>
      <w:r>
        <w:t>Raw CSV: https://raw.githubusercontent.com/fivethirtyeight/data/master/bad-drivers/bad-drivers.csv</w:t>
      </w:r>
    </w:p>
    <w:p>
      <w:r>
        <w:t>The dataset contains one row for each U.S. state plus the District of Columbia. It is a cross-sectional dataset, so it has a geographical variable (State) but no time/year column.</w:t>
      </w:r>
    </w:p>
    <w:p>
      <w:pPr>
        <w:pStyle w:val="Heading1"/>
      </w:pPr>
      <w:r>
        <w:t>3. Dataset Discovery Summary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Item</w:t>
            </w:r>
          </w:p>
        </w:tc>
        <w:tc>
          <w:tcPr>
            <w:tcW w:type="dxa" w:w="5040"/>
            <w:vAlign w:val="center"/>
            <w:shd w:fill="D9EAF7"/>
          </w:tcPr>
          <w:p>
            <w:r/>
            <w:r>
              <w:rPr>
                <w:rFonts w:ascii="Arial" w:hAnsi="Arial"/>
                <w:b/>
                <w:sz w:val="18"/>
              </w:rPr>
              <w:t>Observation</w:t>
            </w:r>
          </w:p>
        </w:tc>
      </w:tr>
      <w:tr>
        <w:tc>
          <w:tcPr>
            <w:tcW w:type="dxa" w:w="5040"/>
            <w:vAlign w:val="center"/>
          </w:tcPr>
          <w:p>
            <w:r/>
            <w:r>
              <w:rPr>
                <w:rFonts w:ascii="Arial" w:hAnsi="Arial"/>
                <w:b/>
                <w:sz w:val="18"/>
              </w:rPr>
              <w:t>Records</w:t>
            </w:r>
          </w:p>
        </w:tc>
        <w:tc>
          <w:tcPr>
            <w:tcW w:type="dxa" w:w="5040"/>
            <w:vAlign w:val="center"/>
          </w:tcPr>
          <w:p>
            <w:r/>
            <w:r>
              <w:rPr>
                <w:rFonts w:ascii="Arial" w:hAnsi="Arial"/>
                <w:b w:val="0"/>
                <w:sz w:val="18"/>
              </w:rPr>
              <w:t>51</w:t>
            </w:r>
          </w:p>
        </w:tc>
      </w:tr>
      <w:tr>
        <w:tc>
          <w:tcPr>
            <w:tcW w:type="dxa" w:w="5040"/>
            <w:vAlign w:val="center"/>
          </w:tcPr>
          <w:p>
            <w:r/>
            <w:r>
              <w:rPr>
                <w:rFonts w:ascii="Arial" w:hAnsi="Arial"/>
                <w:b/>
                <w:sz w:val="18"/>
              </w:rPr>
              <w:t>Original attributes</w:t>
            </w:r>
          </w:p>
        </w:tc>
        <w:tc>
          <w:tcPr>
            <w:tcW w:type="dxa" w:w="5040"/>
            <w:vAlign w:val="center"/>
          </w:tcPr>
          <w:p>
            <w:r/>
            <w:r>
              <w:rPr>
                <w:rFonts w:ascii="Arial" w:hAnsi="Arial"/>
                <w:b w:val="0"/>
                <w:sz w:val="18"/>
              </w:rPr>
              <w:t>8</w:t>
            </w:r>
          </w:p>
        </w:tc>
      </w:tr>
      <w:tr>
        <w:tc>
          <w:tcPr>
            <w:tcW w:type="dxa" w:w="5040"/>
            <w:vAlign w:val="center"/>
          </w:tcPr>
          <w:p>
            <w:r/>
            <w:r>
              <w:rPr>
                <w:rFonts w:ascii="Arial" w:hAnsi="Arial"/>
                <w:b/>
                <w:sz w:val="18"/>
              </w:rPr>
              <w:t>Numerical variables</w:t>
            </w:r>
          </w:p>
        </w:tc>
        <w:tc>
          <w:tcPr>
            <w:tcW w:type="dxa" w:w="5040"/>
            <w:vAlign w:val="center"/>
          </w:tcPr>
          <w:p>
            <w:r/>
            <w:r>
              <w:rPr>
                <w:rFonts w:ascii="Arial" w:hAnsi="Arial"/>
                <w:b w:val="0"/>
                <w:sz w:val="18"/>
              </w:rPr>
              <w:t>7 numerical variables related to collisions, driver behaviour and insurance</w:t>
            </w:r>
          </w:p>
        </w:tc>
      </w:tr>
      <w:tr>
        <w:tc>
          <w:tcPr>
            <w:tcW w:type="dxa" w:w="5040"/>
            <w:vAlign w:val="center"/>
          </w:tcPr>
          <w:p>
            <w:r/>
            <w:r>
              <w:rPr>
                <w:rFonts w:ascii="Arial" w:hAnsi="Arial"/>
                <w:b/>
                <w:sz w:val="18"/>
              </w:rPr>
              <w:t>Categorical / geographical variable</w:t>
            </w:r>
          </w:p>
        </w:tc>
        <w:tc>
          <w:tcPr>
            <w:tcW w:type="dxa" w:w="5040"/>
            <w:vAlign w:val="center"/>
          </w:tcPr>
          <w:p>
            <w:r/>
            <w:r>
              <w:rPr>
                <w:rFonts w:ascii="Arial" w:hAnsi="Arial"/>
                <w:b w:val="0"/>
                <w:sz w:val="18"/>
              </w:rPr>
              <w:t>State</w:t>
            </w:r>
          </w:p>
        </w:tc>
      </w:tr>
      <w:tr>
        <w:tc>
          <w:tcPr>
            <w:tcW w:type="dxa" w:w="5040"/>
            <w:vAlign w:val="center"/>
          </w:tcPr>
          <w:p>
            <w:r/>
            <w:r>
              <w:rPr>
                <w:rFonts w:ascii="Arial" w:hAnsi="Arial"/>
                <w:b/>
                <w:sz w:val="18"/>
              </w:rPr>
              <w:t>Temporal variable</w:t>
            </w:r>
          </w:p>
        </w:tc>
        <w:tc>
          <w:tcPr>
            <w:tcW w:type="dxa" w:w="5040"/>
            <w:vAlign w:val="center"/>
          </w:tcPr>
          <w:p>
            <w:r/>
            <w:r>
              <w:rPr>
                <w:rFonts w:ascii="Arial" w:hAnsi="Arial"/>
                <w:b w:val="0"/>
                <w:sz w:val="18"/>
              </w:rPr>
              <w:t>Not available</w:t>
            </w:r>
          </w:p>
        </w:tc>
      </w:tr>
      <w:tr>
        <w:tc>
          <w:tcPr>
            <w:tcW w:type="dxa" w:w="5040"/>
            <w:vAlign w:val="center"/>
          </w:tcPr>
          <w:p>
            <w:r/>
            <w:r>
              <w:rPr>
                <w:rFonts w:ascii="Arial" w:hAnsi="Arial"/>
                <w:b/>
                <w:sz w:val="18"/>
              </w:rPr>
              <w:t>Missing values</w:t>
            </w:r>
          </w:p>
        </w:tc>
        <w:tc>
          <w:tcPr>
            <w:tcW w:type="dxa" w:w="5040"/>
            <w:vAlign w:val="center"/>
          </w:tcPr>
          <w:p>
            <w:r/>
            <w:r>
              <w:rPr>
                <w:rFonts w:ascii="Arial" w:hAnsi="Arial"/>
                <w:b w:val="0"/>
                <w:sz w:val="18"/>
              </w:rPr>
              <w:t>0</w:t>
            </w:r>
          </w:p>
        </w:tc>
      </w:tr>
      <w:tr>
        <w:tc>
          <w:tcPr>
            <w:tcW w:type="dxa" w:w="5040"/>
            <w:vAlign w:val="center"/>
          </w:tcPr>
          <w:p>
            <w:r/>
            <w:r>
              <w:rPr>
                <w:rFonts w:ascii="Arial" w:hAnsi="Arial"/>
                <w:b/>
                <w:sz w:val="18"/>
              </w:rPr>
              <w:t>Duplicate rows</w:t>
            </w:r>
          </w:p>
        </w:tc>
        <w:tc>
          <w:tcPr>
            <w:tcW w:type="dxa" w:w="5040"/>
            <w:vAlign w:val="center"/>
          </w:tcPr>
          <w:p>
            <w:r/>
            <w:r>
              <w:rPr>
                <w:rFonts w:ascii="Arial" w:hAnsi="Arial"/>
                <w:b w:val="0"/>
                <w:sz w:val="18"/>
              </w:rPr>
              <w:t>0</w:t>
            </w:r>
          </w:p>
        </w:tc>
      </w:tr>
      <w:tr>
        <w:tc>
          <w:tcPr>
            <w:tcW w:type="dxa" w:w="5040"/>
            <w:vAlign w:val="center"/>
          </w:tcPr>
          <w:p>
            <w:r/>
            <w:r>
              <w:rPr>
                <w:rFonts w:ascii="Arial" w:hAnsi="Arial"/>
                <w:b/>
                <w:sz w:val="18"/>
              </w:rPr>
              <w:t>Outliers</w:t>
            </w:r>
          </w:p>
        </w:tc>
        <w:tc>
          <w:tcPr>
            <w:tcW w:type="dxa" w:w="5040"/>
            <w:vAlign w:val="center"/>
          </w:tcPr>
          <w:p>
            <w:r/>
            <w:r>
              <w:rPr>
                <w:rFonts w:ascii="Arial" w:hAnsi="Arial"/>
                <w:b w:val="0"/>
                <w:sz w:val="18"/>
              </w:rPr>
              <w:t>No fatal-collision-rate outlier by the 1.5×IQR rule</w:t>
            </w:r>
          </w:p>
        </w:tc>
      </w:tr>
      <w:tr>
        <w:tc>
          <w:tcPr>
            <w:tcW w:type="dxa" w:w="5040"/>
            <w:vAlign w:val="center"/>
          </w:tcPr>
          <w:p>
            <w:r/>
            <w:r>
              <w:rPr>
                <w:rFonts w:ascii="Arial" w:hAnsi="Arial"/>
                <w:b/>
                <w:sz w:val="18"/>
              </w:rPr>
              <w:t>Average fatal-collision rate</w:t>
            </w:r>
          </w:p>
        </w:tc>
        <w:tc>
          <w:tcPr>
            <w:tcW w:type="dxa" w:w="5040"/>
            <w:vAlign w:val="center"/>
          </w:tcPr>
          <w:p>
            <w:r/>
            <w:r>
              <w:rPr>
                <w:rFonts w:ascii="Arial" w:hAnsi="Arial"/>
                <w:b w:val="0"/>
                <w:sz w:val="18"/>
              </w:rPr>
              <w:t>15.79 drivers per billion miles</w:t>
            </w:r>
          </w:p>
        </w:tc>
      </w:tr>
      <w:tr>
        <w:tc>
          <w:tcPr>
            <w:tcW w:type="dxa" w:w="5040"/>
            <w:vAlign w:val="center"/>
          </w:tcPr>
          <w:p>
            <w:r/>
            <w:r>
              <w:rPr>
                <w:rFonts w:ascii="Arial" w:hAnsi="Arial"/>
                <w:b/>
                <w:sz w:val="18"/>
              </w:rPr>
              <w:t>Median fatal-collision rate</w:t>
            </w:r>
          </w:p>
        </w:tc>
        <w:tc>
          <w:tcPr>
            <w:tcW w:type="dxa" w:w="5040"/>
            <w:vAlign w:val="center"/>
          </w:tcPr>
          <w:p>
            <w:r/>
            <w:r>
              <w:rPr>
                <w:rFonts w:ascii="Arial" w:hAnsi="Arial"/>
                <w:b w:val="0"/>
                <w:sz w:val="18"/>
              </w:rPr>
              <w:t>15.6 drivers per billion miles</w:t>
            </w:r>
          </w:p>
        </w:tc>
      </w:tr>
    </w:tbl>
    <w:p>
      <w:pPr>
        <w:pStyle w:val="Heading1"/>
      </w:pPr>
      <w:r>
        <w:t>4. Variables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Variable</w:t>
            </w:r>
          </w:p>
        </w:tc>
        <w:tc>
          <w:tcPr>
            <w:tcW w:type="dxa" w:w="3360"/>
            <w:vAlign w:val="center"/>
            <w:shd w:fill="D9EAF7"/>
          </w:tcPr>
          <w:p>
            <w:r/>
            <w:r>
              <w:rPr>
                <w:rFonts w:ascii="Arial" w:hAnsi="Arial"/>
                <w:b/>
                <w:sz w:val="18"/>
              </w:rPr>
              <w:t>Type</w:t>
            </w:r>
          </w:p>
        </w:tc>
        <w:tc>
          <w:tcPr>
            <w:tcW w:type="dxa" w:w="3360"/>
            <w:vAlign w:val="center"/>
            <w:shd w:fill="D9EAF7"/>
          </w:tcPr>
          <w:p>
            <w:r/>
            <w:r>
              <w:rPr>
                <w:rFonts w:ascii="Arial" w:hAnsi="Arial"/>
                <w:b/>
                <w:sz w:val="18"/>
              </w:rPr>
              <w:t>Meaning</w:t>
            </w:r>
          </w:p>
        </w:tc>
      </w:tr>
      <w:tr>
        <w:tc>
          <w:tcPr>
            <w:tcW w:type="dxa" w:w="3360"/>
            <w:vAlign w:val="center"/>
          </w:tcPr>
          <w:p>
            <w:r/>
            <w:r>
              <w:rPr>
                <w:rFonts w:ascii="Arial" w:hAnsi="Arial"/>
                <w:b/>
                <w:sz w:val="18"/>
              </w:rPr>
              <w:t>State</w:t>
            </w:r>
          </w:p>
        </w:tc>
        <w:tc>
          <w:tcPr>
            <w:tcW w:type="dxa" w:w="3360"/>
            <w:vAlign w:val="center"/>
          </w:tcPr>
          <w:p>
            <w:r/>
            <w:r>
              <w:rPr>
                <w:rFonts w:ascii="Arial" w:hAnsi="Arial"/>
                <w:b w:val="0"/>
                <w:sz w:val="18"/>
              </w:rPr>
              <w:t>Categorical / geographic</w:t>
            </w:r>
          </w:p>
        </w:tc>
        <w:tc>
          <w:tcPr>
            <w:tcW w:type="dxa" w:w="3360"/>
            <w:vAlign w:val="center"/>
          </w:tcPr>
          <w:p>
            <w:r/>
            <w:r>
              <w:rPr>
                <w:rFonts w:ascii="Arial" w:hAnsi="Arial"/>
                <w:b w:val="0"/>
                <w:sz w:val="18"/>
              </w:rPr>
              <w:t>State or District name</w:t>
            </w:r>
          </w:p>
        </w:tc>
      </w:tr>
      <w:tr>
        <w:tc>
          <w:tcPr>
            <w:tcW w:type="dxa" w:w="3360"/>
            <w:vAlign w:val="center"/>
          </w:tcPr>
          <w:p>
            <w:r/>
            <w:r>
              <w:rPr>
                <w:rFonts w:ascii="Arial" w:hAnsi="Arial"/>
                <w:b/>
                <w:sz w:val="18"/>
              </w:rPr>
              <w:t>Fatal collision rate</w:t>
            </w:r>
          </w:p>
        </w:tc>
        <w:tc>
          <w:tcPr>
            <w:tcW w:type="dxa" w:w="3360"/>
            <w:vAlign w:val="center"/>
          </w:tcPr>
          <w:p>
            <w:r/>
            <w:r>
              <w:rPr>
                <w:rFonts w:ascii="Arial" w:hAnsi="Arial"/>
                <w:b w:val="0"/>
                <w:sz w:val="18"/>
              </w:rPr>
              <w:t>Numerical</w:t>
            </w:r>
          </w:p>
        </w:tc>
        <w:tc>
          <w:tcPr>
            <w:tcW w:type="dxa" w:w="3360"/>
            <w:vAlign w:val="center"/>
          </w:tcPr>
          <w:p>
            <w:r/>
            <w:r>
              <w:rPr>
                <w:rFonts w:ascii="Arial" w:hAnsi="Arial"/>
                <w:b w:val="0"/>
                <w:sz w:val="18"/>
              </w:rPr>
              <w:t>Drivers involved in fatal collisions per billion miles</w:t>
            </w:r>
          </w:p>
        </w:tc>
      </w:tr>
      <w:tr>
        <w:tc>
          <w:tcPr>
            <w:tcW w:type="dxa" w:w="3360"/>
            <w:vAlign w:val="center"/>
          </w:tcPr>
          <w:p>
            <w:r/>
            <w:r>
              <w:rPr>
                <w:rFonts w:ascii="Arial" w:hAnsi="Arial"/>
                <w:b/>
                <w:sz w:val="18"/>
              </w:rPr>
              <w:t>Speeding %</w:t>
            </w:r>
          </w:p>
        </w:tc>
        <w:tc>
          <w:tcPr>
            <w:tcW w:type="dxa" w:w="3360"/>
            <w:vAlign w:val="center"/>
          </w:tcPr>
          <w:p>
            <w:r/>
            <w:r>
              <w:rPr>
                <w:rFonts w:ascii="Arial" w:hAnsi="Arial"/>
                <w:b w:val="0"/>
                <w:sz w:val="18"/>
              </w:rPr>
              <w:t>Numerical</w:t>
            </w:r>
          </w:p>
        </w:tc>
        <w:tc>
          <w:tcPr>
            <w:tcW w:type="dxa" w:w="3360"/>
            <w:vAlign w:val="center"/>
          </w:tcPr>
          <w:p>
            <w:r/>
            <w:r>
              <w:rPr>
                <w:rFonts w:ascii="Arial" w:hAnsi="Arial"/>
                <w:b w:val="0"/>
                <w:sz w:val="18"/>
              </w:rPr>
              <w:t>Percentage of involved drivers who were speeding</w:t>
            </w:r>
          </w:p>
        </w:tc>
      </w:tr>
      <w:tr>
        <w:tc>
          <w:tcPr>
            <w:tcW w:type="dxa" w:w="3360"/>
            <w:vAlign w:val="center"/>
          </w:tcPr>
          <w:p>
            <w:r/>
            <w:r>
              <w:rPr>
                <w:rFonts w:ascii="Arial" w:hAnsi="Arial"/>
                <w:b/>
                <w:sz w:val="18"/>
              </w:rPr>
              <w:t>Alcohol-impaired %</w:t>
            </w:r>
          </w:p>
        </w:tc>
        <w:tc>
          <w:tcPr>
            <w:tcW w:type="dxa" w:w="3360"/>
            <w:vAlign w:val="center"/>
          </w:tcPr>
          <w:p>
            <w:r/>
            <w:r>
              <w:rPr>
                <w:rFonts w:ascii="Arial" w:hAnsi="Arial"/>
                <w:b w:val="0"/>
                <w:sz w:val="18"/>
              </w:rPr>
              <w:t>Numerical</w:t>
            </w:r>
          </w:p>
        </w:tc>
        <w:tc>
          <w:tcPr>
            <w:tcW w:type="dxa" w:w="3360"/>
            <w:vAlign w:val="center"/>
          </w:tcPr>
          <w:p>
            <w:r/>
            <w:r>
              <w:rPr>
                <w:rFonts w:ascii="Arial" w:hAnsi="Arial"/>
                <w:b w:val="0"/>
                <w:sz w:val="18"/>
              </w:rPr>
              <w:t>Percentage of involved drivers who were alcohol-impaired</w:t>
            </w:r>
          </w:p>
        </w:tc>
      </w:tr>
      <w:tr>
        <w:tc>
          <w:tcPr>
            <w:tcW w:type="dxa" w:w="3360"/>
            <w:vAlign w:val="center"/>
          </w:tcPr>
          <w:p>
            <w:r/>
            <w:r>
              <w:rPr>
                <w:rFonts w:ascii="Arial" w:hAnsi="Arial"/>
                <w:b/>
                <w:sz w:val="18"/>
              </w:rPr>
              <w:t>Not distracted %</w:t>
            </w:r>
          </w:p>
        </w:tc>
        <w:tc>
          <w:tcPr>
            <w:tcW w:type="dxa" w:w="3360"/>
            <w:vAlign w:val="center"/>
          </w:tcPr>
          <w:p>
            <w:r/>
            <w:r>
              <w:rPr>
                <w:rFonts w:ascii="Arial" w:hAnsi="Arial"/>
                <w:b w:val="0"/>
                <w:sz w:val="18"/>
              </w:rPr>
              <w:t>Numerical</w:t>
            </w:r>
          </w:p>
        </w:tc>
        <w:tc>
          <w:tcPr>
            <w:tcW w:type="dxa" w:w="3360"/>
            <w:vAlign w:val="center"/>
          </w:tcPr>
          <w:p>
            <w:r/>
            <w:r>
              <w:rPr>
                <w:rFonts w:ascii="Arial" w:hAnsi="Arial"/>
                <w:b w:val="0"/>
                <w:sz w:val="18"/>
              </w:rPr>
              <w:t>Percentage of involved drivers recorded as not distracted</w:t>
            </w:r>
          </w:p>
        </w:tc>
      </w:tr>
      <w:tr>
        <w:tc>
          <w:tcPr>
            <w:tcW w:type="dxa" w:w="3360"/>
            <w:vAlign w:val="center"/>
          </w:tcPr>
          <w:p>
            <w:r/>
            <w:r>
              <w:rPr>
                <w:rFonts w:ascii="Arial" w:hAnsi="Arial"/>
                <w:b/>
                <w:sz w:val="18"/>
              </w:rPr>
              <w:t>No previous accidents %</w:t>
            </w:r>
          </w:p>
        </w:tc>
        <w:tc>
          <w:tcPr>
            <w:tcW w:type="dxa" w:w="3360"/>
            <w:vAlign w:val="center"/>
          </w:tcPr>
          <w:p>
            <w:r/>
            <w:r>
              <w:rPr>
                <w:rFonts w:ascii="Arial" w:hAnsi="Arial"/>
                <w:b w:val="0"/>
                <w:sz w:val="18"/>
              </w:rPr>
              <w:t>Numerical</w:t>
            </w:r>
          </w:p>
        </w:tc>
        <w:tc>
          <w:tcPr>
            <w:tcW w:type="dxa" w:w="3360"/>
            <w:vAlign w:val="center"/>
          </w:tcPr>
          <w:p>
            <w:r/>
            <w:r>
              <w:rPr>
                <w:rFonts w:ascii="Arial" w:hAnsi="Arial"/>
                <w:b w:val="0"/>
                <w:sz w:val="18"/>
              </w:rPr>
              <w:t>Percentage with no previous accidents</w:t>
            </w:r>
          </w:p>
        </w:tc>
      </w:tr>
      <w:tr>
        <w:tc>
          <w:tcPr>
            <w:tcW w:type="dxa" w:w="3360"/>
            <w:vAlign w:val="center"/>
          </w:tcPr>
          <w:p>
            <w:r/>
            <w:r>
              <w:rPr>
                <w:rFonts w:ascii="Arial" w:hAnsi="Arial"/>
                <w:b/>
                <w:sz w:val="18"/>
              </w:rPr>
              <w:t>Insurance premium</w:t>
            </w:r>
          </w:p>
        </w:tc>
        <w:tc>
          <w:tcPr>
            <w:tcW w:type="dxa" w:w="3360"/>
            <w:vAlign w:val="center"/>
          </w:tcPr>
          <w:p>
            <w:r/>
            <w:r>
              <w:rPr>
                <w:rFonts w:ascii="Arial" w:hAnsi="Arial"/>
                <w:b w:val="0"/>
                <w:sz w:val="18"/>
              </w:rPr>
              <w:t>Numerical</w:t>
            </w:r>
          </w:p>
        </w:tc>
        <w:tc>
          <w:tcPr>
            <w:tcW w:type="dxa" w:w="3360"/>
            <w:vAlign w:val="center"/>
          </w:tcPr>
          <w:p>
            <w:r/>
            <w:r>
              <w:rPr>
                <w:rFonts w:ascii="Arial" w:hAnsi="Arial"/>
                <w:b w:val="0"/>
                <w:sz w:val="18"/>
              </w:rPr>
              <w:t>Average car insurance premium in dollars</w:t>
            </w:r>
          </w:p>
        </w:tc>
      </w:tr>
      <w:tr>
        <w:tc>
          <w:tcPr>
            <w:tcW w:type="dxa" w:w="3360"/>
            <w:vAlign w:val="center"/>
          </w:tcPr>
          <w:p>
            <w:r/>
            <w:r>
              <w:rPr>
                <w:rFonts w:ascii="Arial" w:hAnsi="Arial"/>
                <w:b/>
                <w:sz w:val="18"/>
              </w:rPr>
              <w:t>Insurance losses</w:t>
            </w:r>
          </w:p>
        </w:tc>
        <w:tc>
          <w:tcPr>
            <w:tcW w:type="dxa" w:w="3360"/>
            <w:vAlign w:val="center"/>
          </w:tcPr>
          <w:p>
            <w:r/>
            <w:r>
              <w:rPr>
                <w:rFonts w:ascii="Arial" w:hAnsi="Arial"/>
                <w:b w:val="0"/>
                <w:sz w:val="18"/>
              </w:rPr>
              <w:t>Numerical</w:t>
            </w:r>
          </w:p>
        </w:tc>
        <w:tc>
          <w:tcPr>
            <w:tcW w:type="dxa" w:w="3360"/>
            <w:vAlign w:val="center"/>
          </w:tcPr>
          <w:p>
            <w:r/>
            <w:r>
              <w:rPr>
                <w:rFonts w:ascii="Arial" w:hAnsi="Arial"/>
                <w:b w:val="0"/>
                <w:sz w:val="18"/>
              </w:rPr>
              <w:t>Losses incurred per insured driver in dollars</w:t>
            </w:r>
          </w:p>
        </w:tc>
      </w:tr>
    </w:tbl>
    <w:p>
      <w:r>
        <w:br w:type="page"/>
      </w:r>
    </w:p>
    <w:p>
      <w:pPr>
        <w:pStyle w:val="Heading1"/>
      </w:pPr>
      <w:r>
        <w:t>5. Five Analytical Questions and Visualizations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7"/>
              </w:rPr>
              <w:t>Analytical Question</w:t>
            </w:r>
          </w:p>
        </w:tc>
        <w:tc>
          <w:tcPr>
            <w:tcW w:type="dxa" w:w="2520"/>
            <w:vAlign w:val="center"/>
            <w:shd w:fill="D9EAF7"/>
          </w:tcPr>
          <w:p>
            <w:r/>
            <w:r>
              <w:rPr>
                <w:rFonts w:ascii="Arial" w:hAnsi="Arial"/>
                <w:b/>
                <w:sz w:val="17"/>
              </w:rPr>
              <w:t>Variables Required</w:t>
            </w:r>
          </w:p>
        </w:tc>
        <w:tc>
          <w:tcPr>
            <w:tcW w:type="dxa" w:w="2520"/>
            <w:vAlign w:val="center"/>
            <w:shd w:fill="D9EAF7"/>
          </w:tcPr>
          <w:p>
            <w:r/>
            <w:r>
              <w:rPr>
                <w:rFonts w:ascii="Arial" w:hAnsi="Arial"/>
                <w:b/>
                <w:sz w:val="17"/>
              </w:rPr>
              <w:t>Proposed Visualization</w:t>
            </w:r>
          </w:p>
        </w:tc>
        <w:tc>
          <w:tcPr>
            <w:tcW w:type="dxa" w:w="2520"/>
            <w:vAlign w:val="center"/>
            <w:shd w:fill="D9EAF7"/>
          </w:tcPr>
          <w:p>
            <w:r/>
            <w:r>
              <w:rPr>
                <w:rFonts w:ascii="Arial" w:hAnsi="Arial"/>
                <w:b/>
                <w:sz w:val="17"/>
              </w:rPr>
              <w:t>Why Appropriate?</w:t>
            </w:r>
          </w:p>
        </w:tc>
      </w:tr>
      <w:tr>
        <w:tc>
          <w:tcPr>
            <w:tcW w:type="dxa" w:w="2520"/>
            <w:vAlign w:val="center"/>
          </w:tcPr>
          <w:p>
            <w:r/>
            <w:r>
              <w:rPr>
                <w:rFonts w:ascii="Arial" w:hAnsi="Arial"/>
                <w:b w:val="0"/>
                <w:sz w:val="16"/>
              </w:rPr>
              <w:t>Q1. How does the fatal-collision rate vary geographically?</w:t>
            </w:r>
          </w:p>
        </w:tc>
        <w:tc>
          <w:tcPr>
            <w:tcW w:type="dxa" w:w="2520"/>
            <w:vAlign w:val="center"/>
          </w:tcPr>
          <w:p>
            <w:r/>
            <w:r>
              <w:rPr>
                <w:rFonts w:ascii="Arial" w:hAnsi="Arial"/>
                <w:b w:val="0"/>
                <w:sz w:val="16"/>
              </w:rPr>
              <w:t>State, fatal-collision rate</w:t>
            </w:r>
          </w:p>
        </w:tc>
        <w:tc>
          <w:tcPr>
            <w:tcW w:type="dxa" w:w="2520"/>
            <w:vAlign w:val="center"/>
          </w:tcPr>
          <w:p>
            <w:r/>
            <w:r>
              <w:rPr>
                <w:rFonts w:ascii="Arial" w:hAnsi="Arial"/>
                <w:b w:val="0"/>
                <w:sz w:val="16"/>
              </w:rPr>
              <w:t>U.S. choropleth map</w:t>
            </w:r>
          </w:p>
        </w:tc>
        <w:tc>
          <w:tcPr>
            <w:tcW w:type="dxa" w:w="2520"/>
            <w:vAlign w:val="center"/>
          </w:tcPr>
          <w:p>
            <w:r/>
            <w:r>
              <w:rPr>
                <w:rFonts w:ascii="Arial" w:hAnsi="Arial"/>
                <w:b w:val="0"/>
                <w:sz w:val="16"/>
              </w:rPr>
              <w:t>A map makes state-wise geographical differences easy to see.</w:t>
            </w:r>
          </w:p>
        </w:tc>
      </w:tr>
      <w:tr>
        <w:tc>
          <w:tcPr>
            <w:tcW w:type="dxa" w:w="2520"/>
            <w:vAlign w:val="center"/>
          </w:tcPr>
          <w:p>
            <w:r/>
            <w:r>
              <w:rPr>
                <w:rFonts w:ascii="Arial" w:hAnsi="Arial"/>
                <w:b w:val="0"/>
                <w:sz w:val="16"/>
              </w:rPr>
              <w:t>Q2. Which states have the highest fatal-collision rates?</w:t>
            </w:r>
          </w:p>
        </w:tc>
        <w:tc>
          <w:tcPr>
            <w:tcW w:type="dxa" w:w="2520"/>
            <w:vAlign w:val="center"/>
          </w:tcPr>
          <w:p>
            <w:r/>
            <w:r>
              <w:rPr>
                <w:rFonts w:ascii="Arial" w:hAnsi="Arial"/>
                <w:b w:val="0"/>
                <w:sz w:val="16"/>
              </w:rPr>
              <w:t>State, fatal-collision rate</w:t>
            </w:r>
          </w:p>
        </w:tc>
        <w:tc>
          <w:tcPr>
            <w:tcW w:type="dxa" w:w="2520"/>
            <w:vAlign w:val="center"/>
          </w:tcPr>
          <w:p>
            <w:r/>
            <w:r>
              <w:rPr>
                <w:rFonts w:ascii="Arial" w:hAnsi="Arial"/>
                <w:b w:val="0"/>
                <w:sz w:val="16"/>
              </w:rPr>
              <w:t>Sorted horizontal bar chart</w:t>
            </w:r>
          </w:p>
        </w:tc>
        <w:tc>
          <w:tcPr>
            <w:tcW w:type="dxa" w:w="2520"/>
            <w:vAlign w:val="center"/>
          </w:tcPr>
          <w:p>
            <w:r/>
            <w:r>
              <w:rPr>
                <w:rFonts w:ascii="Arial" w:hAnsi="Arial"/>
                <w:b w:val="0"/>
                <w:sz w:val="16"/>
              </w:rPr>
              <w:t>Bars give a clear ranking and use a common numerical scale.</w:t>
            </w:r>
          </w:p>
        </w:tc>
      </w:tr>
      <w:tr>
        <w:tc>
          <w:tcPr>
            <w:tcW w:type="dxa" w:w="2520"/>
            <w:vAlign w:val="center"/>
          </w:tcPr>
          <w:p>
            <w:r/>
            <w:r>
              <w:rPr>
                <w:rFonts w:ascii="Arial" w:hAnsi="Arial"/>
                <w:b w:val="0"/>
                <w:sz w:val="16"/>
              </w:rPr>
              <w:t>Q3. Is alcohol impairment related to the fatal-collision rate?</w:t>
            </w:r>
          </w:p>
        </w:tc>
        <w:tc>
          <w:tcPr>
            <w:tcW w:type="dxa" w:w="2520"/>
            <w:vAlign w:val="center"/>
          </w:tcPr>
          <w:p>
            <w:r/>
            <w:r>
              <w:rPr>
                <w:rFonts w:ascii="Arial" w:hAnsi="Arial"/>
                <w:b w:val="0"/>
                <w:sz w:val="16"/>
              </w:rPr>
              <w:t>Alcohol-impaired %, fatal-collision rate, region</w:t>
            </w:r>
          </w:p>
        </w:tc>
        <w:tc>
          <w:tcPr>
            <w:tcW w:type="dxa" w:w="2520"/>
            <w:vAlign w:val="center"/>
          </w:tcPr>
          <w:p>
            <w:r/>
            <w:r>
              <w:rPr>
                <w:rFonts w:ascii="Arial" w:hAnsi="Arial"/>
                <w:b w:val="0"/>
                <w:sz w:val="16"/>
              </w:rPr>
              <w:t>Scatter plot with trend line</w:t>
            </w:r>
          </w:p>
        </w:tc>
        <w:tc>
          <w:tcPr>
            <w:tcW w:type="dxa" w:w="2520"/>
            <w:vAlign w:val="center"/>
          </w:tcPr>
          <w:p>
            <w:r/>
            <w:r>
              <w:rPr>
                <w:rFonts w:ascii="Arial" w:hAnsi="Arial"/>
                <w:b w:val="0"/>
                <w:sz w:val="16"/>
              </w:rPr>
              <w:t>A scatter plot is suitable for checking association between two numerical variables.</w:t>
            </w:r>
          </w:p>
        </w:tc>
      </w:tr>
      <w:tr>
        <w:tc>
          <w:tcPr>
            <w:tcW w:type="dxa" w:w="2520"/>
            <w:vAlign w:val="center"/>
          </w:tcPr>
          <w:p>
            <w:r/>
            <w:r>
              <w:rPr>
                <w:rFonts w:ascii="Arial" w:hAnsi="Arial"/>
                <w:b w:val="0"/>
                <w:sz w:val="16"/>
              </w:rPr>
              <w:t>Q4. How do fatal-collision rates differ across regions?</w:t>
            </w:r>
          </w:p>
        </w:tc>
        <w:tc>
          <w:tcPr>
            <w:tcW w:type="dxa" w:w="2520"/>
            <w:vAlign w:val="center"/>
          </w:tcPr>
          <w:p>
            <w:r/>
            <w:r>
              <w:rPr>
                <w:rFonts w:ascii="Arial" w:hAnsi="Arial"/>
                <w:b w:val="0"/>
                <w:sz w:val="16"/>
              </w:rPr>
              <w:t>Region, fatal-collision rate</w:t>
            </w:r>
          </w:p>
        </w:tc>
        <w:tc>
          <w:tcPr>
            <w:tcW w:type="dxa" w:w="2520"/>
            <w:vAlign w:val="center"/>
          </w:tcPr>
          <w:p>
            <w:r/>
            <w:r>
              <w:rPr>
                <w:rFonts w:ascii="Arial" w:hAnsi="Arial"/>
                <w:b w:val="0"/>
                <w:sz w:val="16"/>
              </w:rPr>
              <w:t>Box plot</w:t>
            </w:r>
          </w:p>
        </w:tc>
        <w:tc>
          <w:tcPr>
            <w:tcW w:type="dxa" w:w="2520"/>
            <w:vAlign w:val="center"/>
          </w:tcPr>
          <w:p>
            <w:r/>
            <w:r>
              <w:rPr>
                <w:rFonts w:ascii="Arial" w:hAnsi="Arial"/>
                <w:b w:val="0"/>
                <w:sz w:val="16"/>
              </w:rPr>
              <w:t>A box plot compares distribution, median and spread between groups.</w:t>
            </w:r>
          </w:p>
        </w:tc>
      </w:tr>
      <w:tr>
        <w:tc>
          <w:tcPr>
            <w:tcW w:type="dxa" w:w="2520"/>
            <w:vAlign w:val="center"/>
          </w:tcPr>
          <w:p>
            <w:r/>
            <w:r>
              <w:rPr>
                <w:rFonts w:ascii="Arial" w:hAnsi="Arial"/>
                <w:b w:val="0"/>
                <w:sz w:val="16"/>
              </w:rPr>
              <w:t>Q5. Which numerical variables move together?</w:t>
            </w:r>
          </w:p>
        </w:tc>
        <w:tc>
          <w:tcPr>
            <w:tcW w:type="dxa" w:w="2520"/>
            <w:vAlign w:val="center"/>
          </w:tcPr>
          <w:p>
            <w:r/>
            <w:r>
              <w:rPr>
                <w:rFonts w:ascii="Arial" w:hAnsi="Arial"/>
                <w:b w:val="0"/>
                <w:sz w:val="16"/>
              </w:rPr>
              <w:t>All numerical attributes</w:t>
            </w:r>
          </w:p>
        </w:tc>
        <w:tc>
          <w:tcPr>
            <w:tcW w:type="dxa" w:w="2520"/>
            <w:vAlign w:val="center"/>
          </w:tcPr>
          <w:p>
            <w:r/>
            <w:r>
              <w:rPr>
                <w:rFonts w:ascii="Arial" w:hAnsi="Arial"/>
                <w:b w:val="0"/>
                <w:sz w:val="16"/>
              </w:rPr>
              <w:t>Correlation heatmap</w:t>
            </w:r>
          </w:p>
        </w:tc>
        <w:tc>
          <w:tcPr>
            <w:tcW w:type="dxa" w:w="2520"/>
            <w:vAlign w:val="center"/>
          </w:tcPr>
          <w:p>
            <w:r/>
            <w:r>
              <w:rPr>
                <w:rFonts w:ascii="Arial" w:hAnsi="Arial"/>
                <w:b w:val="0"/>
                <w:sz w:val="16"/>
              </w:rPr>
              <w:t>A heatmap summarizes pairwise linear correlation values in one view.</w:t>
            </w:r>
          </w:p>
        </w:tc>
      </w:tr>
    </w:tbl>
    <w:p>
      <w:pPr>
        <w:pStyle w:val="Heading1"/>
      </w:pPr>
      <w:r>
        <w:t>6. Dashboard</w:t>
      </w:r>
    </w:p>
    <w:p>
      <w:r>
        <w:t>The dashboard is built using Streamlit with Plotly charts. The sidebar has filters for region, fatal-collision-rate range and state search. The dashboard also includes four KPIs, five analytical visualizations, findings, recommendations, the wrong visualization challenge, the AI critique and the dataset source.</w:t>
      </w:r>
    </w:p>
    <w:p>
      <w:pPr>
        <w:jc w:val="center"/>
      </w:pPr>
      <w:r>
        <w:drawing>
          <wp:inline xmlns:a="http://schemas.openxmlformats.org/drawingml/2006/main" xmlns:pic="http://schemas.openxmlformats.org/drawingml/2006/picture">
            <wp:extent cx="6217920" cy="3808476"/>
            <wp:docPr id="1" name="Picture 1"/>
            <wp:cNvGraphicFramePr>
              <a:graphicFrameLocks noChangeAspect="1"/>
            </wp:cNvGraphicFramePr>
            <a:graphic>
              <a:graphicData uri="http://schemas.openxmlformats.org/drawingml/2006/picture">
                <pic:pic>
                  <pic:nvPicPr>
                    <pic:cNvPr id="0" name="dashboard_overview.png"/>
                    <pic:cNvPicPr/>
                  </pic:nvPicPr>
                  <pic:blipFill>
                    <a:blip r:embed="rId11"/>
                    <a:stretch>
                      <a:fillRect/>
                    </a:stretch>
                  </pic:blipFill>
                  <pic:spPr>
                    <a:xfrm>
                      <a:off x="0" y="0"/>
                      <a:ext cx="6217920" cy="3808476"/>
                    </a:xfrm>
                    <a:prstGeom prst="rect"/>
                  </pic:spPr>
                </pic:pic>
              </a:graphicData>
            </a:graphic>
          </wp:inline>
        </w:drawing>
      </w:r>
    </w:p>
    <w:p>
      <w:r>
        <w:t>Figure 1. Dashboard overview used for the project documentation.</w:t>
      </w:r>
    </w:p>
    <w:p>
      <w:r>
        <w:br w:type="page"/>
      </w:r>
    </w:p>
    <w:p>
      <w:pPr>
        <w:pStyle w:val="Heading1"/>
      </w:pPr>
      <w:r>
        <w:t>7. Main Analysis and Observations</w:t>
      </w:r>
    </w:p>
    <w:p>
      <w:pPr>
        <w:pStyle w:val="Heading2"/>
      </w:pPr>
      <w:r>
        <w:t>7.1 Highest and Lowest Fatal-Collision Rates</w:t>
      </w:r>
    </w:p>
    <w:p>
      <w:pPr>
        <w:jc w:val="center"/>
      </w:pPr>
      <w:r>
        <w:drawing>
          <wp:inline xmlns:a="http://schemas.openxmlformats.org/drawingml/2006/main" xmlns:pic="http://schemas.openxmlformats.org/drawingml/2006/picture">
            <wp:extent cx="5669280" cy="3351482"/>
            <wp:docPr id="2" name="Picture 2"/>
            <wp:cNvGraphicFramePr>
              <a:graphicFrameLocks noChangeAspect="1"/>
            </wp:cNvGraphicFramePr>
            <a:graphic>
              <a:graphicData uri="http://schemas.openxmlformats.org/drawingml/2006/picture">
                <pic:pic>
                  <pic:nvPicPr>
                    <pic:cNvPr id="0" name="top10.png"/>
                    <pic:cNvPicPr/>
                  </pic:nvPicPr>
                  <pic:blipFill>
                    <a:blip r:embed="rId12"/>
                    <a:stretch>
                      <a:fillRect/>
                    </a:stretch>
                  </pic:blipFill>
                  <pic:spPr>
                    <a:xfrm>
                      <a:off x="0" y="0"/>
                      <a:ext cx="5669280" cy="3351482"/>
                    </a:xfrm>
                    <a:prstGeom prst="rect"/>
                  </pic:spPr>
                </pic:pic>
              </a:graphicData>
            </a:graphic>
          </wp:inline>
        </w:drawing>
      </w:r>
    </w:p>
    <w:p>
      <w:pPr>
        <w:pStyle w:val="ListBullet"/>
      </w:pPr>
      <w:r>
        <w:t>North Dakota and South Carolina have the highest value in the dataset: 23.9 drivers involved in fatal collisions per billion miles.</w:t>
      </w:r>
    </w:p>
    <w:p>
      <w:pPr>
        <w:pStyle w:val="ListBullet"/>
      </w:pPr>
      <w:r>
        <w:t>West Virginia is very close at 23.8.</w:t>
      </w:r>
    </w:p>
    <w:p>
      <w:pPr>
        <w:pStyle w:val="ListBullet"/>
      </w:pPr>
      <w:r>
        <w:t>District of Columbia has the lowest value at 5.9, followed by Massachusetts at 8.2.</w:t>
      </w:r>
    </w:p>
    <w:p>
      <w:pPr>
        <w:pStyle w:val="Heading2"/>
      </w:pPr>
      <w:r>
        <w:t>7.2 Alcohol-Impaired Percentage vs Fatal-Collision Rate</w:t>
      </w:r>
    </w:p>
    <w:p>
      <w:pPr>
        <w:jc w:val="center"/>
      </w:pPr>
      <w:r>
        <w:drawing>
          <wp:inline xmlns:a="http://schemas.openxmlformats.org/drawingml/2006/main" xmlns:pic="http://schemas.openxmlformats.org/drawingml/2006/picture">
            <wp:extent cx="5669280" cy="3354635"/>
            <wp:docPr id="3" name="Picture 3"/>
            <wp:cNvGraphicFramePr>
              <a:graphicFrameLocks noChangeAspect="1"/>
            </wp:cNvGraphicFramePr>
            <a:graphic>
              <a:graphicData uri="http://schemas.openxmlformats.org/drawingml/2006/picture">
                <pic:pic>
                  <pic:nvPicPr>
                    <pic:cNvPr id="0" name="alcohol_scatter.png"/>
                    <pic:cNvPicPr/>
                  </pic:nvPicPr>
                  <pic:blipFill>
                    <a:blip r:embed="rId13"/>
                    <a:stretch>
                      <a:fillRect/>
                    </a:stretch>
                  </pic:blipFill>
                  <pic:spPr>
                    <a:xfrm>
                      <a:off x="0" y="0"/>
                      <a:ext cx="5669280" cy="3354635"/>
                    </a:xfrm>
                    <a:prstGeom prst="rect"/>
                  </pic:spPr>
                </pic:pic>
              </a:graphicData>
            </a:graphic>
          </wp:inline>
        </w:drawing>
      </w:r>
    </w:p>
    <w:p>
      <w:r>
        <w:t>The Pearson correlation is r = 0.19. This is a weak positive linear relationship in this dataset. We should not say that alcohol percentage alone causes a higher total fatal-collision rate because many other road and driver factors can affect the outcome.</w:t>
      </w:r>
    </w:p>
    <w:p>
      <w:pPr>
        <w:pStyle w:val="Heading2"/>
      </w:pPr>
      <w:r>
        <w:t>7.3 Region-wise Comparison</w:t>
      </w:r>
    </w:p>
    <w:p>
      <w:pPr>
        <w:jc w:val="center"/>
      </w:pPr>
      <w:r>
        <w:drawing>
          <wp:inline xmlns:a="http://schemas.openxmlformats.org/drawingml/2006/main" xmlns:pic="http://schemas.openxmlformats.org/drawingml/2006/picture">
            <wp:extent cx="5669280" cy="3353659"/>
            <wp:docPr id="4" name="Picture 4"/>
            <wp:cNvGraphicFramePr>
              <a:graphicFrameLocks noChangeAspect="1"/>
            </wp:cNvGraphicFramePr>
            <a:graphic>
              <a:graphicData uri="http://schemas.openxmlformats.org/drawingml/2006/picture">
                <pic:pic>
                  <pic:nvPicPr>
                    <pic:cNvPr id="0" name="region_box.png"/>
                    <pic:cNvPicPr/>
                  </pic:nvPicPr>
                  <pic:blipFill>
                    <a:blip r:embed="rId14"/>
                    <a:stretch>
                      <a:fillRect/>
                    </a:stretch>
                  </pic:blipFill>
                  <pic:spPr>
                    <a:xfrm>
                      <a:off x="0" y="0"/>
                      <a:ext cx="5669280" cy="3353659"/>
                    </a:xfrm>
                    <a:prstGeom prst="rect"/>
                  </pic:spPr>
                </pic:pic>
              </a:graphicData>
            </a:graphic>
          </wp:inline>
        </w:drawing>
      </w:r>
    </w:p>
    <w:p>
      <w:r>
        <w:t>The box plot shows the spread of state values in each broad U.S. region. It helps us compare distributions instead of only comparing one state at a time.</w:t>
      </w:r>
    </w:p>
    <w:p>
      <w:r>
        <w:br w:type="page"/>
      </w:r>
    </w:p>
    <w:p>
      <w:pPr>
        <w:pStyle w:val="Heading1"/>
      </w:pPr>
      <w:r>
        <w:t>8. Five Major Findings</w:t>
      </w:r>
    </w:p>
    <w:p>
      <w:pPr>
        <w:pStyle w:val="ListBullet"/>
      </w:pPr>
      <w:r>
        <w:t>North Dakota and South Carolina share the highest fatal-collision rate (23.9), while West Virginia is close at 23.8.</w:t>
      </w:r>
    </w:p>
    <w:p>
      <w:pPr>
        <w:pStyle w:val="ListBullet"/>
      </w:pPr>
      <w:r>
        <w:t>District of Columbia has the lowest rate (5.9), followed by Massachusetts (8.2) and Minnesota (9.6).</w:t>
      </w:r>
    </w:p>
    <w:p>
      <w:pPr>
        <w:pStyle w:val="ListBullet"/>
      </w:pPr>
      <w:r>
        <w:t>Alcohol-impaired percentage has a weak positive relationship with the fatal-collision rate (r = 0.19).</w:t>
      </w:r>
    </w:p>
    <w:p>
      <w:pPr>
        <w:pStyle w:val="ListBullet"/>
      </w:pPr>
      <w:r>
        <w:t>Speeding percentage has almost no linear relationship with the fatal-collision rate in this state-level dataset (r = -0.03).</w:t>
      </w:r>
    </w:p>
    <w:p>
      <w:pPr>
        <w:pStyle w:val="ListBullet"/>
      </w:pPr>
      <w:r>
        <w:t>Insurance premium and loss values do not directly follow the road-safety ranking, so insurance cost should not be treated as a simple substitute for collision risk.</w:t>
      </w:r>
    </w:p>
    <w:p>
      <w:pPr>
        <w:pStyle w:val="Heading1"/>
      </w:pPr>
      <w:r>
        <w:t>9. Three Actionable Recommendations</w:t>
      </w:r>
    </w:p>
    <w:p>
      <w:pPr>
        <w:pStyle w:val="ListBullet"/>
      </w:pPr>
      <w:r>
        <w:t>States with high fatal-collision rates should be selected first for deeper road-safety review and targeted enforcement.</w:t>
      </w:r>
    </w:p>
    <w:p>
      <w:pPr>
        <w:pStyle w:val="ListBullet"/>
      </w:pPr>
      <w:r>
        <w:t>Alcohol-impaired driving should be monitored as one important factor, but decisions should use multiple variables instead of one correlation.</w:t>
      </w:r>
    </w:p>
    <w:p>
      <w:pPr>
        <w:pStyle w:val="ListBullet"/>
      </w:pPr>
      <w:r>
        <w:t>For a stronger future version, combine this dataset with road type, weather, seat-belt use, time of crash and vehicle information.</w:t>
      </w:r>
    </w:p>
    <w:p>
      <w:pPr>
        <w:pStyle w:val="Heading1"/>
      </w:pPr>
      <w:r>
        <w:t>10. Wrong Visualization Challenge</w:t>
      </w:r>
    </w:p>
    <w:p>
      <w:r>
        <w:t>Selected question: Which states have the highest fatal-collision rates?</w:t>
      </w:r>
    </w:p>
    <w:p>
      <w:pPr>
        <w:jc w:val="center"/>
      </w:pPr>
      <w:r>
        <w:drawing>
          <wp:inline xmlns:a="http://schemas.openxmlformats.org/drawingml/2006/main" xmlns:pic="http://schemas.openxmlformats.org/drawingml/2006/picture">
            <wp:extent cx="6126480" cy="2751104"/>
            <wp:docPr id="5" name="Picture 5"/>
            <wp:cNvGraphicFramePr>
              <a:graphicFrameLocks noChangeAspect="1"/>
            </wp:cNvGraphicFramePr>
            <a:graphic>
              <a:graphicData uri="http://schemas.openxmlformats.org/drawingml/2006/picture">
                <pic:pic>
                  <pic:nvPicPr>
                    <pic:cNvPr id="0" name="wrong_vs_correct.png"/>
                    <pic:cNvPicPr/>
                  </pic:nvPicPr>
                  <pic:blipFill>
                    <a:blip r:embed="rId15"/>
                    <a:stretch>
                      <a:fillRect/>
                    </a:stretch>
                  </pic:blipFill>
                  <pic:spPr>
                    <a:xfrm>
                      <a:off x="0" y="0"/>
                      <a:ext cx="6126480" cy="2751104"/>
                    </a:xfrm>
                    <a:prstGeom prst="rect"/>
                  </pic:spPr>
                </pic:pic>
              </a:graphicData>
            </a:graphic>
          </wp:inline>
        </w:drawing>
      </w:r>
    </w:p>
    <w:p>
      <w:r>
        <w:t>Correct visualization: A sorted bar chart. It places every state on the same scale, so differences can be compared directly.</w:t>
      </w:r>
    </w:p>
    <w:p>
      <w:r>
        <w:t>Wrong visualization: A pie chart. Fatal-collision rates are not parts of one total. Turning them into pie slices can make the viewer think the slices represent a meaningful whole, which is not true.</w:t>
      </w:r>
    </w:p>
    <w:p>
      <w:r>
        <w:t>Possible effect on interpretation: The audience may focus on slice area and percentages rather than the actual rate values, making comparisons harder and potentially misleading.</w:t>
      </w:r>
    </w:p>
    <w:p>
      <w:pPr>
        <w:pStyle w:val="Heading1"/>
      </w:pPr>
      <w:r>
        <w:t>11. AI as a Critic</w:t>
      </w:r>
    </w:p>
    <w:p>
      <w:r>
        <w:t>Visualization reviewed: Alcohol-impaired % vs fatal-collision rate scatter plot</w:t>
      </w:r>
    </w:p>
    <w:p>
      <w:r>
        <w:t>AI recommendation: Add a trend line, keep state names available on hover, and avoid using causal wording such as “alcohol causes the total rate.”</w:t>
      </w:r>
    </w:p>
    <w:p>
      <w:r>
        <w:t>Decision: PARTIALLY ACCEPTED</w:t>
      </w:r>
    </w:p>
    <w:p>
      <w:r>
        <w:t>Team justification: We accepted the trend line and hover labels because they make the plot easier to understand. We also changed our wording to “relationship” instead of “cause.” We kept region colours because they help compare geographical groups during the live dashboard demonstration.</w:t>
      </w:r>
    </w:p>
    <w:p>
      <w:r>
        <w:br w:type="page"/>
      </w:r>
    </w:p>
    <w:p>
      <w:pPr>
        <w:pStyle w:val="Heading1"/>
      </w:pPr>
      <w:r>
        <w:t>12. 2-Minute Data Story</w:t>
      </w:r>
    </w:p>
    <w:p>
      <w:r>
        <w:t>Our group studied road accident and traffic safety using the FiveThirtyEight bad-drivers dataset. The dataset has 51 state-level records and includes fatal-collision rates, speeding percentage, alcohol-impaired percentage and insurance variables. We first looked at where fatal-collision rates are high and low. North Dakota and South Carolina have the highest value of 23.9 drivers per billion miles, while the District of Columbia has the lowest at 5.9. We then checked whether common driver-related factors move with the total fatal-collision rate. Alcohol-impaired percentage shows only a weak positive relationship, and speeding percentage shows almost no linear relationship in this dataset. This was important because it reminded us not to make a conclusion only because two variables appear together. Our dashboard allows the user to filter regions and collision-rate ranges and then compare the map, ranking chart, scatter plot, box plot and correlation heatmap. The main action we suggest is to first study the high-rate states in more detail, but combine this data with additional information such as weather, road type, seat-belt use and time of crash before making a policy decision. The project shows how choosing the correct visualization can turn a small dataset into useful and understandable insights.</w:t>
      </w:r>
    </w:p>
    <w:p>
      <w:pPr>
        <w:pStyle w:val="Heading1"/>
      </w:pPr>
      <w:r>
        <w:t>13. Files Prepared for Submission</w:t>
      </w:r>
    </w:p>
    <w:p>
      <w:pPr>
        <w:pStyle w:val="ListBullet"/>
      </w:pPr>
      <w:r>
        <w:t>bad-drivers.csv – dataset used in the dashboard</w:t>
      </w:r>
    </w:p>
    <w:p>
      <w:pPr>
        <w:pStyle w:val="ListBullet"/>
      </w:pPr>
      <w:r>
        <w:t>streamlit_app.py – complete Streamlit dashboard code</w:t>
      </w:r>
    </w:p>
    <w:p>
      <w:pPr>
        <w:pStyle w:val="ListBullet"/>
      </w:pPr>
      <w:r>
        <w:t>requirements.txt – Python packages required to run the app</w:t>
      </w:r>
    </w:p>
    <w:p>
      <w:pPr>
        <w:pStyle w:val="ListBullet"/>
      </w:pPr>
      <w:r>
        <w:t>Data_Detective_Group1_Road_Safety_Final.docx – this report</w:t>
      </w:r>
    </w:p>
    <w:p>
      <w:pPr>
        <w:pStyle w:val="ListBullet"/>
      </w:pPr>
      <w:r>
        <w:t>Data_Detective_Group1_Road_Safety_Final.pptx – 3-slide presentation</w:t>
      </w:r>
    </w:p>
    <w:p>
      <w:pPr>
        <w:pStyle w:val="ListBullet"/>
      </w:pPr>
      <w:r>
        <w:t>dashboard_overview.png – dashboard screenshot for documentation</w:t>
      </w:r>
    </w:p>
    <w:p>
      <w:pPr>
        <w:pStyle w:val="Heading1"/>
      </w:pPr>
      <w:r>
        <w:t>14. How to Run the Dashboard</w:t>
      </w:r>
    </w:p>
    <w:p>
      <w:r>
        <w:t>Open a terminal in the folder containing the files and run:</w:t>
      </w:r>
    </w:p>
    <w:p>
      <w:r>
        <w:rPr>
          <w:rFonts w:ascii="Courier New" w:hAnsi="Courier New"/>
          <w:sz w:val="20"/>
        </w:rPr>
        <w:t>pip install -r requirements.txt</w:t>
        <w:br/>
        <w:t>streamlit run streamlit_app.py</w:t>
      </w:r>
    </w:p>
    <w:p>
      <w:r>
        <w:t>For the live presentation, the same files can be deployed to Streamlit Community Cloud after signing in and connecting a GitHub repository.</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Group 1 – Road Accident &amp; Traffic Safety Analytics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CCP7005 – Data Visualization Techniques | Data Detective Challenge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