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600" w:line="276" w:lineRule="auto"/>
        <w:jc w:val="center"/>
      </w:pPr>
      <w:r>
        <w:rPr>
          <w:rFonts w:ascii="Times New Roman" w:hAnsi="Times New Roman" w:cs="Times New Roman" w:eastAsia="Times New Roman"/>
          <w:b w:val="0"/>
          <w:i/>
          <w:sz w:val="24"/>
        </w:rPr>
        <w:t>A project report on</w:t>
      </w:r>
    </w:p>
    <w:p>
      <w:pPr>
        <w:spacing w:after="600" w:before="0" w:line="300" w:lineRule="auto"/>
        <w:jc w:val="center"/>
      </w:pPr>
      <w:r>
        <w:rPr>
          <w:rFonts w:ascii="Times New Roman" w:hAnsi="Times New Roman" w:cs="Times New Roman" w:eastAsia="Times New Roman"/>
          <w:b/>
          <w:i w:val="0"/>
          <w:sz w:val="40"/>
        </w:rPr>
        <w:t>A CROSS-ATTENTION DEEP LEARNING FRAMEWORK FOR MULTIMODAL NEUROIMAGING FUSION IN VISION DEFECT DETECTION AND CLASSIFICATION</w:t>
      </w:r>
    </w:p>
    <w:p>
      <w:pPr>
        <w:spacing w:after="280" w:before="0" w:line="276" w:lineRule="auto"/>
        <w:jc w:val="center"/>
      </w:pPr>
      <w:r>
        <w:rPr>
          <w:rFonts w:ascii="Times New Roman" w:hAnsi="Times New Roman" w:cs="Times New Roman" w:eastAsia="Times New Roman"/>
          <w:b w:val="0"/>
          <w:i/>
          <w:sz w:val="28"/>
        </w:rPr>
        <w:t>Submitted in partial fulfillment for the award of the degree of</w:t>
      </w:r>
    </w:p>
    <w:p>
      <w:pPr>
        <w:spacing w:after="720" w:before="0" w:line="288" w:lineRule="auto"/>
        <w:jc w:val="center"/>
      </w:pPr>
      <w:r>
        <w:rPr>
          <w:rFonts w:ascii="Times New Roman" w:hAnsi="Times New Roman" w:cs="Times New Roman" w:eastAsia="Times New Roman"/>
          <w:b/>
          <w:i w:val="0"/>
          <w:sz w:val="44"/>
        </w:rPr>
        <w:t>Bachelor of Technology in Computer Science and Engineering (Artificial Intelligence and Machine Learning)</w:t>
      </w:r>
    </w:p>
    <w:p>
      <w:pPr>
        <w:spacing w:after="280" w:before="0" w:line="276" w:lineRule="auto"/>
        <w:jc w:val="center"/>
      </w:pPr>
      <w:r>
        <w:rPr>
          <w:rFonts w:ascii="Times New Roman" w:hAnsi="Times New Roman" w:cs="Times New Roman" w:eastAsia="Times New Roman"/>
          <w:b w:val="0"/>
          <w:i/>
          <w:sz w:val="28"/>
        </w:rPr>
        <w:t>by</w:t>
      </w:r>
    </w:p>
    <w:p>
      <w:pPr>
        <w:spacing w:after="800" w:before="0" w:line="276" w:lineRule="auto"/>
        <w:jc w:val="center"/>
      </w:pPr>
      <w:r>
        <w:rPr>
          <w:rFonts w:ascii="Times New Roman" w:hAnsi="Times New Roman" w:cs="Times New Roman" w:eastAsia="Times New Roman"/>
          <w:b/>
          <w:i w:val="0"/>
          <w:sz w:val="32"/>
        </w:rPr>
        <w:t>MISHTHI JAIN (</w:t>
      </w:r>
      <w:r>
        <w:rPr>
          <w:rFonts w:ascii="Times New Roman" w:hAnsi="Times New Roman" w:cs="Times New Roman" w:eastAsia="Times New Roman"/>
          <w:b/>
          <w:i w:val="0"/>
          <w:sz w:val="32"/>
          <w:highlight w:val="yellow"/>
        </w:rPr>
        <w:t>[Reg. No.]</w:t>
      </w:r>
      <w:r>
        <w:rPr>
          <w:rFonts w:ascii="Times New Roman" w:hAnsi="Times New Roman" w:cs="Times New Roman" w:eastAsia="Times New Roman"/>
          <w:b/>
          <w:i w:val="0"/>
          <w:sz w:val="32"/>
        </w:rPr>
        <w:t>)</w:t>
      </w:r>
    </w:p>
    <w:p>
      <w:pPr>
        <w:spacing w:after="240" w:before="400" w:line="240" w:lineRule="auto"/>
        <w:jc w:val="center"/>
      </w:pPr>
      <w:r>
        <w:drawing>
          <wp:inline xmlns:a="http://schemas.openxmlformats.org/drawingml/2006/main" xmlns:pic="http://schemas.openxmlformats.org/drawingml/2006/picture">
            <wp:extent cx="2268000" cy="756000"/>
            <wp:docPr id="1" name="Picture 1"/>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200" w:before="0" w:line="276" w:lineRule="auto"/>
        <w:jc w:val="center"/>
      </w:pPr>
      <w:r>
        <w:rPr>
          <w:rFonts w:ascii="Times New Roman" w:hAnsi="Times New Roman" w:cs="Times New Roman" w:eastAsia="Times New Roman"/>
          <w:b/>
          <w:i w:val="0"/>
          <w:sz w:val="32"/>
        </w:rPr>
        <w:t>SCHOOL OF COMPUTER SCIENCE AND ENGINEERING</w:t>
      </w:r>
    </w:p>
    <w:p>
      <w:pPr>
        <w:spacing w:after="0" w:before="0" w:line="276" w:lineRule="auto"/>
        <w:jc w:val="center"/>
      </w:pPr>
      <w:r>
        <w:rPr>
          <w:rFonts w:ascii="Times New Roman" w:hAnsi="Times New Roman" w:cs="Times New Roman" w:eastAsia="Times New Roman"/>
          <w:b/>
          <w:i w:val="0"/>
          <w:sz w:val="28"/>
          <w:highlight w:val="yellow"/>
        </w:rPr>
        <w:t>[November, 2026]</w:t>
      </w:r>
    </w:p>
    <w:p>
      <w:pPr>
        <w:pageBreakBefore/>
        <w:spacing w:after="600" w:before="800" w:line="300" w:lineRule="auto"/>
        <w:jc w:val="center"/>
      </w:pPr>
      <w:r>
        <w:rPr>
          <w:rFonts w:ascii="Times New Roman" w:hAnsi="Times New Roman" w:cs="Times New Roman" w:eastAsia="Times New Roman"/>
          <w:b/>
          <w:i w:val="0"/>
          <w:sz w:val="40"/>
        </w:rPr>
        <w:t>A CROSS-ATTENTION DEEP LEARNING FRAMEWORK FOR MULTIMODAL NEUROIMAGING FUSION IN VISION DEFECT DETECTION AND CLASSIFICATION</w:t>
      </w:r>
    </w:p>
    <w:p>
      <w:pPr>
        <w:spacing w:after="280" w:before="0" w:line="276" w:lineRule="auto"/>
        <w:jc w:val="center"/>
      </w:pPr>
      <w:r>
        <w:rPr>
          <w:rFonts w:ascii="Times New Roman" w:hAnsi="Times New Roman" w:cs="Times New Roman" w:eastAsia="Times New Roman"/>
          <w:b w:val="0"/>
          <w:i/>
          <w:sz w:val="28"/>
        </w:rPr>
        <w:t>Submitted in partial fulfillment for the award of the degree of</w:t>
      </w:r>
    </w:p>
    <w:p>
      <w:pPr>
        <w:spacing w:after="600" w:before="0" w:line="288" w:lineRule="auto"/>
        <w:jc w:val="center"/>
      </w:pPr>
      <w:r>
        <w:rPr>
          <w:rFonts w:ascii="Times New Roman" w:hAnsi="Times New Roman" w:cs="Times New Roman" w:eastAsia="Times New Roman"/>
          <w:b/>
          <w:i w:val="0"/>
          <w:sz w:val="44"/>
        </w:rPr>
        <w:t>Bachelor of Technology in Computer Science and Engineering (Artificial Intelligence and Machine Learning)</w:t>
      </w:r>
    </w:p>
    <w:p>
      <w:pPr>
        <w:spacing w:after="280" w:before="0" w:line="276" w:lineRule="auto"/>
        <w:jc w:val="center"/>
      </w:pPr>
      <w:r>
        <w:rPr>
          <w:rFonts w:ascii="Times New Roman" w:hAnsi="Times New Roman" w:cs="Times New Roman" w:eastAsia="Times New Roman"/>
          <w:b w:val="0"/>
          <w:i/>
          <w:sz w:val="28"/>
        </w:rPr>
        <w:t>by</w:t>
      </w:r>
    </w:p>
    <w:p>
      <w:pPr>
        <w:spacing w:after="80" w:before="0" w:line="276" w:lineRule="auto"/>
        <w:jc w:val="center"/>
      </w:pPr>
      <w:r>
        <w:rPr>
          <w:rFonts w:ascii="Times New Roman" w:hAnsi="Times New Roman" w:cs="Times New Roman" w:eastAsia="Times New Roman"/>
          <w:b/>
          <w:i w:val="0"/>
          <w:sz w:val="32"/>
        </w:rPr>
        <w:t>MISHTHI JAIN</w:t>
      </w:r>
    </w:p>
    <w:p>
      <w:pPr>
        <w:spacing w:after="80" w:before="0" w:line="276" w:lineRule="auto"/>
        <w:jc w:val="center"/>
      </w:pPr>
      <w:r>
        <w:rPr>
          <w:rFonts w:ascii="Times New Roman" w:hAnsi="Times New Roman" w:cs="Times New Roman" w:eastAsia="Times New Roman"/>
          <w:b w:val="0"/>
          <w:i w:val="0"/>
          <w:sz w:val="28"/>
        </w:rPr>
        <w:t xml:space="preserve">Registration No.: </w:t>
      </w:r>
      <w:r>
        <w:rPr>
          <w:rFonts w:ascii="Times New Roman" w:hAnsi="Times New Roman" w:cs="Times New Roman" w:eastAsia="Times New Roman"/>
          <w:b w:val="0"/>
          <w:i w:val="0"/>
          <w:sz w:val="28"/>
          <w:highlight w:val="yellow"/>
        </w:rPr>
        <w:t>[Reg. No.]</w:t>
      </w:r>
    </w:p>
    <w:p>
      <w:pPr>
        <w:spacing w:after="80" w:before="0" w:line="276" w:lineRule="auto"/>
        <w:jc w:val="center"/>
      </w:pPr>
      <w:r>
        <w:rPr>
          <w:rFonts w:ascii="Times New Roman" w:hAnsi="Times New Roman" w:cs="Times New Roman" w:eastAsia="Times New Roman"/>
          <w:b w:val="0"/>
          <w:i w:val="0"/>
          <w:sz w:val="28"/>
        </w:rPr>
        <w:t>Course: BCSE497J</w:t>
      </w:r>
    </w:p>
    <w:p>
      <w:pPr>
        <w:spacing w:after="520" w:before="0" w:line="276" w:lineRule="auto"/>
        <w:jc w:val="center"/>
      </w:pPr>
      <w:r>
        <w:rPr>
          <w:rFonts w:ascii="Times New Roman" w:hAnsi="Times New Roman" w:cs="Times New Roman" w:eastAsia="Times New Roman"/>
          <w:b w:val="0"/>
          <w:i w:val="0"/>
          <w:sz w:val="28"/>
        </w:rPr>
        <w:t xml:space="preserve">Guide: </w:t>
      </w:r>
      <w:r>
        <w:rPr>
          <w:rFonts w:ascii="Times New Roman" w:hAnsi="Times New Roman" w:cs="Times New Roman" w:eastAsia="Times New Roman"/>
          <w:b w:val="0"/>
          <w:i w:val="0"/>
          <w:sz w:val="28"/>
          <w:highlight w:val="yellow"/>
        </w:rPr>
        <w:t>[Guide name, Designation]</w:t>
      </w:r>
    </w:p>
    <w:p>
      <w:pPr>
        <w:spacing w:after="240" w:before="0" w:line="240" w:lineRule="auto"/>
        <w:jc w:val="center"/>
      </w:pPr>
      <w:r>
        <w:drawing>
          <wp:inline xmlns:a="http://schemas.openxmlformats.org/drawingml/2006/main" xmlns:pic="http://schemas.openxmlformats.org/drawingml/2006/picture">
            <wp:extent cx="2268000" cy="75600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80" w:before="0" w:line="276" w:lineRule="auto"/>
        <w:jc w:val="center"/>
      </w:pPr>
      <w:r>
        <w:rPr>
          <w:rFonts w:ascii="Times New Roman" w:hAnsi="Times New Roman" w:cs="Times New Roman" w:eastAsia="Times New Roman"/>
          <w:b/>
          <w:i w:val="0"/>
          <w:sz w:val="32"/>
        </w:rPr>
        <w:t>SCHOOL OF COMPUTER SCIENCE AND ENGINEERING</w:t>
      </w:r>
    </w:p>
    <w:p>
      <w:pPr>
        <w:spacing w:after="200" w:before="0" w:line="276" w:lineRule="auto"/>
        <w:jc w:val="center"/>
      </w:pPr>
      <w:r>
        <w:rPr>
          <w:rFonts w:ascii="Times New Roman" w:hAnsi="Times New Roman" w:cs="Times New Roman" w:eastAsia="Times New Roman"/>
          <w:b w:val="0"/>
          <w:i w:val="0"/>
          <w:sz w:val="28"/>
        </w:rPr>
        <w:t>Vellore Institute of Technology, Chennai</w:t>
      </w:r>
    </w:p>
    <w:p>
      <w:pPr>
        <w:spacing w:after="0" w:before="0" w:line="276" w:lineRule="auto"/>
        <w:jc w:val="center"/>
      </w:pPr>
      <w:r>
        <w:rPr>
          <w:rFonts w:ascii="Times New Roman" w:hAnsi="Times New Roman" w:cs="Times New Roman" w:eastAsia="Times New Roman"/>
          <w:b/>
          <w:i w:val="0"/>
          <w:sz w:val="28"/>
        </w:rPr>
        <w:t xml:space="preserve">Submission date: </w:t>
      </w:r>
      <w:r>
        <w:rPr>
          <w:rFonts w:ascii="Times New Roman" w:hAnsi="Times New Roman" w:cs="Times New Roman" w:eastAsia="Times New Roman"/>
          <w:b/>
          <w:i w:val="0"/>
          <w:sz w:val="28"/>
          <w:highlight w:val="yellow"/>
        </w:rPr>
        <w:t>[November, 2026]</w:t>
      </w:r>
    </w:p>
    <w:p>
      <w:pPr>
        <w:pageBreakBefore/>
        <w:spacing w:after="280" w:before="0" w:line="240" w:lineRule="auto"/>
        <w:jc w:val="center"/>
      </w:pPr>
      <w:r>
        <w:drawing>
          <wp:inline xmlns:a="http://schemas.openxmlformats.org/drawingml/2006/main" xmlns:pic="http://schemas.openxmlformats.org/drawingml/2006/picture">
            <wp:extent cx="2268000" cy="756000"/>
            <wp:docPr id="3" name="Picture 3"/>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360" w:before="120" w:line="276" w:lineRule="auto"/>
        <w:jc w:val="center"/>
      </w:pPr>
      <w:r>
        <w:rPr>
          <w:rFonts w:ascii="Times New Roman" w:hAnsi="Times New Roman" w:cs="Times New Roman" w:eastAsia="Times New Roman"/>
          <w:b/>
          <w:i w:val="0"/>
          <w:sz w:val="28"/>
          <w:u w:val="single"/>
        </w:rPr>
        <w:t>DECLARATION</w:t>
      </w:r>
    </w:p>
    <w:p>
      <w:pPr>
        <w:ind w:firstLine="567"/>
      </w:pPr>
      <w:r>
        <w:rPr>
          <w:rFonts w:ascii="Times New Roman" w:hAnsi="Times New Roman" w:cs="Times New Roman" w:eastAsia="Times New Roman"/>
        </w:rPr>
        <w:t>I hereby declare that the thesis entitled “A Cross-Attention Deep Learning Framework for Multimodal Neuroimaging Fusion in Vision Defect Detection and Classification” submitted by MISHTHI JAIN (</w:t>
      </w:r>
      <w:r>
        <w:rPr>
          <w:rFonts w:ascii="Times New Roman" w:hAnsi="Times New Roman" w:cs="Times New Roman" w:eastAsia="Times New Roman"/>
          <w:highlight w:val="yellow"/>
        </w:rPr>
        <w:t>[Reg. No.]</w:t>
      </w:r>
      <w:r>
        <w:rPr>
          <w:rFonts w:ascii="Times New Roman" w:hAnsi="Times New Roman" w:cs="Times New Roman" w:eastAsia="Times New Roman"/>
        </w:rPr>
        <w:t xml:space="preserve">), for the award of the degree of Bachelor of Technology in Computer Science and Engineering, Vellore Institute of Technology, Chennai is a record of bonafide work carried out by me under the supervision of </w:t>
      </w:r>
      <w:r>
        <w:rPr>
          <w:rFonts w:ascii="Times New Roman" w:hAnsi="Times New Roman" w:cs="Times New Roman" w:eastAsia="Times New Roman"/>
          <w:highlight w:val="yellow"/>
        </w:rPr>
        <w:t>[Guide name]</w:t>
      </w:r>
      <w:r>
        <w:rPr>
          <w:rFonts w:ascii="Times New Roman" w:hAnsi="Times New Roman" w:cs="Times New Roman" w:eastAsia="Times New Roman"/>
        </w:rPr>
        <w:t>.</w:t>
      </w:r>
    </w:p>
    <w:p>
      <w:pPr>
        <w:ind w:firstLine="567"/>
      </w:pPr>
      <w:r>
        <w:rPr>
          <w:rFonts w:ascii="Times New Roman" w:hAnsi="Times New Roman" w:cs="Times New Roman" w:eastAsia="Times New Roman"/>
        </w:rPr>
        <w:t>I further declare that the work reported in this thesis has not been submitted and will not be submitted, either in part or in full, for the award of any other degree or diploma in this institute or any other institute or university.</w:t>
      </w:r>
    </w:p>
    <w:p>
      <w:pPr>
        <w:spacing w:after="800"/>
      </w:pPr>
    </w:p>
    <w:p>
      <w:pPr>
        <w:spacing w:after="40"/>
        <w:jc w:val="left"/>
      </w:pPr>
      <w:r>
        <w:rPr>
          <w:rFonts w:ascii="Times New Roman" w:hAnsi="Times New Roman" w:cs="Times New Roman" w:eastAsia="Times New Roman"/>
        </w:rPr>
        <w:t>Place: Chennai</w:t>
      </w:r>
    </w:p>
    <w:p>
      <w:pPr>
        <w:tabs>
          <w:tab w:pos="8306" w:val="right"/>
        </w:tabs>
        <w:jc w:val="left"/>
      </w:pPr>
      <w:r>
        <w:rPr>
          <w:rFonts w:ascii="Times New Roman" w:hAnsi="Times New Roman" w:cs="Times New Roman" w:eastAsia="Times New Roman"/>
        </w:rPr>
        <w:t xml:space="preserve">Date: </w:t>
      </w:r>
      <w:r>
        <w:rPr>
          <w:rFonts w:ascii="Times New Roman" w:hAnsi="Times New Roman" w:cs="Times New Roman" w:eastAsia="Times New Roman"/>
          <w:highlight w:val="yellow"/>
        </w:rPr>
        <w:t>[dd Month yyyy]</w:t>
      </w:r>
      <w:r>
        <w:rPr>
          <w:rFonts w:ascii="Times New Roman" w:hAnsi="Times New Roman" w:cs="Times New Roman" w:eastAsia="Times New Roman"/>
        </w:rPr>
        <w:tab/>
        <w:t>Signature of the Candidate</w:t>
      </w:r>
    </w:p>
    <w:p>
      <w:pPr>
        <w:pageBreakBefore/>
        <w:spacing w:after="120" w:before="0" w:line="240" w:lineRule="auto"/>
        <w:jc w:val="center"/>
      </w:pPr>
      <w:r>
        <w:drawing>
          <wp:inline xmlns:a="http://schemas.openxmlformats.org/drawingml/2006/main" xmlns:pic="http://schemas.openxmlformats.org/drawingml/2006/picture">
            <wp:extent cx="2268000" cy="756000"/>
            <wp:docPr id="4" name="Picture 4"/>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268000" cy="756000"/>
                    </a:xfrm>
                    <a:prstGeom prst="rect"/>
                  </pic:spPr>
                </pic:pic>
              </a:graphicData>
            </a:graphic>
          </wp:inline>
        </w:drawing>
      </w:r>
    </w:p>
    <w:p>
      <w:pPr>
        <w:spacing w:after="240" w:before="0" w:line="276" w:lineRule="auto"/>
        <w:jc w:val="center"/>
      </w:pPr>
      <w:r>
        <w:rPr>
          <w:rFonts w:ascii="Times New Roman" w:hAnsi="Times New Roman" w:cs="Times New Roman" w:eastAsia="Times New Roman"/>
          <w:b/>
          <w:i w:val="0"/>
          <w:sz w:val="24"/>
        </w:rPr>
        <w:t>School of Computer Science and Engineering</w:t>
      </w:r>
    </w:p>
    <w:p>
      <w:pPr>
        <w:spacing w:after="280" w:before="0" w:line="276" w:lineRule="auto"/>
        <w:jc w:val="center"/>
      </w:pPr>
      <w:r>
        <w:rPr>
          <w:rFonts w:ascii="Times New Roman" w:hAnsi="Times New Roman" w:cs="Times New Roman" w:eastAsia="Times New Roman"/>
          <w:b w:val="0"/>
          <w:i w:val="0"/>
          <w:sz w:val="28"/>
        </w:rPr>
        <w:t>CERTIFICATE</w:t>
      </w:r>
    </w:p>
    <w:p>
      <w:pPr>
        <w:spacing w:line="312" w:lineRule="auto"/>
        <w:ind w:firstLine="567"/>
      </w:pPr>
      <w:r>
        <w:rPr>
          <w:rFonts w:ascii="Times New Roman" w:hAnsi="Times New Roman" w:cs="Times New Roman" w:eastAsia="Times New Roman"/>
        </w:rPr>
        <w:t>This is to certify that the report entitled “A Cross-Attention Deep Learning Framework for Multimodal Neuroimaging Fusion in Vision Defect Detection and Classification” is prepared and submitted by MISHTHI JAIN (</w:t>
      </w:r>
      <w:r>
        <w:rPr>
          <w:rFonts w:ascii="Times New Roman" w:hAnsi="Times New Roman" w:cs="Times New Roman" w:eastAsia="Times New Roman"/>
          <w:highlight w:val="yellow"/>
        </w:rPr>
        <w:t>[Reg. No.]</w:t>
      </w:r>
      <w:r>
        <w:rPr>
          <w:rFonts w:ascii="Times New Roman" w:hAnsi="Times New Roman" w:cs="Times New Roman" w:eastAsia="Times New Roman"/>
        </w:rPr>
        <w:t xml:space="preserve">) to Vellore Institute of Technology, Chennai, in partial fulfillment of the requirement for the award of the degree of </w:t>
      </w:r>
      <w:r>
        <w:rPr>
          <w:rFonts w:ascii="Times New Roman" w:hAnsi="Times New Roman" w:cs="Times New Roman" w:eastAsia="Times New Roman"/>
          <w:b/>
        </w:rPr>
        <w:t>Bachelor of Technology in Computer Science and Engineering (Artificial Intelligence and Machine Learning)</w:t>
      </w:r>
      <w:r>
        <w:rPr>
          <w:rFonts w:ascii="Times New Roman" w:hAnsi="Times New Roman" w:cs="Times New Roman" w:eastAsia="Times New Roman"/>
        </w:rP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after="160" w:before="200" w:line="240" w:lineRule="auto"/>
        <w:jc w:val="left"/>
      </w:pPr>
      <w:r>
        <w:rPr>
          <w:rFonts w:ascii="Times New Roman" w:hAnsi="Times New Roman" w:cs="Times New Roman" w:eastAsia="Times New Roman"/>
        </w:rPr>
        <w:t>Signature of the Guide:</w:t>
      </w:r>
    </w:p>
    <w:p>
      <w:pPr>
        <w:spacing w:after="160" w:before="0" w:line="240" w:lineRule="auto"/>
        <w:jc w:val="left"/>
      </w:pPr>
      <w:r>
        <w:rPr>
          <w:rFonts w:ascii="Times New Roman" w:hAnsi="Times New Roman" w:cs="Times New Roman" w:eastAsia="Times New Roman"/>
        </w:rPr>
        <w:t xml:space="preserve">Name: </w:t>
      </w:r>
      <w:r>
        <w:rPr>
          <w:rFonts w:ascii="Times New Roman" w:hAnsi="Times New Roman" w:cs="Times New Roman" w:eastAsia="Times New Roman"/>
          <w:highlight w:val="yellow"/>
        </w:rPr>
        <w:t>[Dr./Prof. Guide name]</w:t>
      </w:r>
    </w:p>
    <w:p>
      <w:pPr>
        <w:spacing w:after="160" w:before="0" w:line="240" w:lineRule="auto"/>
        <w:jc w:val="left"/>
      </w:pPr>
      <w:r>
        <w:rPr>
          <w:rFonts w:ascii="Times New Roman" w:hAnsi="Times New Roman" w:cs="Times New Roman" w:eastAsia="Times New Roman"/>
        </w:rPr>
        <w:t>Date:</w:t>
      </w:r>
    </w:p>
    <w:p>
      <w:pPr>
        <w:spacing w:after="200" w:line="240" w:lineRule="auto"/>
      </w:pPr>
    </w:p>
    <w:p>
      <w:pPr>
        <w:tabs>
          <w:tab w:pos="4252" w:val="left"/>
        </w:tabs>
        <w:spacing w:after="120" w:line="240" w:lineRule="auto"/>
        <w:jc w:val="left"/>
      </w:pPr>
      <w:r>
        <w:rPr>
          <w:rFonts w:ascii="Times New Roman" w:hAnsi="Times New Roman" w:cs="Times New Roman" w:eastAsia="Times New Roman"/>
        </w:rPr>
        <w:t>Signature of the Examiner</w:t>
        <w:tab/>
        <w:t>Signature of the Examiner</w:t>
      </w:r>
    </w:p>
    <w:p>
      <w:pPr>
        <w:tabs>
          <w:tab w:pos="4252" w:val="left"/>
        </w:tabs>
        <w:spacing w:after="120" w:line="240" w:lineRule="auto"/>
        <w:jc w:val="left"/>
      </w:pPr>
      <w:r>
        <w:rPr>
          <w:rFonts w:ascii="Times New Roman" w:hAnsi="Times New Roman" w:cs="Times New Roman" w:eastAsia="Times New Roman"/>
        </w:rPr>
        <w:t>Name:</w:t>
        <w:tab/>
        <w:t>Name:</w:t>
      </w:r>
    </w:p>
    <w:p>
      <w:pPr>
        <w:tabs>
          <w:tab w:pos="4252" w:val="left"/>
        </w:tabs>
        <w:spacing w:after="120" w:line="240" w:lineRule="auto"/>
        <w:jc w:val="left"/>
      </w:pPr>
      <w:r>
        <w:rPr>
          <w:rFonts w:ascii="Times New Roman" w:hAnsi="Times New Roman" w:cs="Times New Roman" w:eastAsia="Times New Roman"/>
        </w:rPr>
        <w:t>Date:</w:t>
        <w:tab/>
        <w:t>Date:</w:t>
      </w:r>
    </w:p>
    <w:p>
      <w:pPr>
        <w:spacing w:after="200" w:line="240" w:lineRule="auto"/>
      </w:pPr>
    </w:p>
    <w:p>
      <w:pPr>
        <w:spacing w:after="0" w:before="0" w:line="276" w:lineRule="auto"/>
        <w:jc w:val="center"/>
      </w:pPr>
      <w:r>
        <w:rPr>
          <w:rFonts w:ascii="Times New Roman" w:hAnsi="Times New Roman" w:cs="Times New Roman" w:eastAsia="Times New Roman"/>
          <w:b w:val="0"/>
          <w:i w:val="0"/>
          <w:sz w:val="24"/>
        </w:rPr>
        <w:t>Approved by the Head of Department,</w:t>
      </w:r>
    </w:p>
    <w:p>
      <w:pPr>
        <w:spacing w:after="0" w:before="0" w:line="276" w:lineRule="auto"/>
        <w:jc w:val="center"/>
      </w:pPr>
      <w:r>
        <w:rPr>
          <w:rFonts w:ascii="Times New Roman" w:hAnsi="Times New Roman" w:cs="Times New Roman" w:eastAsia="Times New Roman"/>
          <w:b w:val="0"/>
          <w:i w:val="0"/>
          <w:sz w:val="24"/>
        </w:rPr>
        <w:t>Computer Science and Engineering</w:t>
      </w:r>
    </w:p>
    <w:p>
      <w:pPr>
        <w:spacing w:after="160" w:before="0" w:line="276" w:lineRule="auto"/>
        <w:jc w:val="center"/>
      </w:pPr>
      <w:r>
        <w:rPr>
          <w:rFonts w:ascii="Times New Roman" w:hAnsi="Times New Roman" w:cs="Times New Roman" w:eastAsia="Times New Roman"/>
          <w:b w:val="0"/>
          <w:i w:val="0"/>
          <w:sz w:val="24"/>
        </w:rPr>
        <w:t>(Artificial Intelligence and Machine Learning)</w:t>
      </w:r>
    </w:p>
    <w:p>
      <w:pPr>
        <w:spacing w:after="120" w:before="0" w:line="276" w:lineRule="auto"/>
        <w:jc w:val="center"/>
      </w:pPr>
      <w:r>
        <w:rPr>
          <w:rFonts w:ascii="Times New Roman" w:hAnsi="Times New Roman" w:cs="Times New Roman" w:eastAsia="Times New Roman"/>
          <w:b w:val="0"/>
          <w:i w:val="0"/>
          <w:sz w:val="24"/>
        </w:rPr>
        <w:t>Name: Dr. Tulasi Prasad Sariki</w:t>
      </w:r>
    </w:p>
    <w:p>
      <w:pPr>
        <w:spacing w:after="280" w:before="0" w:line="276" w:lineRule="auto"/>
        <w:jc w:val="center"/>
      </w:pPr>
      <w:r>
        <w:rPr>
          <w:rFonts w:ascii="Times New Roman" w:hAnsi="Times New Roman" w:cs="Times New Roman" w:eastAsia="Times New Roman"/>
          <w:b w:val="0"/>
          <w:i w:val="0"/>
          <w:sz w:val="24"/>
        </w:rPr>
        <w:t>Date:</w:t>
      </w:r>
    </w:p>
    <w:p>
      <w:pPr>
        <w:spacing w:line="240" w:lineRule="auto"/>
        <w:jc w:val="left"/>
      </w:pPr>
      <w:r>
        <w:rPr>
          <w:rFonts w:ascii="Times New Roman" w:hAnsi="Times New Roman" w:cs="Times New Roman" w:eastAsia="Times New Roman"/>
          <w:highlight w:val="yellow"/>
        </w:rPr>
        <w:t>[Seal of the School]</w:t>
      </w:r>
    </w:p>
    <w:p>
      <w:pPr>
        <w:sectPr>
          <w:footerReference w:type="default" r:id="rId9"/>
          <w:pgSz w:w="11906" w:h="16838"/>
          <w:pgMar w:top="1440" w:right="1440" w:bottom="1440" w:left="2160" w:header="709" w:footer="709" w:gutter="0"/>
          <w:cols w:space="720"/>
          <w:docGrid w:linePitch="360"/>
        </w:sectPr>
      </w:pPr>
    </w:p>
    <w:p>
      <w:pPr>
        <w:pStyle w:val="FrontHeading"/>
        <w:jc w:val="center"/>
      </w:pPr>
      <w:r>
        <w:rPr>
          <w:rFonts w:ascii="Times New Roman" w:hAnsi="Times New Roman" w:cs="Times New Roman" w:eastAsia="Times New Roman"/>
          <w:b/>
          <w:sz w:val="28"/>
          <w:u w:val="single"/>
        </w:rPr>
        <w:t>ABSTRACT</w:t>
      </w:r>
    </w:p>
    <w:p>
      <w:pPr/>
      <w:r>
        <w:rPr>
          <w:rFonts w:ascii="Times New Roman" w:hAnsi="Times New Roman" w:cs="Times New Roman" w:eastAsia="Times New Roman"/>
        </w:rPr>
        <w:t>Vision depends on an intact pathway from the retina to the visual cortex. Disorders such as glaucoma, optic neuritis and cortical visual impairment alter both its structure, visible on magnetic resonance imaging (MRI), and the timing of its electrical response, recorded as the visual evoked potential (VEP). This project presents a research prototype, the Cross-Attention Fusion Network (CAFN), that combines a three-dimensional MRI volume with a one-dimensional electrophysiological signal. A squeeze-and-excitation 3D residual network and a multi-scale 1D convolutional network map the two inputs to 64 spatial and 16 temporal tokens; gated bidirectional cross-attention fuses them, and a learned attention pool and a multi-task loss with two auxiliary unimodal heads complete the model (1,955,140 parameters; 2.60 G multiply-accumulates per sample at 64³). VEP conditioning uses zero-phase filtering so that P100 latency is preserved: on 150 synthetic recordings it kept the latency within one sample (4 ms) of the ground truth in 149 cases and attenuated 50 Hz interference by 22 dB on average. Because no public dataset offers paired MRI, VEP and diagnosis labels, the architecture is studied on a controlled synthetic benchmark whose generator sets how much class information each modality carries. In this benchmark fusion improved test accuracy by 10.7 percentage points over the better single modality (78.1% against 68.0% for MRI only and 64.0% for VEP only; chance 33.3%), but cross-attention was statistically indistinguishable from concatenation (77.5%) and element-wise sum (79.6%), and none of seven component ablations produced a reliable change. The pipeline is also run on two public OpenNeuro cohorts (95 subjects with both modalities: major depressive disorder with MEG, and zoster-associated neuralgia with sleep EEG). These are not eye-disease data; the label is patient versus control and the resting log power spectrum stands in for the VEP. On them neural fusion is at chance level (cross-validated ROC-AUC 0.51 for CAFN; test accuracy 0.45 to 0.52 in pooled and leave-one-cohort-out runs), a weak spectral signal is detectable (ROC-AUC 0.56 to 0.62, the best being a spectrum-only network), and nothing transfers consistently between cohorts. A 340-test suite and a one-command, seeded pipeline make the work reproducible. No clinical or diagnostic accuracy is claimed.</w:t>
      </w:r>
    </w:p>
    <w:p>
      <w:pPr>
        <w:pStyle w:val="FrontHeading"/>
        <w:jc w:val="center"/>
      </w:pPr>
      <w:r>
        <w:rPr>
          <w:rFonts w:ascii="Times New Roman" w:hAnsi="Times New Roman" w:cs="Times New Roman" w:eastAsia="Times New Roman"/>
          <w:b/>
          <w:sz w:val="28"/>
          <w:u w:val="none"/>
        </w:rPr>
        <w:t>ACKNOWLEDGEMENT</w:t>
      </w:r>
    </w:p>
    <w:p>
      <w:pPr/>
      <w:r>
        <w:rPr>
          <w:rFonts w:ascii="Times New Roman" w:hAnsi="Times New Roman" w:cs="Times New Roman" w:eastAsia="Times New Roman"/>
        </w:rPr>
        <w:t xml:space="preserve">It is my pleasure to express with deep sense of gratitude to </w:t>
      </w:r>
      <w:r>
        <w:rPr>
          <w:rFonts w:ascii="Times New Roman" w:hAnsi="Times New Roman" w:cs="Times New Roman" w:eastAsia="Times New Roman"/>
          <w:highlight w:val="yellow"/>
        </w:rPr>
        <w:t>[Guide name]</w:t>
      </w:r>
      <w:r>
        <w:rPr>
          <w:rFonts w:ascii="Times New Roman" w:hAnsi="Times New Roman" w:cs="Times New Roman" w:eastAsia="Times New Roman"/>
        </w:rPr>
        <w:t xml:space="preserve">, </w:t>
      </w:r>
      <w:r>
        <w:rPr>
          <w:rFonts w:ascii="Times New Roman" w:hAnsi="Times New Roman" w:cs="Times New Roman" w:eastAsia="Times New Roman"/>
          <w:highlight w:val="yellow"/>
        </w:rPr>
        <w:t>[Designation]</w:t>
      </w:r>
      <w:r>
        <w:rPr>
          <w:rFonts w:ascii="Times New Roman" w:hAnsi="Times New Roman" w:cs="Times New Roman" w:eastAsia="Times New Roman"/>
        </w:rPr>
        <w:t xml:space="preserve">, School of Computer Science and Engineering, Vellore Institute of Technology, Chennai, for </w:t>
      </w:r>
      <w:r>
        <w:rPr>
          <w:rFonts w:ascii="Times New Roman" w:hAnsi="Times New Roman" w:cs="Times New Roman" w:eastAsia="Times New Roman"/>
          <w:highlight w:val="yellow"/>
        </w:rPr>
        <w:t>[his/her]</w:t>
      </w:r>
      <w:r>
        <w:rPr>
          <w:rFonts w:ascii="Times New Roman" w:hAnsi="Times New Roman" w:cs="Times New Roman" w:eastAsia="Times New Roman"/>
        </w:rPr>
        <w:t xml:space="preserve"> constant guidance, continual encouragement, understanding; more than all, </w:t>
      </w:r>
      <w:r>
        <w:rPr>
          <w:rFonts w:ascii="Times New Roman" w:hAnsi="Times New Roman" w:cs="Times New Roman" w:eastAsia="Times New Roman"/>
          <w:highlight w:val="yellow"/>
        </w:rPr>
        <w:t>[he/she]</w:t>
      </w:r>
      <w:r>
        <w:rPr>
          <w:rFonts w:ascii="Times New Roman" w:hAnsi="Times New Roman" w:cs="Times New Roman" w:eastAsia="Times New Roman"/>
        </w:rPr>
        <w:t xml:space="preserve"> taught me patience in my endeavor. My association with </w:t>
      </w:r>
      <w:r>
        <w:rPr>
          <w:rFonts w:ascii="Times New Roman" w:hAnsi="Times New Roman" w:cs="Times New Roman" w:eastAsia="Times New Roman"/>
          <w:highlight w:val="yellow"/>
        </w:rPr>
        <w:t>[him/her]</w:t>
      </w:r>
      <w:r>
        <w:rPr>
          <w:rFonts w:ascii="Times New Roman" w:hAnsi="Times New Roman" w:cs="Times New Roman" w:eastAsia="Times New Roman"/>
        </w:rPr>
        <w:t xml:space="preserve"> is not confined to academics only, but it is a great opportunity on my part of work with an intellectual and expert in the field of </w:t>
      </w:r>
      <w:r>
        <w:rPr>
          <w:rFonts w:ascii="Times New Roman" w:hAnsi="Times New Roman" w:cs="Times New Roman" w:eastAsia="Times New Roman"/>
          <w:highlight w:val="yellow"/>
        </w:rPr>
        <w:t>[area of expertise]</w:t>
      </w:r>
      <w:r>
        <w:rPr>
          <w:rFonts w:ascii="Times New Roman" w:hAnsi="Times New Roman" w:cs="Times New Roman" w:eastAsia="Times New Roman"/>
        </w:rPr>
        <w:t>.</w:t>
      </w:r>
    </w:p>
    <w:p>
      <w:pPr/>
      <w:r>
        <w:rPr>
          <w:rFonts w:ascii="Times New Roman" w:hAnsi="Times New Roman" w:cs="Times New Roman" w:eastAsia="Times New Roman"/>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r>
        <w:rPr>
          <w:rFonts w:ascii="Times New Roman" w:hAnsi="Times New Roman" w:cs="Times New Roman" w:eastAsia="Times New Roman"/>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pPr/>
      <w:r>
        <w:rPr>
          <w:rFonts w:ascii="Times New Roman" w:hAnsi="Times New Roman" w:cs="Times New Roman" w:eastAsia="Times New Roman"/>
        </w:rPr>
        <w:t>In jubilant state, I express ingeniously my whole-hearted thanks to Dr. Tulasi Prasad Sariki, Head of the Department, B.Tech. Computer Science and Engineering (Artificial Intelligence and Machine Learning) and the Project Coordinators for their valuable support and encouragement to take up and complete the thesis.</w:t>
      </w:r>
    </w:p>
    <w:p>
      <w:pPr/>
      <w:r>
        <w:rPr>
          <w:rFonts w:ascii="Times New Roman" w:hAnsi="Times New Roman" w:cs="Times New Roman" w:eastAsia="Times New Roman"/>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spacing w:after="40"/>
        <w:jc w:val="left"/>
      </w:pPr>
      <w:r>
        <w:rPr>
          <w:rFonts w:ascii="Times New Roman" w:hAnsi="Times New Roman" w:cs="Times New Roman" w:eastAsia="Times New Roman"/>
        </w:rPr>
        <w:t>Place: Chennai</w:t>
      </w:r>
    </w:p>
    <w:p>
      <w:pPr>
        <w:tabs>
          <w:tab w:pos="8306" w:val="right"/>
        </w:tabs>
        <w:jc w:val="left"/>
      </w:pPr>
      <w:r>
        <w:rPr>
          <w:rFonts w:ascii="Times New Roman" w:hAnsi="Times New Roman" w:cs="Times New Roman" w:eastAsia="Times New Roman"/>
        </w:rPr>
        <w:t xml:space="preserve">Date: </w:t>
      </w:r>
      <w:r>
        <w:rPr>
          <w:rFonts w:ascii="Times New Roman" w:hAnsi="Times New Roman" w:cs="Times New Roman" w:eastAsia="Times New Roman"/>
          <w:highlight w:val="yellow"/>
        </w:rPr>
        <w:t>[dd Month yyyy]</w:t>
      </w:r>
      <w:r>
        <w:rPr>
          <w:rFonts w:ascii="Times New Roman" w:hAnsi="Times New Roman" w:cs="Times New Roman" w:eastAsia="Times New Roman"/>
        </w:rPr>
        <w:tab/>
        <w:t>Mishthi Jain</w:t>
      </w:r>
    </w:p>
    <w:p>
      <w:pPr>
        <w:pStyle w:val="FrontHeading"/>
        <w:jc w:val="center"/>
      </w:pPr>
      <w:r>
        <w:rPr>
          <w:rFonts w:ascii="Times New Roman" w:hAnsi="Times New Roman" w:cs="Times New Roman" w:eastAsia="Times New Roman"/>
          <w:b/>
          <w:sz w:val="28"/>
          <w:u w:val="none"/>
        </w:rPr>
        <w:t>CONTENTS</w:t>
      </w:r>
    </w:p>
    <w:p>
      <w:pPr>
        <w:pStyle w:val="TOC1"/>
      </w:pPr>
      <w:r>
        <w:fldChar w:fldCharType="begin"/>
      </w:r>
      <w:r>
        <w:instrText xml:space="preserve"> TOC \o "1-3" \u </w:instrText>
      </w:r>
      <w:r>
        <w:fldChar w:fldCharType="separate"/>
      </w:r>
      <w:r>
        <w:t>ABSTRACT</w:t>
        <w:tab/>
        <w:t>i</w:t>
      </w:r>
    </w:p>
    <w:p>
      <w:pPr>
        <w:pStyle w:val="TOC1"/>
      </w:pPr>
      <w:r>
        <w:t>ACKNOWLEDGEMENT</w:t>
        <w:tab/>
        <w:t>ii</w:t>
      </w:r>
    </w:p>
    <w:p>
      <w:pPr>
        <w:pStyle w:val="TOC1"/>
      </w:pPr>
      <w:r>
        <w:t>CONTENTS</w:t>
        <w:tab/>
        <w:t>iii</w:t>
      </w:r>
    </w:p>
    <w:p>
      <w:pPr>
        <w:pStyle w:val="TOC1"/>
      </w:pPr>
      <w:r>
        <w:t>LIST OF TABLES</w:t>
        <w:tab/>
        <w:t>vi</w:t>
      </w:r>
    </w:p>
    <w:p>
      <w:pPr>
        <w:pStyle w:val="TOC1"/>
      </w:pPr>
      <w:r>
        <w:t>LIST OF FIGURES</w:t>
        <w:tab/>
        <w:t>viii</w:t>
      </w:r>
    </w:p>
    <w:p>
      <w:pPr>
        <w:pStyle w:val="TOC1"/>
      </w:pPr>
      <w:r>
        <w:t>LIST OF SYMBOLS, ABBREVIATIONS AND NOMENCLATURE</w:t>
        <w:tab/>
        <w:t>x</w:t>
      </w:r>
    </w:p>
    <w:p>
      <w:pPr>
        <w:pStyle w:val="TOC1"/>
      </w:pPr>
      <w:r>
        <w:t>CHAPTER 1 INTRODUCTION</w:t>
        <w:tab/>
        <w:t>1</w:t>
      </w:r>
    </w:p>
    <w:p>
      <w:pPr>
        <w:pStyle w:val="TOC2"/>
      </w:pPr>
      <w:r>
        <w:t>1.1 BACKGROUND</w:t>
        <w:tab/>
        <w:t>1</w:t>
      </w:r>
    </w:p>
    <w:p>
      <w:pPr>
        <w:pStyle w:val="TOC2"/>
      </w:pPr>
      <w:r>
        <w:t>1.2 MOTIVATION AND CHALLENGES</w:t>
        <w:tab/>
        <w:t>2</w:t>
      </w:r>
    </w:p>
    <w:p>
      <w:pPr>
        <w:pStyle w:val="TOC3"/>
      </w:pPr>
      <w:r>
        <w:t>1.2.1 UNIMODAL ISOLATION</w:t>
        <w:tab/>
        <w:t>2</w:t>
      </w:r>
    </w:p>
    <w:p>
      <w:pPr>
        <w:pStyle w:val="TOC3"/>
      </w:pPr>
      <w:r>
        <w:t>1.2.2 CROSS-MODAL HETEROGENEITY</w:t>
        <w:tab/>
        <w:t>2</w:t>
      </w:r>
    </w:p>
    <w:p>
      <w:pPr>
        <w:pStyle w:val="TOC3"/>
      </w:pPr>
      <w:r>
        <w:t>1.2.3 LIMITED INTERPRETABILITY</w:t>
        <w:tab/>
        <w:t>2</w:t>
      </w:r>
    </w:p>
    <w:p>
      <w:pPr>
        <w:pStyle w:val="TOC3"/>
      </w:pPr>
      <w:r>
        <w:t>1.2.4 THE LABELLING GAP</w:t>
        <w:tab/>
        <w:t>3</w:t>
      </w:r>
    </w:p>
    <w:p>
      <w:pPr>
        <w:pStyle w:val="TOC2"/>
      </w:pPr>
      <w:r>
        <w:t>1.3 PROBLEM STATEMENT</w:t>
        <w:tab/>
        <w:t>3</w:t>
      </w:r>
    </w:p>
    <w:p>
      <w:pPr>
        <w:pStyle w:val="TOC2"/>
      </w:pPr>
      <w:r>
        <w:t>1.4 OBJECTIVES AND RESEARCH QUESTIONS</w:t>
        <w:tab/>
        <w:t>4</w:t>
      </w:r>
    </w:p>
    <w:p>
      <w:pPr>
        <w:pStyle w:val="TOC3"/>
      </w:pPr>
      <w:r>
        <w:t>1.4.1 OBJECTIVES</w:t>
        <w:tab/>
        <w:t>4</w:t>
      </w:r>
    </w:p>
    <w:p>
      <w:pPr>
        <w:pStyle w:val="TOC3"/>
      </w:pPr>
      <w:r>
        <w:t>1.4.2 RESEARCH QUESTIONS</w:t>
        <w:tab/>
        <w:t>5</w:t>
      </w:r>
    </w:p>
    <w:p>
      <w:pPr>
        <w:pStyle w:val="TOC3"/>
      </w:pPr>
      <w:r>
        <w:t>1.4.3 WORKING HYPOTHESES</w:t>
        <w:tab/>
        <w:t>5</w:t>
      </w:r>
    </w:p>
    <w:p>
      <w:pPr>
        <w:pStyle w:val="TOC2"/>
      </w:pPr>
      <w:r>
        <w:t>1.5 SCOPE OF THE PROJECT</w:t>
        <w:tab/>
        <w:t>6</w:t>
      </w:r>
    </w:p>
    <w:p>
      <w:pPr>
        <w:pStyle w:val="TOC2"/>
      </w:pPr>
      <w:r>
        <w:t>1.6 LIMITATIONS OF THE STUDY</w:t>
        <w:tab/>
        <w:t>6</w:t>
      </w:r>
    </w:p>
    <w:p>
      <w:pPr>
        <w:pStyle w:val="TOC2"/>
      </w:pPr>
      <w:r>
        <w:t>1.7 CONTRIBUTIONS AND DISTINCTION FROM EXISTING WORK</w:t>
        <w:tab/>
        <w:t>7</w:t>
      </w:r>
    </w:p>
    <w:p>
      <w:pPr>
        <w:pStyle w:val="TOC2"/>
      </w:pPr>
      <w:r>
        <w:t>1.8 ORGANISATION OF THE REPORT</w:t>
        <w:tab/>
        <w:t>8</w:t>
      </w:r>
    </w:p>
    <w:p>
      <w:pPr>
        <w:pStyle w:val="TOC1"/>
      </w:pPr>
      <w:r>
        <w:t>CHAPTER 2 LITERATURE REVIEW</w:t>
        <w:tab/>
        <w:t>10</w:t>
      </w:r>
    </w:p>
    <w:p>
      <w:pPr>
        <w:pStyle w:val="TOC2"/>
      </w:pPr>
      <w:r>
        <w:t>2.1 INTRODUCTION</w:t>
        <w:tab/>
        <w:t>10</w:t>
      </w:r>
    </w:p>
    <w:p>
      <w:pPr>
        <w:pStyle w:val="TOC2"/>
      </w:pPr>
      <w:r>
        <w:t>2.2 CLINICAL BACKGROUND</w:t>
        <w:tab/>
        <w:t>10</w:t>
      </w:r>
    </w:p>
    <w:p>
      <w:pPr>
        <w:pStyle w:val="TOC3"/>
      </w:pPr>
      <w:r>
        <w:t>2.2.1 GLAUCOMA, OPTIC NEURITIS AND CORTICAL VISUAL IMPAIRMENT</w:t>
        <w:tab/>
        <w:t>10</w:t>
      </w:r>
    </w:p>
    <w:p>
      <w:pPr>
        <w:pStyle w:val="TOC3"/>
      </w:pPr>
      <w:r>
        <w:t>2.2.2 THE VISUAL EVOKED POTENTIAL AND THE P100 COMPONENT</w:t>
        <w:tab/>
        <w:t>11</w:t>
      </w:r>
    </w:p>
    <w:p>
      <w:pPr>
        <w:pStyle w:val="TOC2"/>
      </w:pPr>
      <w:r>
        <w:t>2.3 DEEP LEARNING FOR VOLUMETRIC NEUROIMAGING</w:t>
        <w:tab/>
        <w:t>11</w:t>
      </w:r>
    </w:p>
    <w:p>
      <w:pPr>
        <w:pStyle w:val="TOC2"/>
      </w:pPr>
      <w:r>
        <w:t>2.4 DEEP LEARNING FOR ONE-DIMENSIONAL ELECTROPHYSIOLOGICAL SIGNALS</w:t>
        <w:tab/>
        <w:t>12</w:t>
      </w:r>
    </w:p>
    <w:p>
      <w:pPr>
        <w:pStyle w:val="TOC2"/>
      </w:pPr>
      <w:r>
        <w:t>2.5 MULTIMODAL DATA FUSION</w:t>
        <w:tab/>
        <w:t>12</w:t>
      </w:r>
    </w:p>
    <w:p>
      <w:pPr>
        <w:pStyle w:val="TOC2"/>
      </w:pPr>
      <w:r>
        <w:t>2.6 ATTENTION AND CROSS-ATTENTION</w:t>
        <w:tab/>
        <w:t>14</w:t>
      </w:r>
    </w:p>
    <w:p>
      <w:pPr>
        <w:pStyle w:val="TOC2"/>
      </w:pPr>
      <w:r>
        <w:t>2.7 EXPLAINABILITY</w:t>
        <w:tab/>
        <w:t>14</w:t>
      </w:r>
    </w:p>
    <w:p>
      <w:pPr>
        <w:pStyle w:val="TOC2"/>
      </w:pPr>
      <w:r>
        <w:t>2.8 PUBLIC DATA RESOURCES AND THE LABELLING GAP</w:t>
        <w:tab/>
        <w:t>15</w:t>
      </w:r>
    </w:p>
    <w:p>
      <w:pPr>
        <w:pStyle w:val="TOC2"/>
      </w:pPr>
      <w:r>
        <w:t>2.9 RESEARCH GAP AND POSITION OF THIS PROJECT</w:t>
        <w:tab/>
        <w:t>15</w:t>
      </w:r>
    </w:p>
    <w:p>
      <w:pPr>
        <w:pStyle w:val="TOC1"/>
      </w:pPr>
      <w:r>
        <w:t>CHAPTER 3 METHODOLOGY</w:t>
        <w:tab/>
        <w:t>18</w:t>
      </w:r>
    </w:p>
    <w:p>
      <w:pPr>
        <w:pStyle w:val="TOC2"/>
      </w:pPr>
      <w:r>
        <w:t>3.1 OVERVIEW OF THE APPROACH</w:t>
        <w:tab/>
        <w:t>18</w:t>
      </w:r>
    </w:p>
    <w:p>
      <w:pPr>
        <w:pStyle w:val="TOC2"/>
      </w:pPr>
      <w:r>
        <w:t>3.2 DESIGN PRINCIPLES</w:t>
        <w:tab/>
        <w:t>20</w:t>
      </w:r>
    </w:p>
    <w:p>
      <w:pPr>
        <w:pStyle w:val="TOC2"/>
      </w:pPr>
      <w:r>
        <w:t>3.3 TOOLS AND ENVIRONMENT</w:t>
        <w:tab/>
        <w:t>21</w:t>
      </w:r>
    </w:p>
    <w:p>
      <w:pPr>
        <w:pStyle w:val="TOC2"/>
      </w:pPr>
      <w:r>
        <w:t>3.4 DATA SOURCES</w:t>
        <w:tab/>
        <w:t>21</w:t>
      </w:r>
    </w:p>
    <w:p>
      <w:pPr>
        <w:pStyle w:val="TOC3"/>
      </w:pPr>
      <w:r>
        <w:t>3.4.1 PUBLIC RESOURCES SURVEYED</w:t>
        <w:tab/>
        <w:t>21</w:t>
      </w:r>
    </w:p>
    <w:p>
      <w:pPr>
        <w:pStyle w:val="TOC3"/>
      </w:pPr>
      <w:r>
        <w:t>3.4.2 REAL COHORTS USED IN STUDY B</w:t>
        <w:tab/>
        <w:t>22</w:t>
      </w:r>
    </w:p>
    <w:p>
      <w:pPr>
        <w:pStyle w:val="TOC2"/>
      </w:pPr>
      <w:r>
        <w:t>3.5 SYNTHETIC DATA GENERATION</w:t>
        <w:tab/>
        <w:t>23</w:t>
      </w:r>
    </w:p>
    <w:p>
      <w:pPr>
        <w:pStyle w:val="TOC3"/>
      </w:pPr>
      <w:r>
        <w:t>3.5.1 SYNTHETIC MRI VOLUMES (ORIGINAL GENERATOR)</w:t>
        <w:tab/>
        <w:t>24</w:t>
      </w:r>
    </w:p>
    <w:p>
      <w:pPr>
        <w:pStyle w:val="TOC3"/>
      </w:pPr>
      <w:r>
        <w:t>3.5.2 SYNTHETIC VEP WAVEFORMS (ORIGINAL GENERATOR)</w:t>
        <w:tab/>
        <w:t>25</w:t>
      </w:r>
    </w:p>
    <w:p>
      <w:pPr>
        <w:pStyle w:val="TOC3"/>
      </w:pPr>
      <w:r>
        <w:t>3.5.3 DATASET BEHAVIOUR</w:t>
        <w:tab/>
        <w:t>25</w:t>
      </w:r>
    </w:p>
    <w:p>
      <w:pPr>
        <w:pStyle w:val="TOC3"/>
      </w:pPr>
      <w:r>
        <w:t>3.5.4 CONTROLLABLE CLASS INFORMATIVENESS (CURRENT GENERATOR)</w:t>
        <w:tab/>
        <w:t>26</w:t>
      </w:r>
    </w:p>
    <w:p>
      <w:pPr>
        <w:pStyle w:val="TOC2"/>
      </w:pPr>
      <w:r>
        <w:t>3.6 DATA INTERFACE</w:t>
        <w:tab/>
        <w:t>27</w:t>
      </w:r>
    </w:p>
    <w:p>
      <w:pPr>
        <w:pStyle w:val="TOC2"/>
      </w:pPr>
      <w:r>
        <w:t>3.7 MRI PREPROCESSING</w:t>
        <w:tab/>
        <w:t>28</w:t>
      </w:r>
    </w:p>
    <w:p>
      <w:pPr>
        <w:pStyle w:val="TOC2"/>
      </w:pPr>
      <w:r>
        <w:t>3.8 VEP PREPROCESSING</w:t>
        <w:tab/>
        <w:t>30</w:t>
      </w:r>
    </w:p>
    <w:p>
      <w:pPr>
        <w:pStyle w:val="TOC2"/>
      </w:pPr>
      <w:r>
        <w:t>3.9 EVALUATION STRATEGY</w:t>
        <w:tab/>
        <w:t>32</w:t>
      </w:r>
    </w:p>
    <w:p>
      <w:pPr>
        <w:pStyle w:val="TOC3"/>
      </w:pPr>
      <w:r>
        <w:t>3.9.1 STUDY A: CONTROLLED SYNTHETIC BENCHMARK</w:t>
        <w:tab/>
        <w:t>33</w:t>
      </w:r>
    </w:p>
    <w:p>
      <w:pPr>
        <w:pStyle w:val="TOC3"/>
      </w:pPr>
      <w:r>
        <w:t>3.9.2 STUDY B: REAL COHORTS</w:t>
        <w:tab/>
        <w:t>34</w:t>
      </w:r>
    </w:p>
    <w:p>
      <w:pPr>
        <w:pStyle w:val="TOC3"/>
      </w:pPr>
      <w:r>
        <w:t>3.9.3 METRICS AND REPORTING</w:t>
        <w:tab/>
        <w:t>35</w:t>
      </w:r>
    </w:p>
    <w:p>
      <w:pPr>
        <w:pStyle w:val="TOC1"/>
      </w:pPr>
      <w:r>
        <w:t>CHAPTER 4 SYSTEM DESIGN AND IMPLEMENTATION</w:t>
        <w:tab/>
        <w:t>36</w:t>
      </w:r>
    </w:p>
    <w:p>
      <w:pPr>
        <w:pStyle w:val="TOC2"/>
      </w:pPr>
      <w:r>
        <w:t>4.1 ARCHITECTURE OVERVIEW</w:t>
        <w:tab/>
        <w:t>36</w:t>
      </w:r>
    </w:p>
    <w:p>
      <w:pPr>
        <w:pStyle w:val="TOC2"/>
      </w:pPr>
      <w:r>
        <w:t>4.2 SPATIAL ENCODER (3D RESIDUAL CNN)</w:t>
        <w:tab/>
        <w:t>38</w:t>
      </w:r>
    </w:p>
    <w:p>
      <w:pPr>
        <w:pStyle w:val="TOC2"/>
      </w:pPr>
      <w:r>
        <w:t>4.3 TEMPORAL ENCODER (1D CNN)</w:t>
        <w:tab/>
        <w:t>39</w:t>
      </w:r>
    </w:p>
    <w:p>
      <w:pPr>
        <w:pStyle w:val="TOC2"/>
      </w:pPr>
      <w:r>
        <w:t>4.4 CROSS-ATTENTION FUSION MODULE</w:t>
        <w:tab/>
        <w:t>41</w:t>
      </w:r>
    </w:p>
    <w:p>
      <w:pPr>
        <w:pStyle w:val="TOC2"/>
      </w:pPr>
      <w:r>
        <w:t>4.5 CLASSIFICATION HEADS AND MULTI-TASK LOSS</w:t>
        <w:tab/>
        <w:t>43</w:t>
      </w:r>
    </w:p>
    <w:p>
      <w:pPr>
        <w:pStyle w:val="TOC2"/>
      </w:pPr>
      <w:r>
        <w:t>4.6 TRAINING PROCEDURE</w:t>
        <w:tab/>
        <w:t>44</w:t>
      </w:r>
    </w:p>
    <w:p>
      <w:pPr>
        <w:pStyle w:val="TOC2"/>
      </w:pPr>
      <w:r>
        <w:t>4.7 EXPLAINABILITY</w:t>
        <w:tab/>
        <w:t>47</w:t>
      </w:r>
    </w:p>
    <w:p>
      <w:pPr>
        <w:pStyle w:val="TOC3"/>
      </w:pPr>
      <w:r>
        <w:t>4.7.1 3D GRAD-CAM ON THE FUSED LOGIT</w:t>
        <w:tab/>
        <w:t>47</w:t>
      </w:r>
    </w:p>
    <w:p>
      <w:pPr>
        <w:pStyle w:val="TOC3"/>
      </w:pPr>
      <w:r>
        <w:t>4.7.2 CROSS-ATTENTION HEATMAP</w:t>
        <w:tab/>
        <w:t>47</w:t>
      </w:r>
    </w:p>
    <w:p>
      <w:pPr>
        <w:pStyle w:val="TOC3"/>
      </w:pPr>
      <w:r>
        <w:t>4.7.3 P100 LATENCY ESTIMATOR</w:t>
        <w:tab/>
        <w:t>48</w:t>
      </w:r>
    </w:p>
    <w:p>
      <w:pPr>
        <w:pStyle w:val="TOC2"/>
      </w:pPr>
      <w:r>
        <w:t>4.8 SOFTWARE STRUCTURE AND CONFIGURATION</w:t>
        <w:tab/>
        <w:t>48</w:t>
      </w:r>
    </w:p>
    <w:p>
      <w:pPr>
        <w:pStyle w:val="TOC2"/>
      </w:pPr>
      <w:r>
        <w:t>4.9 TEST DESIGN</w:t>
        <w:tab/>
        <w:t>51</w:t>
      </w:r>
    </w:p>
    <w:p>
      <w:pPr>
        <w:pStyle w:val="TOC1"/>
      </w:pPr>
      <w:r>
        <w:t>CHAPTER 5 RESULTS</w:t>
        <w:tab/>
        <w:t>54</w:t>
      </w:r>
    </w:p>
    <w:p>
      <w:pPr>
        <w:pStyle w:val="TOC2"/>
      </w:pPr>
      <w:r>
        <w:t>5.1 INTRODUCTION</w:t>
        <w:tab/>
        <w:t>54</w:t>
      </w:r>
    </w:p>
    <w:p>
      <w:pPr>
        <w:pStyle w:val="TOC2"/>
      </w:pPr>
      <w:r>
        <w:t>5.2 SIGNAL CONDITIONING RESULTS</w:t>
        <w:tab/>
        <w:t>54</w:t>
      </w:r>
    </w:p>
    <w:p>
      <w:pPr>
        <w:pStyle w:val="TOC3"/>
      </w:pPr>
      <w:r>
        <w:t>5.2.1 FREQUENCY RESPONSE</w:t>
        <w:tab/>
        <w:t>54</w:t>
      </w:r>
    </w:p>
    <w:p>
      <w:pPr>
        <w:pStyle w:val="TOC3"/>
      </w:pPr>
      <w:r>
        <w:t>5.2.2 MAINS-INTERFERENCE ATTENUATION</w:t>
        <w:tab/>
        <w:t>55</w:t>
      </w:r>
    </w:p>
    <w:p>
      <w:pPr>
        <w:pStyle w:val="TOC3"/>
      </w:pPr>
      <w:r>
        <w:t>5.2.3 P100 LATENCY</w:t>
        <w:tab/>
        <w:t>56</w:t>
      </w:r>
    </w:p>
    <w:p>
      <w:pPr>
        <w:pStyle w:val="TOC3"/>
      </w:pPr>
      <w:r>
        <w:t>5.2.4 CONDITIONED-WAVEFORM STATISTICS</w:t>
        <w:tab/>
        <w:t>57</w:t>
      </w:r>
    </w:p>
    <w:p>
      <w:pPr>
        <w:pStyle w:val="TOC3"/>
      </w:pPr>
      <w:r>
        <w:t>5.2.5 NOMINAL TEMPORAL-TOKEN BINS</w:t>
        <w:tab/>
        <w:t>58</w:t>
      </w:r>
    </w:p>
    <w:p>
      <w:pPr>
        <w:pStyle w:val="TOC2"/>
      </w:pPr>
      <w:r>
        <w:t>5.3 SYNTHETIC MRI CHARACTERISATION</w:t>
        <w:tab/>
        <w:t>58</w:t>
      </w:r>
    </w:p>
    <w:p>
      <w:pPr>
        <w:pStyle w:val="TOC2"/>
      </w:pPr>
      <w:r>
        <w:t>5.4 MODEL COMPLEXITY</w:t>
        <w:tab/>
        <w:t>58</w:t>
      </w:r>
    </w:p>
    <w:p>
      <w:pPr>
        <w:pStyle w:val="TOC2"/>
      </w:pPr>
      <w:r>
        <w:t>5.5 INTERFACE AND SHAPE VERIFICATION</w:t>
        <w:tab/>
        <w:t>59</w:t>
      </w:r>
    </w:p>
    <w:p>
      <w:pPr>
        <w:pStyle w:val="TOC2"/>
      </w:pPr>
      <w:r>
        <w:t>5.6 SOFTWARE VERIFICATION RESULTS</w:t>
        <w:tab/>
        <w:t>60</w:t>
      </w:r>
    </w:p>
    <w:p>
      <w:pPr>
        <w:pStyle w:val="TOC2"/>
      </w:pPr>
      <w:r>
        <w:t>5.7 TRAINING ACCEPTANCE CRITERIA</w:t>
        <w:tab/>
        <w:t>61</w:t>
      </w:r>
    </w:p>
    <w:p>
      <w:pPr>
        <w:pStyle w:val="TOC2"/>
      </w:pPr>
      <w:r>
        <w:t>5.8 SUMMARY OF RESULTS</w:t>
        <w:tab/>
        <w:t>62</w:t>
      </w:r>
    </w:p>
    <w:p>
      <w:pPr>
        <w:pStyle w:val="TOC2"/>
      </w:pPr>
      <w:r>
        <w:t>5.9 CONTROLLED SYNTHETIC BENCHMARK AND ABLATION</w:t>
        <w:tab/>
        <w:t>63</w:t>
      </w:r>
    </w:p>
    <w:p>
      <w:pPr>
        <w:pStyle w:val="TOC2"/>
      </w:pPr>
      <w:r>
        <w:t>5.10 INFORMATIVENESS SWEEP</w:t>
        <w:tab/>
        <w:t>65</w:t>
      </w:r>
    </w:p>
    <w:p>
      <w:pPr>
        <w:pStyle w:val="TOC2"/>
      </w:pPr>
      <w:r>
        <w:t>5.11 REAL COHORTS: CROSS-VALIDATION AND PERMUTATION TESTS</w:t>
        <w:tab/>
        <w:t>66</w:t>
      </w:r>
    </w:p>
    <w:p>
      <w:pPr>
        <w:pStyle w:val="TOC2"/>
      </w:pPr>
      <w:r>
        <w:t>5.12 POOLED AND LEAVE-ONE-COHORT-OUT CAFN</w:t>
        <w:tab/>
        <w:t>68</w:t>
      </w:r>
    </w:p>
    <w:p>
      <w:pPr>
        <w:pStyle w:val="TOC1"/>
      </w:pPr>
      <w:r>
        <w:t>CHAPTER 6 DISCUSSION</w:t>
        <w:tab/>
        <w:t>70</w:t>
      </w:r>
    </w:p>
    <w:p>
      <w:pPr>
        <w:pStyle w:val="TOC2"/>
      </w:pPr>
      <w:r>
        <w:t>6.1 INTRODUCTION</w:t>
        <w:tab/>
        <w:t>70</w:t>
      </w:r>
    </w:p>
    <w:p>
      <w:pPr>
        <w:pStyle w:val="TOC2"/>
      </w:pPr>
      <w:r>
        <w:t>6.2 INTERPRETATION OF THE RESULTS</w:t>
        <w:tab/>
        <w:t>70</w:t>
      </w:r>
    </w:p>
    <w:p>
      <w:pPr>
        <w:pStyle w:val="TOC3"/>
      </w:pPr>
      <w:r>
        <w:t>6.2.1 SIGNAL CONDITIONING</w:t>
        <w:tab/>
        <w:t>70</w:t>
      </w:r>
    </w:p>
    <w:p>
      <w:pPr>
        <w:pStyle w:val="TOC3"/>
      </w:pPr>
      <w:r>
        <w:t>6.2.2 SYNTHETIC DATA AND THE FOREGROUND MASK</w:t>
        <w:tab/>
        <w:t>71</w:t>
      </w:r>
    </w:p>
    <w:p>
      <w:pPr>
        <w:pStyle w:val="TOC3"/>
      </w:pPr>
      <w:r>
        <w:t>6.2.3 MODEL SIZE AND COST</w:t>
        <w:tab/>
        <w:t>72</w:t>
      </w:r>
    </w:p>
    <w:p>
      <w:pPr>
        <w:pStyle w:val="TOC3"/>
      </w:pPr>
      <w:r>
        <w:t>6.2.4 VERIFICATION</w:t>
        <w:tab/>
        <w:t>72</w:t>
      </w:r>
    </w:p>
    <w:p>
      <w:pPr>
        <w:pStyle w:val="TOC2"/>
      </w:pPr>
      <w:r>
        <w:t>6.3 ASSESSMENT AGAINST THE OBJECTIVES, QUESTIONS AND HYPOTHESES</w:t>
        <w:tab/>
        <w:t>73</w:t>
      </w:r>
    </w:p>
    <w:p>
      <w:pPr>
        <w:pStyle w:val="TOC2"/>
      </w:pPr>
      <w:r>
        <w:t>6.4 DESIGN OBSERVATIONS</w:t>
        <w:tab/>
        <w:t>74</w:t>
      </w:r>
    </w:p>
    <w:p>
      <w:pPr>
        <w:pStyle w:val="TOC3"/>
      </w:pPr>
      <w:r>
        <w:t>6.4.1 COARSE TEMPORAL TOKENS</w:t>
        <w:tab/>
        <w:t>74</w:t>
      </w:r>
    </w:p>
    <w:p>
      <w:pPr>
        <w:pStyle w:val="TOC3"/>
      </w:pPr>
      <w:r>
        <w:t>6.4.2 SYNTHETIC SEPARABILITY</w:t>
        <w:tab/>
        <w:t>74</w:t>
      </w:r>
    </w:p>
    <w:p>
      <w:pPr>
        <w:pStyle w:val="TOC3"/>
      </w:pPr>
      <w:r>
        <w:t>6.4.3 MULTI-TASK SUPERVISION AND ATTENTION</w:t>
        <w:tab/>
        <w:t>75</w:t>
      </w:r>
    </w:p>
    <w:p>
      <w:pPr>
        <w:pStyle w:val="TOC3"/>
      </w:pPr>
      <w:r>
        <w:t>6.4.4 PITFALLS DISCOVERED DURING THE PROJECT</w:t>
        <w:tab/>
        <w:t>75</w:t>
      </w:r>
    </w:p>
    <w:p>
      <w:pPr>
        <w:pStyle w:val="TOC2"/>
      </w:pPr>
      <w:r>
        <w:t>6.5 COMPARISON WITH THE LITERATURE</w:t>
        <w:tab/>
        <w:t>76</w:t>
      </w:r>
    </w:p>
    <w:p>
      <w:pPr>
        <w:pStyle w:val="TOC2"/>
      </w:pPr>
      <w:r>
        <w:t>6.6 CONSTRAINTS AND THREATS TO VALIDITY</w:t>
        <w:tab/>
        <w:t>77</w:t>
      </w:r>
    </w:p>
    <w:p>
      <w:pPr>
        <w:pStyle w:val="TOC1"/>
      </w:pPr>
      <w:r>
        <w:t>CHAPTER 7 CONCLUSION, RECOMMENDATIONS AND FUTURE WORK</w:t>
        <w:tab/>
        <w:t>78</w:t>
      </w:r>
    </w:p>
    <w:p>
      <w:pPr>
        <w:pStyle w:val="TOC2"/>
      </w:pPr>
      <w:r>
        <w:t>7.1 CONCLUSION</w:t>
        <w:tab/>
        <w:t>78</w:t>
      </w:r>
    </w:p>
    <w:p>
      <w:pPr>
        <w:pStyle w:val="TOC2"/>
      </w:pPr>
      <w:r>
        <w:t>7.2 CONCLUSIONS AGAINST THE OBJECTIVES</w:t>
        <w:tab/>
        <w:t>80</w:t>
      </w:r>
    </w:p>
    <w:p>
      <w:pPr>
        <w:pStyle w:val="TOC2"/>
      </w:pPr>
      <w:r>
        <w:t>7.3 RECOMMENDATIONS</w:t>
        <w:tab/>
        <w:t>80</w:t>
      </w:r>
    </w:p>
    <w:p>
      <w:pPr>
        <w:pStyle w:val="TOC2"/>
      </w:pPr>
      <w:r>
        <w:t>7.4 FUTURE WORK</w:t>
        <w:tab/>
        <w:t>81</w:t>
      </w:r>
    </w:p>
    <w:p>
      <w:pPr>
        <w:pStyle w:val="TOC2"/>
      </w:pPr>
      <w:r>
        <w:t>7.5 CLOSING REMARKS</w:t>
        <w:tab/>
        <w:t>82</w:t>
      </w:r>
    </w:p>
    <w:p>
      <w:pPr>
        <w:pStyle w:val="TOC1"/>
      </w:pPr>
      <w:r>
        <w:t>REFERENCES</w:t>
        <w:tab/>
        <w:t>83</w:t>
      </w:r>
    </w:p>
    <w:p>
      <w:pPr>
        <w:pStyle w:val="TOC1"/>
      </w:pPr>
      <w:r>
        <w:t>APPENDIX 1 DEFAULT CONFIGURATION</w:t>
        <w:tab/>
        <w:t>88</w:t>
      </w:r>
    </w:p>
    <w:p>
      <w:pPr>
        <w:pStyle w:val="TOC2"/>
      </w:pPr>
      <w:r>
        <w:t>A1.1 CONFIGURATION PARAMETERS</w:t>
        <w:tab/>
        <w:t>88</w:t>
      </w:r>
    </w:p>
    <w:p>
      <w:pPr>
        <w:pStyle w:val="TOC1"/>
      </w:pPr>
      <w:r>
        <w:t>APPENDIX 2 SOURCE CODE LISTINGS</w:t>
        <w:tab/>
        <w:t>89</w:t>
      </w:r>
    </w:p>
    <w:p>
      <w:pPr>
        <w:pStyle w:val="TOC2"/>
      </w:pPr>
      <w:r>
        <w:t>A2.1 OVERVIEW</w:t>
        <w:tab/>
        <w:t>89</w:t>
      </w:r>
    </w:p>
    <w:p>
      <w:pPr>
        <w:pStyle w:val="TOC2"/>
      </w:pPr>
      <w:r>
        <w:t>A2.2 LISTINGS</w:t>
        <w:tab/>
        <w:t>89</w:t>
      </w:r>
    </w:p>
    <w:p>
      <w:pPr>
        <w:pStyle w:val="TOC1"/>
      </w:pPr>
      <w:r>
        <w:t>APPENDIX 3 TEST INVENTORY</w:t>
        <w:tab/>
        <w:t>105</w:t>
      </w:r>
    </w:p>
    <w:p>
      <w:pPr>
        <w:pStyle w:val="TOC2"/>
      </w:pPr>
      <w:r>
        <w:t>A3.1 TEST FILES</w:t>
        <w:tab/>
        <w:t>105</w:t>
      </w:r>
    </w:p>
    <w:p>
      <w:pPr>
        <w:pStyle w:val="TOC2"/>
      </w:pPr>
      <w:r>
        <w:t>A3.2 TEST FUNCTIONS</w:t>
        <w:tab/>
        <w:t>105</w:t>
      </w:r>
    </w:p>
    <w:p>
      <w:pPr>
        <w:pStyle w:val="TOC1"/>
      </w:pPr>
      <w:r>
        <w:t>APPENDIX 4 REPRODUCTION NOTES</w:t>
        <w:tab/>
        <w:t>108</w:t>
      </w:r>
    </w:p>
    <w:p>
      <w:pPr>
        <w:pStyle w:val="TOC2"/>
      </w:pPr>
      <w:r>
        <w:t>A4.1 SOFTWARE ENVIRONMENT</w:t>
        <w:tab/>
        <w:t>108</w:t>
      </w:r>
    </w:p>
    <w:p>
      <w:pPr>
        <w:pStyle w:val="TOC2"/>
      </w:pPr>
      <w:r>
        <w:t>A4.2 COMMANDS</w:t>
        <w:tab/>
        <w:t>108</w:t>
      </w:r>
    </w:p>
    <w:p>
      <w:pPr>
        <w:pStyle w:val="TOC2"/>
      </w:pPr>
      <w:r>
        <w:t>A4.3 MEASUREMENTS REPORTED IN CHAPTER 5</w:t>
        <w:tab/>
        <w:t>108</w:t>
      </w:r>
    </w:p>
    <w:p>
      <w:pPr>
        <w:pStyle w:val="TOC2"/>
      </w:pPr>
      <w:r>
        <w:t>A4.4 ITEMS NOT REPRODUCED HERE</w:t>
        <w:tab/>
        <w:t>109</w:t>
      </w:r>
      <w:r>
        <w:fldChar w:fldCharType="end"/>
      </w:r>
    </w:p>
    <w:p>
      <w:pPr>
        <w:pStyle w:val="FrontHeading"/>
        <w:jc w:val="center"/>
      </w:pPr>
      <w:r>
        <w:rPr>
          <w:rFonts w:ascii="Times New Roman" w:hAnsi="Times New Roman" w:cs="Times New Roman" w:eastAsia="Times New Roman"/>
          <w:b/>
          <w:sz w:val="28"/>
          <w:u w:val="none"/>
        </w:rPr>
        <w:t>LIST OF TABLES</w:t>
      </w:r>
    </w:p>
    <w:p>
      <w:pPr>
        <w:pStyle w:val="ListEntry"/>
      </w:pPr>
      <w:r>
        <w:rPr>
          <w:rFonts w:ascii="Times New Roman" w:hAnsi="Times New Roman" w:cs="Times New Roman" w:eastAsia="Times New Roman"/>
          <w:sz w:val="24"/>
        </w:rPr>
        <w:t xml:space="preserve">Table 1.1</w:t>
      </w:r>
      <w:r>
        <w:rPr>
          <w:rFonts w:ascii="Times New Roman" w:hAnsi="Times New Roman" w:cs="Times New Roman" w:eastAsia="Times New Roman"/>
          <w:sz w:val="24"/>
        </w:rPr>
        <w:tab/>
      </w:r>
      <w:r>
        <w:rPr>
          <w:rFonts w:ascii="Times New Roman" w:hAnsi="Times New Roman" w:cs="Times New Roman" w:eastAsia="Times New Roman"/>
          <w:sz w:val="24"/>
        </w:rPr>
        <w:t xml:space="preserve">Organisation of the report.</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_Ref_Table_1_1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8</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2.1</w:t>
      </w:r>
      <w:r>
        <w:rPr>
          <w:rFonts w:ascii="Times New Roman" w:hAnsi="Times New Roman" w:cs="Times New Roman" w:eastAsia="Times New Roman"/>
          <w:sz w:val="24"/>
        </w:rPr>
        <w:tab/>
      </w:r>
      <w:r>
        <w:rPr>
          <w:rFonts w:ascii="Times New Roman" w:hAnsi="Times New Roman" w:cs="Times New Roman" w:eastAsia="Times New Roman"/>
          <w:sz w:val="24"/>
        </w:rPr>
        <w:t xml:space="preserve">Clinical conditions considered and the way each is encoded in the original synthetic generator (the current generator, Section 3.5.4, adds random lesion position and per-sample jitter).</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_Ref_Table_2_1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11</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2.2</w:t>
      </w:r>
      <w:r>
        <w:rPr>
          <w:rFonts w:ascii="Times New Roman" w:hAnsi="Times New Roman" w:cs="Times New Roman" w:eastAsia="Times New Roman"/>
          <w:sz w:val="24"/>
        </w:rPr>
        <w:tab/>
      </w:r>
      <w:r>
        <w:rPr>
          <w:rFonts w:ascii="Times New Roman" w:hAnsi="Times New Roman" w:cs="Times New Roman" w:eastAsia="Times New Roman"/>
          <w:sz w:val="24"/>
        </w:rPr>
        <w:t xml:space="preserve">Canonical fusion strategies and the position of this project.</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_Ref_Table_2_2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13</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2.3</w:t>
      </w:r>
      <w:r>
        <w:rPr>
          <w:rFonts w:ascii="Times New Roman" w:hAnsi="Times New Roman" w:cs="Times New Roman" w:eastAsia="Times New Roman"/>
          <w:sz w:val="24"/>
        </w:rPr>
        <w:tab/>
      </w:r>
      <w:r>
        <w:rPr>
          <w:rFonts w:ascii="Times New Roman" w:hAnsi="Times New Roman" w:cs="Times New Roman" w:eastAsia="Times New Roman"/>
          <w:sz w:val="24"/>
        </w:rPr>
        <w:t xml:space="preserve">Key references and where each is used in the project.</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_Ref_Table_2_3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16</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2.4</w:t>
      </w:r>
      <w:r>
        <w:rPr>
          <w:rFonts w:ascii="Times New Roman" w:hAnsi="Times New Roman" w:cs="Times New Roman" w:eastAsia="Times New Roman"/>
          <w:sz w:val="24"/>
        </w:rPr>
        <w:tab/>
      </w:r>
      <w:r>
        <w:rPr>
          <w:rFonts w:ascii="Times New Roman" w:hAnsi="Times New Roman" w:cs="Times New Roman" w:eastAsia="Times New Roman"/>
          <w:sz w:val="24"/>
        </w:rPr>
        <w:t xml:space="preserve">Published cross-attention fusion studies versus this work. The numbers are those reported by the authors on their own data; they are not comparable with the results of this report (different tasks, modalities and data).</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_Ref_Table_2_4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17</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3.1</w:t>
      </w:r>
      <w:r>
        <w:rPr>
          <w:rFonts w:ascii="Times New Roman" w:hAnsi="Times New Roman" w:cs="Times New Roman" w:eastAsia="Times New Roman"/>
          <w:sz w:val="24"/>
        </w:rPr>
        <w:tab/>
      </w:r>
      <w:r>
        <w:rPr>
          <w:rFonts w:ascii="Times New Roman" w:hAnsi="Times New Roman" w:cs="Times New Roman" w:eastAsia="Times New Roman"/>
          <w:sz w:val="24"/>
        </w:rPr>
        <w:t xml:space="preserve">Tensor contract at the default configuration.</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_Ref_Table_3_1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19</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3.2</w:t>
      </w:r>
      <w:r>
        <w:rPr>
          <w:rFonts w:ascii="Times New Roman" w:hAnsi="Times New Roman" w:cs="Times New Roman" w:eastAsia="Times New Roman"/>
          <w:sz w:val="24"/>
        </w:rPr>
        <w:tab/>
      </w:r>
      <w:r>
        <w:rPr>
          <w:rFonts w:ascii="Times New Roman" w:hAnsi="Times New Roman" w:cs="Times New Roman" w:eastAsia="Times New Roman"/>
          <w:sz w:val="24"/>
        </w:rPr>
        <w:t xml:space="preserve">Software stack. nilearn is listed in requirements.txt but is not imported by the current source or tests.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_Ref_Table_3_2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21</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3.3</w:t>
      </w:r>
      <w:r>
        <w:rPr>
          <w:rFonts w:ascii="Times New Roman" w:hAnsi="Times New Roman" w:cs="Times New Roman" w:eastAsia="Times New Roman"/>
          <w:sz w:val="24"/>
        </w:rPr>
        <w:tab/>
      </w:r>
      <w:r>
        <w:rPr>
          <w:rFonts w:ascii="Times New Roman" w:hAnsi="Times New Roman" w:cs="Times New Roman" w:eastAsia="Times New Roman"/>
          <w:sz w:val="24"/>
        </w:rPr>
        <w:t xml:space="preserve">Public data resources identified in the project blueprint (descriptions as stated there; not independently re-verified for this report).</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_Ref_Table_3_3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22</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3.4</w:t>
      </w:r>
      <w:r>
        <w:rPr>
          <w:rFonts w:ascii="Times New Roman" w:hAnsi="Times New Roman" w:cs="Times New Roman" w:eastAsia="Times New Roman"/>
          <w:sz w:val="24"/>
        </w:rPr>
        <w:tab/>
      </w:r>
      <w:r>
        <w:rPr>
          <w:rFonts w:ascii="Times New Roman" w:hAnsi="Times New Roman" w:cs="Times New Roman" w:eastAsia="Times New Roman"/>
          <w:sz w:val="24"/>
        </w:rPr>
        <w:t xml:space="preserve">Real cohorts used in Study B (subjects with both a T1-weighted MRI and a usable recording).</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_Ref_Table_3_4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23</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3.5</w:t>
      </w:r>
      <w:r>
        <w:rPr>
          <w:rFonts w:ascii="Times New Roman" w:hAnsi="Times New Roman" w:cs="Times New Roman" w:eastAsia="Times New Roman"/>
          <w:sz w:val="24"/>
        </w:rPr>
        <w:tab/>
      </w:r>
      <w:r>
        <w:rPr>
          <w:rFonts w:ascii="Times New Roman" w:hAnsi="Times New Roman" w:cs="Times New Roman" w:eastAsia="Times New Roman"/>
          <w:sz w:val="24"/>
        </w:rPr>
        <w:t xml:space="preserve">Class-conditioned parameters of the original synthetic generators.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_Ref_Table_3_5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25</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3.6</w:t>
      </w:r>
      <w:r>
        <w:rPr>
          <w:rFonts w:ascii="Times New Roman" w:hAnsi="Times New Roman" w:cs="Times New Roman" w:eastAsia="Times New Roman"/>
          <w:sz w:val="24"/>
        </w:rPr>
        <w:tab/>
      </w:r>
      <w:r>
        <w:rPr>
          <w:rFonts w:ascii="Times New Roman" w:hAnsi="Times New Roman" w:cs="Times New Roman" w:eastAsia="Times New Roman"/>
          <w:sz w:val="24"/>
        </w:rPr>
        <w:t xml:space="preserve">MRI preprocessing parameters (</w:t>
      </w:r>
      <w:r>
        <w:rPr>
          <w:rFonts w:ascii="Times New Roman" w:hAnsi="Times New Roman" w:cs="Times New Roman" w:eastAsia="Times New Roman"/>
          <w:i/>
          <w:sz w:val="24"/>
        </w:rPr>
        <w:t xml:space="preserve">MRIConfig</w:t>
      </w:r>
      <w:r>
        <w:rPr>
          <w:rFonts w:ascii="Times New Roman" w:hAnsi="Times New Roman" w:cs="Times New Roman" w:eastAsia="Times New Roman"/>
          <w:sz w:val="24"/>
        </w:rPr>
        <w:t xml:space="preserve">).</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_Ref_Table_3_6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30</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3.7</w:t>
      </w:r>
      <w:r>
        <w:rPr>
          <w:rFonts w:ascii="Times New Roman" w:hAnsi="Times New Roman" w:cs="Times New Roman" w:eastAsia="Times New Roman"/>
          <w:sz w:val="24"/>
        </w:rPr>
        <w:tab/>
      </w:r>
      <w:r>
        <w:rPr>
          <w:rFonts w:ascii="Times New Roman" w:hAnsi="Times New Roman" w:cs="Times New Roman" w:eastAsia="Times New Roman"/>
          <w:sz w:val="24"/>
        </w:rPr>
        <w:t xml:space="preserve">VEP preprocessing parameters (</w:t>
      </w:r>
      <w:r>
        <w:rPr>
          <w:rFonts w:ascii="Times New Roman" w:hAnsi="Times New Roman" w:cs="Times New Roman" w:eastAsia="Times New Roman"/>
          <w:i/>
          <w:sz w:val="24"/>
        </w:rPr>
        <w:t xml:space="preserve">VEPConfig</w:t>
      </w:r>
      <w:r>
        <w:rPr>
          <w:rFonts w:ascii="Times New Roman" w:hAnsi="Times New Roman" w:cs="Times New Roman" w:eastAsia="Times New Roman"/>
          <w:sz w:val="24"/>
        </w:rPr>
        <w:t xml:space="preserve">).</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_Ref_Table_3_7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31</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3.8</w:t>
      </w:r>
      <w:r>
        <w:rPr>
          <w:rFonts w:ascii="Times New Roman" w:hAnsi="Times New Roman" w:cs="Times New Roman" w:eastAsia="Times New Roman"/>
          <w:sz w:val="24"/>
        </w:rPr>
        <w:tab/>
      </w:r>
      <w:r>
        <w:rPr>
          <w:rFonts w:ascii="Times New Roman" w:hAnsi="Times New Roman" w:cs="Times New Roman" w:eastAsia="Times New Roman"/>
          <w:sz w:val="24"/>
        </w:rPr>
        <w:t xml:space="preserve">Evaluation strategy: what is measured, on which data, how, and which objective it supports.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_Ref_Table_3_8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32</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3.9</w:t>
      </w:r>
      <w:r>
        <w:rPr>
          <w:rFonts w:ascii="Times New Roman" w:hAnsi="Times New Roman" w:cs="Times New Roman" w:eastAsia="Times New Roman"/>
          <w:sz w:val="24"/>
        </w:rPr>
        <w:tab/>
      </w:r>
      <w:r>
        <w:rPr>
          <w:rFonts w:ascii="Times New Roman" w:hAnsi="Times New Roman" w:cs="Times New Roman" w:eastAsia="Times New Roman"/>
          <w:sz w:val="24"/>
        </w:rPr>
        <w:t xml:space="preserve">Model configurations of Study A. All share the encoders, the auxiliary loss and the training recipe unless stated.</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_Ref_Table_3_9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34</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4.1</w:t>
      </w:r>
      <w:r>
        <w:rPr>
          <w:rFonts w:ascii="Times New Roman" w:hAnsi="Times New Roman" w:cs="Times New Roman" w:eastAsia="Times New Roman"/>
          <w:sz w:val="24"/>
        </w:rPr>
        <w:tab/>
      </w:r>
      <w:r>
        <w:rPr>
          <w:rFonts w:ascii="Times New Roman" w:hAnsi="Times New Roman" w:cs="Times New Roman" w:eastAsia="Times New Roman"/>
          <w:sz w:val="24"/>
        </w:rPr>
        <w:t xml:space="preserve">Differences between the original prototype (v1) and the final design (v2/v3).</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_Ref_Table_4_1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38</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4.2</w:t>
      </w:r>
      <w:r>
        <w:rPr>
          <w:rFonts w:ascii="Times New Roman" w:hAnsi="Times New Roman" w:cs="Times New Roman" w:eastAsia="Times New Roman"/>
          <w:sz w:val="24"/>
        </w:rPr>
        <w:tab/>
      </w:r>
      <w:r>
        <w:rPr>
          <w:rFonts w:ascii="Times New Roman" w:hAnsi="Times New Roman" w:cs="Times New Roman" w:eastAsia="Times New Roman"/>
          <w:sz w:val="24"/>
        </w:rPr>
        <w:t xml:space="preserve">Spatial encoder layers (batch size 1) and trainable parameters (default model; the squeeze-and-excitation gates are included).</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_Ref_Table_4_2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38</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4.3</w:t>
      </w:r>
      <w:r>
        <w:rPr>
          <w:rFonts w:ascii="Times New Roman" w:hAnsi="Times New Roman" w:cs="Times New Roman" w:eastAsia="Times New Roman"/>
          <w:sz w:val="24"/>
        </w:rPr>
        <w:tab/>
      </w:r>
      <w:r>
        <w:rPr>
          <w:rFonts w:ascii="Times New Roman" w:hAnsi="Times New Roman" w:cs="Times New Roman" w:eastAsia="Times New Roman"/>
          <w:sz w:val="24"/>
        </w:rPr>
        <w:t xml:space="preserve">Temporal encoder layers (batch size 1) and trainable parameters.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_Ref_Table_4_3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40</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4.4</w:t>
      </w:r>
      <w:r>
        <w:rPr>
          <w:rFonts w:ascii="Times New Roman" w:hAnsi="Times New Roman" w:cs="Times New Roman" w:eastAsia="Times New Roman"/>
          <w:sz w:val="24"/>
        </w:rPr>
        <w:tab/>
      </w:r>
      <w:r>
        <w:rPr>
          <w:rFonts w:ascii="Times New Roman" w:hAnsi="Times New Roman" w:cs="Times New Roman" w:eastAsia="Times New Roman"/>
          <w:sz w:val="24"/>
        </w:rPr>
        <w:t xml:space="preserve">Fusion strategies selectable with ModelConfig.fusion.</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_Ref_Table_4_4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43</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4.5</w:t>
      </w:r>
      <w:r>
        <w:rPr>
          <w:rFonts w:ascii="Times New Roman" w:hAnsi="Times New Roman" w:cs="Times New Roman" w:eastAsia="Times New Roman"/>
          <w:sz w:val="24"/>
        </w:rPr>
        <w:tab/>
      </w:r>
      <w:r>
        <w:rPr>
          <w:rFonts w:ascii="Times New Roman" w:hAnsi="Times New Roman" w:cs="Times New Roman" w:eastAsia="Times New Roman"/>
          <w:sz w:val="24"/>
        </w:rPr>
        <w:t xml:space="preserve">Training configuration (TrainConfig, left) and model configuration (ModelConfig, right) at the default values. The studies override several of them (see the text).</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_Ref_Table_4_5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45</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4.6</w:t>
      </w:r>
      <w:r>
        <w:rPr>
          <w:rFonts w:ascii="Times New Roman" w:hAnsi="Times New Roman" w:cs="Times New Roman" w:eastAsia="Times New Roman"/>
          <w:sz w:val="24"/>
        </w:rPr>
        <w:tab/>
      </w:r>
      <w:r>
        <w:rPr>
          <w:rFonts w:ascii="Times New Roman" w:hAnsi="Times New Roman" w:cs="Times New Roman" w:eastAsia="Times New Roman"/>
          <w:sz w:val="24"/>
        </w:rPr>
        <w:t xml:space="preserve">Source modules, line counts and responsibilities (current working tree).</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_Ref_Table_4_6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49</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4.7</w:t>
      </w:r>
      <w:r>
        <w:rPr>
          <w:rFonts w:ascii="Times New Roman" w:hAnsi="Times New Roman" w:cs="Times New Roman" w:eastAsia="Times New Roman"/>
          <w:sz w:val="24"/>
        </w:rPr>
        <w:tab/>
      </w:r>
      <w:r>
        <w:rPr>
          <w:rFonts w:ascii="Times New Roman" w:hAnsi="Times New Roman" w:cs="Times New Roman" w:eastAsia="Times New Roman"/>
          <w:sz w:val="24"/>
        </w:rPr>
        <w:t xml:space="preserve">Test files and what they verify (current suite: 340 tests in 29 files).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_Ref_Table_4_7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51</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5.1</w:t>
      </w:r>
      <w:r>
        <w:rPr>
          <w:rFonts w:ascii="Times New Roman" w:hAnsi="Times New Roman" w:cs="Times New Roman" w:eastAsia="Times New Roman"/>
          <w:sz w:val="24"/>
        </w:rPr>
        <w:tab/>
      </w:r>
      <w:r>
        <w:rPr>
          <w:rFonts w:ascii="Times New Roman" w:hAnsi="Times New Roman" w:cs="Times New Roman" w:eastAsia="Times New Roman"/>
          <w:sz w:val="24"/>
        </w:rPr>
        <w:t xml:space="preserve">Effective magnitude response (dB) at selected frequencies.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55</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5.2</w:t>
      </w:r>
      <w:r>
        <w:rPr>
          <w:rFonts w:ascii="Times New Roman" w:hAnsi="Times New Roman" w:cs="Times New Roman" w:eastAsia="Times New Roman"/>
          <w:sz w:val="24"/>
        </w:rPr>
        <w:tab/>
      </w:r>
      <w:r>
        <w:rPr>
          <w:rFonts w:ascii="Times New Roman" w:hAnsi="Times New Roman" w:cs="Times New Roman" w:eastAsia="Times New Roman"/>
          <w:sz w:val="24"/>
        </w:rPr>
        <w:t xml:space="preserve">Detected P100 latency (ms; mean ± SD over 50 trials per class, original generator) and mean error against the ground truth.</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56</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5.3</w:t>
      </w:r>
      <w:r>
        <w:rPr>
          <w:rFonts w:ascii="Times New Roman" w:hAnsi="Times New Roman" w:cs="Times New Roman" w:eastAsia="Times New Roman"/>
          <w:sz w:val="24"/>
        </w:rPr>
        <w:tab/>
      </w:r>
      <w:r>
        <w:rPr>
          <w:rFonts w:ascii="Times New Roman" w:hAnsi="Times New Roman" w:cs="Times New Roman" w:eastAsia="Times New Roman"/>
          <w:sz w:val="24"/>
        </w:rPr>
        <w:t xml:space="preserve">Group delay of the single-pass (causal) implementation of the same filters.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_Ref_Table_5_3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57</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5.4</w:t>
      </w:r>
      <w:r>
        <w:rPr>
          <w:rFonts w:ascii="Times New Roman" w:hAnsi="Times New Roman" w:cs="Times New Roman" w:eastAsia="Times New Roman"/>
          <w:sz w:val="24"/>
        </w:rPr>
        <w:tab/>
      </w:r>
      <w:r>
        <w:rPr>
          <w:rFonts w:ascii="Times New Roman" w:hAnsi="Times New Roman" w:cs="Times New Roman" w:eastAsia="Times New Roman"/>
          <w:sz w:val="24"/>
        </w:rPr>
        <w:t xml:space="preserve">Synthetic MRI (original generator): mean intensity of regions of interest and effect of the 60th-percentile foreground mask.</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_Ref_Table_5_4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58</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5.5</w:t>
      </w:r>
      <w:r>
        <w:rPr>
          <w:rFonts w:ascii="Times New Roman" w:hAnsi="Times New Roman" w:cs="Times New Roman" w:eastAsia="Times New Roman"/>
          <w:sz w:val="24"/>
        </w:rPr>
        <w:tab/>
      </w:r>
      <w:r>
        <w:rPr>
          <w:rFonts w:ascii="Times New Roman" w:hAnsi="Times New Roman" w:cs="Times New Roman" w:eastAsia="Times New Roman"/>
          <w:sz w:val="24"/>
        </w:rPr>
        <w:t xml:space="preserve">Trainable parameters and multiply-accumulates (millions, at 64³) per sample for the default (v2/v3) model.</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_Ref_Table_5_5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59</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5.6</w:t>
      </w:r>
      <w:r>
        <w:rPr>
          <w:rFonts w:ascii="Times New Roman" w:hAnsi="Times New Roman" w:cs="Times New Roman" w:eastAsia="Times New Roman"/>
          <w:sz w:val="24"/>
        </w:rPr>
        <w:tab/>
      </w:r>
      <w:r>
        <w:rPr>
          <w:rFonts w:ascii="Times New Roman" w:hAnsi="Times New Roman" w:cs="Times New Roman" w:eastAsia="Times New Roman"/>
          <w:sz w:val="24"/>
        </w:rPr>
        <w:t xml:space="preserve">Statement coverage by module of the original code base (reconstructed from the recorded coverage data; not re-measured for the current code).</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_Ref_Table_5_6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60</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5.7</w:t>
      </w:r>
      <w:r>
        <w:rPr>
          <w:rFonts w:ascii="Times New Roman" w:hAnsi="Times New Roman" w:cs="Times New Roman" w:eastAsia="Times New Roman"/>
          <w:sz w:val="24"/>
        </w:rPr>
        <w:tab/>
      </w:r>
      <w:r>
        <w:rPr>
          <w:rFonts w:ascii="Times New Roman" w:hAnsi="Times New Roman" w:cs="Times New Roman" w:eastAsia="Times New Roman"/>
          <w:sz w:val="24"/>
        </w:rPr>
        <w:t xml:space="preserve">Training-loop acceptance criteria asserted by </w:t>
      </w:r>
      <w:r>
        <w:rPr>
          <w:rFonts w:ascii="Times New Roman" w:hAnsi="Times New Roman" w:cs="Times New Roman" w:eastAsia="Times New Roman"/>
          <w:i/>
          <w:sz w:val="24"/>
        </w:rPr>
        <w:t xml:space="preserve">tests/integration/test_training_loop.py</w:t>
      </w:r>
      <w:r>
        <w:rPr>
          <w:rFonts w:ascii="Times New Roman" w:hAnsi="Times New Roman" w:cs="Times New Roman" w:eastAsia="Times New Roman"/>
          <w:sz w:val="24"/>
        </w:rPr>
        <w:t xml:space="preserve">.</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_Ref_Table_5_7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61</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5.8</w:t>
      </w:r>
      <w:r>
        <w:rPr>
          <w:rFonts w:ascii="Times New Roman" w:hAnsi="Times New Roman" w:cs="Times New Roman" w:eastAsia="Times New Roman"/>
          <w:sz w:val="24"/>
        </w:rPr>
        <w:tab/>
      </w:r>
      <w:r>
        <w:rPr>
          <w:rFonts w:ascii="Times New Roman" w:hAnsi="Times New Roman" w:cs="Times New Roman" w:eastAsia="Times New Roman"/>
          <w:sz w:val="24"/>
        </w:rPr>
        <w:t xml:space="preserve">Summary of the objective results.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_Ref_Table_5_8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63</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5.9</w:t>
      </w:r>
      <w:r>
        <w:rPr>
          <w:rFonts w:ascii="Times New Roman" w:hAnsi="Times New Roman" w:cs="Times New Roman" w:eastAsia="Times New Roman"/>
          <w:sz w:val="24"/>
        </w:rPr>
        <w:tab/>
      </w:r>
      <w:r>
        <w:rPr>
          <w:rFonts w:ascii="Times New Roman" w:hAnsi="Times New Roman" w:cs="Times New Roman" w:eastAsia="Times New Roman"/>
          <w:sz w:val="24"/>
        </w:rPr>
        <w:t xml:space="preserve">Study A (synthetic, three classes, </w:t>
      </w:r>
      <w:r>
        <w:rPr>
          <w:rFonts w:ascii="Times New Roman" w:hAnsi="Times New Roman" w:cs="Times New Roman" w:eastAsia="Times New Roman"/>
          <w:i/>
          <w:sz w:val="24"/>
        </w:rPr>
        <w:t xml:space="preserve">μ</w:t>
      </w:r>
      <w:r>
        <w:rPr>
          <w:rFonts w:ascii="Times New Roman" w:hAnsi="Times New Roman" w:cs="Times New Roman" w:eastAsia="Times New Roman"/>
          <w:sz w:val="24"/>
        </w:rPr>
        <w:t xml:space="preserve">MRI</w:t>
      </w:r>
      <w:r>
        <w:rPr>
          <w:rFonts w:ascii="Times New Roman" w:hAnsi="Times New Roman" w:cs="Times New Roman" w:eastAsia="Times New Roman"/>
          <w:sz w:val="24"/>
        </w:rPr>
        <w:t xml:space="preserve"> = 1.0, </w:t>
      </w:r>
      <w:r>
        <w:rPr>
          <w:rFonts w:ascii="Times New Roman" w:hAnsi="Times New Roman" w:cs="Times New Roman" w:eastAsia="Times New Roman"/>
          <w:i/>
          <w:sz w:val="24"/>
        </w:rPr>
        <w:t xml:space="preserve">μ</w:t>
      </w:r>
      <w:r>
        <w:rPr>
          <w:rFonts w:ascii="Times New Roman" w:hAnsi="Times New Roman" w:cs="Times New Roman" w:eastAsia="Times New Roman"/>
          <w:sz w:val="24"/>
        </w:rPr>
        <w:t xml:space="preserve">VEP</w:t>
      </w:r>
      <w:r>
        <w:rPr>
          <w:rFonts w:ascii="Times New Roman" w:hAnsi="Times New Roman" w:cs="Times New Roman" w:eastAsia="Times New Roman"/>
          <w:sz w:val="24"/>
        </w:rPr>
        <w:t xml:space="preserve"> = 0.3): test performance of the fused head, mean ± SD over seeds.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_Ref_Table_5_9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64</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5.10</w:t>
      </w:r>
      <w:r>
        <w:rPr>
          <w:rFonts w:ascii="Times New Roman" w:hAnsi="Times New Roman" w:cs="Times New Roman" w:eastAsia="Times New Roman"/>
          <w:sz w:val="24"/>
        </w:rPr>
        <w:tab/>
      </w:r>
      <w:r>
        <w:rPr>
          <w:rFonts w:ascii="Times New Roman" w:hAnsi="Times New Roman" w:cs="Times New Roman" w:eastAsia="Times New Roman"/>
          <w:sz w:val="24"/>
        </w:rPr>
        <w:t xml:space="preserve">Study A sweep (synthetic): test accuracy (%, mean ± SD over 2 seeds) versus VEP informativeness, MRI strength fixed at 1.0.</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_Ref_Table_5_10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65</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5.11</w:t>
      </w:r>
      <w:r>
        <w:rPr>
          <w:rFonts w:ascii="Times New Roman" w:hAnsi="Times New Roman" w:cs="Times New Roman" w:eastAsia="Times New Roman"/>
          <w:sz w:val="24"/>
        </w:rPr>
        <w:tab/>
      </w:r>
      <w:r>
        <w:rPr>
          <w:rFonts w:ascii="Times New Roman" w:hAnsi="Times New Roman" w:cs="Times New Roman" w:eastAsia="Times New Roman"/>
          <w:sz w:val="24"/>
        </w:rPr>
        <w:t xml:space="preserve">Real cohorts (95 subjects): out-of-fold ROC-AUC, bootstrap 95% interval, balanced accuracy and within-cohort permutation </w:t>
      </w:r>
      <w:r>
        <w:rPr>
          <w:rFonts w:ascii="Times New Roman" w:hAnsi="Times New Roman" w:cs="Times New Roman" w:eastAsia="Times New Roman"/>
          <w:i/>
          <w:sz w:val="24"/>
        </w:rPr>
        <w:t xml:space="preserve">p</w:t>
      </w:r>
      <w:r>
        <w:rPr>
          <w:rFonts w:ascii="Times New Roman" w:hAnsi="Times New Roman" w:cs="Times New Roman" w:eastAsia="Times New Roman"/>
          <w:sz w:val="24"/>
        </w:rPr>
        <w:t xml:space="preserve">. Neural models were cross-validated once and have no permutation test.</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_Ref_Table_5_11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67</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5.12</w:t>
      </w:r>
      <w:r>
        <w:rPr>
          <w:rFonts w:ascii="Times New Roman" w:hAnsi="Times New Roman" w:cs="Times New Roman" w:eastAsia="Times New Roman"/>
          <w:sz w:val="24"/>
        </w:rPr>
        <w:tab/>
      </w:r>
      <w:r>
        <w:rPr>
          <w:rFonts w:ascii="Times New Roman" w:hAnsi="Times New Roman" w:cs="Times New Roman" w:eastAsia="Times New Roman"/>
          <w:sz w:val="24"/>
        </w:rPr>
        <w:t xml:space="preserve">CAFN on the real cohorts (mean ± SD over 3 repeats; test subjects only).</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_Ref_Table_5_12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68</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5.13</w:t>
      </w:r>
      <w:r>
        <w:rPr>
          <w:rFonts w:ascii="Times New Roman" w:hAnsi="Times New Roman" w:cs="Times New Roman" w:eastAsia="Times New Roman"/>
          <w:sz w:val="24"/>
        </w:rPr>
        <w:tab/>
      </w:r>
      <w:r>
        <w:rPr>
          <w:rFonts w:ascii="Times New Roman" w:hAnsi="Times New Roman" w:cs="Times New Roman" w:eastAsia="Times New Roman"/>
          <w:sz w:val="24"/>
        </w:rPr>
        <w:t xml:space="preserve">Leave-one-cohort-out for the classical models (real cohorts): ROC-AUC / balanced accuracy on the named test cohort after training on the other.</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_Ref_Table_5_13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69</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6.1</w:t>
      </w:r>
      <w:r>
        <w:rPr>
          <w:rFonts w:ascii="Times New Roman" w:hAnsi="Times New Roman" w:cs="Times New Roman" w:eastAsia="Times New Roman"/>
          <w:sz w:val="24"/>
        </w:rPr>
        <w:tab/>
      </w:r>
      <w:r>
        <w:rPr>
          <w:rFonts w:ascii="Times New Roman" w:hAnsi="Times New Roman" w:cs="Times New Roman" w:eastAsia="Times New Roman"/>
          <w:sz w:val="24"/>
        </w:rPr>
        <w:t xml:space="preserve">Assessment of research questions and hypotheses against the evidence.</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_Ref_Table_6_1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73</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6.2</w:t>
      </w:r>
      <w:r>
        <w:rPr>
          <w:rFonts w:ascii="Times New Roman" w:hAnsi="Times New Roman" w:cs="Times New Roman" w:eastAsia="Times New Roman"/>
          <w:sz w:val="24"/>
        </w:rPr>
        <w:tab/>
      </w:r>
      <w:r>
        <w:rPr>
          <w:rFonts w:ascii="Times New Roman" w:hAnsi="Times New Roman" w:cs="Times New Roman" w:eastAsia="Times New Roman"/>
          <w:sz w:val="24"/>
        </w:rPr>
        <w:t xml:space="preserve">Constraints of the study and their consequence for the conclusions.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_Ref_Table_6_2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77</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7.1</w:t>
      </w:r>
      <w:r>
        <w:rPr>
          <w:rFonts w:ascii="Times New Roman" w:hAnsi="Times New Roman" w:cs="Times New Roman" w:eastAsia="Times New Roman"/>
          <w:sz w:val="24"/>
        </w:rPr>
        <w:tab/>
      </w:r>
      <w:r>
        <w:rPr>
          <w:rFonts w:ascii="Times New Roman" w:hAnsi="Times New Roman" w:cs="Times New Roman" w:eastAsia="Times New Roman"/>
          <w:sz w:val="24"/>
        </w:rPr>
        <w:t xml:space="preserve">Status of each objective.</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_Ref_Table_7_1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80</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7.2</w:t>
      </w:r>
      <w:r>
        <w:rPr>
          <w:rFonts w:ascii="Times New Roman" w:hAnsi="Times New Roman" w:cs="Times New Roman" w:eastAsia="Times New Roman"/>
          <w:sz w:val="24"/>
        </w:rPr>
        <w:tab/>
      </w:r>
      <w:r>
        <w:rPr>
          <w:rFonts w:ascii="Times New Roman" w:hAnsi="Times New Roman" w:cs="Times New Roman" w:eastAsia="Times New Roman"/>
          <w:sz w:val="24"/>
        </w:rPr>
        <w:t xml:space="preserve">Prioritised recommendations.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_Ref_Table_7_2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81</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A1.1</w:t>
      </w:r>
      <w:r>
        <w:rPr>
          <w:rFonts w:ascii="Times New Roman" w:hAnsi="Times New Roman" w:cs="Times New Roman" w:eastAsia="Times New Roman"/>
          <w:sz w:val="24"/>
        </w:rPr>
        <w:tab/>
      </w:r>
      <w:r>
        <w:rPr>
          <w:rFonts w:ascii="Times New Roman" w:hAnsi="Times New Roman" w:cs="Times New Roman" w:eastAsia="Times New Roman"/>
          <w:sz w:val="24"/>
        </w:rPr>
        <w:t xml:space="preserve">Default configuration values (current </w:t>
      </w:r>
      <w:r>
        <w:rPr>
          <w:rFonts w:ascii="Times New Roman" w:hAnsi="Times New Roman" w:cs="Times New Roman" w:eastAsia="Times New Roman"/>
          <w:sz w:val="24"/>
        </w:rPr>
        <w:t xml:space="preserve">src/config.py</w:t>
      </w:r>
      <w:r>
        <w:rPr>
          <w:rFonts w:ascii="Times New Roman" w:hAnsi="Times New Roman" w:cs="Times New Roman" w:eastAsia="Times New Roman"/>
          <w:sz w:val="24"/>
        </w:rPr>
        <w:t xml:space="preserve">).</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_Ref_Table_A1_1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88</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A2.1</w:t>
      </w:r>
      <w:r>
        <w:rPr>
          <w:rFonts w:ascii="Times New Roman" w:hAnsi="Times New Roman" w:cs="Times New Roman" w:eastAsia="Times New Roman"/>
          <w:sz w:val="24"/>
        </w:rPr>
        <w:tab/>
      </w:r>
      <w:r>
        <w:rPr>
          <w:rFonts w:ascii="Times New Roman" w:hAnsi="Times New Roman" w:cs="Times New Roman" w:eastAsia="Times New Roman"/>
          <w:sz w:val="24"/>
        </w:rPr>
        <w:t xml:space="preserve">Source files reproduced in this appendix (original versions).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_Ref_Table_A2_1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89</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Table A3.1</w:t>
      </w:r>
      <w:r>
        <w:rPr>
          <w:rFonts w:ascii="Times New Roman" w:hAnsi="Times New Roman" w:cs="Times New Roman" w:eastAsia="Times New Roman"/>
          <w:sz w:val="24"/>
        </w:rPr>
        <w:tab/>
      </w:r>
      <w:r>
        <w:rPr>
          <w:rFonts w:ascii="Times New Roman" w:hAnsi="Times New Roman" w:cs="Times New Roman" w:eastAsia="Times New Roman"/>
          <w:sz w:val="24"/>
        </w:rPr>
        <w:t xml:space="preserve">Test files of the original suite, number of test functions and the component each exercises (86 tests; the current suite has 340, see Table 4.7).</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_Ref_Table_A3_1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105</w:t>
      </w:r>
      <w:r>
        <w:rPr>
          <w:rFonts w:ascii="Times New Roman" w:hAnsi="Times New Roman" w:cs="Times New Roman" w:eastAsia="Times New Roman"/>
          <w:sz w:val="24"/>
        </w:rPr>
        <w:fldChar w:fldCharType="end"/>
      </w:r>
    </w:p>
    <w:p>
      <w:pPr>
        <w:pStyle w:val="FrontHeading"/>
        <w:jc w:val="center"/>
      </w:pPr>
      <w:r>
        <w:rPr>
          <w:rFonts w:ascii="Times New Roman" w:hAnsi="Times New Roman" w:cs="Times New Roman" w:eastAsia="Times New Roman"/>
          <w:b/>
          <w:sz w:val="28"/>
          <w:u w:val="none"/>
        </w:rPr>
        <w:t>LIST OF FIGURES</w:t>
      </w:r>
    </w:p>
    <w:p>
      <w:pPr>
        <w:pStyle w:val="ListEntry"/>
      </w:pPr>
      <w:r>
        <w:rPr>
          <w:rFonts w:ascii="Times New Roman" w:hAnsi="Times New Roman" w:cs="Times New Roman" w:eastAsia="Times New Roman"/>
          <w:sz w:val="24"/>
        </w:rPr>
        <w:t xml:space="preserve">Figure 1.1</w:t>
      </w:r>
      <w:r>
        <w:rPr>
          <w:rFonts w:ascii="Times New Roman" w:hAnsi="Times New Roman" w:cs="Times New Roman" w:eastAsia="Times New Roman"/>
          <w:sz w:val="24"/>
        </w:rPr>
        <w:tab/>
      </w:r>
      <w:r>
        <w:rPr>
          <w:rFonts w:ascii="Times New Roman" w:hAnsi="Times New Roman" w:cs="Times New Roman" w:eastAsia="Times New Roman"/>
          <w:sz w:val="24"/>
        </w:rPr>
        <w:t xml:space="preserve">Conceptual motivation: MRI answers </w:t>
      </w:r>
      <w:r>
        <w:rPr>
          <w:rFonts w:ascii="Times New Roman" w:hAnsi="Times New Roman" w:cs="Times New Roman" w:eastAsia="Times New Roman"/>
          <w:i/>
          <w:sz w:val="24"/>
        </w:rPr>
        <w:t xml:space="preserve">where</w:t>
      </w:r>
      <w:r>
        <w:rPr>
          <w:rFonts w:ascii="Times New Roman" w:hAnsi="Times New Roman" w:cs="Times New Roman" w:eastAsia="Times New Roman"/>
          <w:sz w:val="24"/>
        </w:rPr>
        <w:t xml:space="preserve">, the VEP answers </w:t>
      </w:r>
      <w:r>
        <w:rPr>
          <w:rFonts w:ascii="Times New Roman" w:hAnsi="Times New Roman" w:cs="Times New Roman" w:eastAsia="Times New Roman"/>
          <w:i/>
          <w:sz w:val="24"/>
        </w:rPr>
        <w:t xml:space="preserve">when</w:t>
      </w:r>
      <w:r>
        <w:rPr>
          <w:rFonts w:ascii="Times New Roman" w:hAnsi="Times New Roman" w:cs="Times New Roman" w:eastAsia="Times New Roman"/>
          <w:sz w:val="24"/>
        </w:rPr>
        <w:t xml:space="preserve">, and cross-attention fusion links the two while producing material that can be inspected.</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_Ref_Figure_1_1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3</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3.1</w:t>
      </w:r>
      <w:r>
        <w:rPr>
          <w:rFonts w:ascii="Times New Roman" w:hAnsi="Times New Roman" w:cs="Times New Roman" w:eastAsia="Times New Roman"/>
          <w:sz w:val="24"/>
        </w:rPr>
        <w:tab/>
      </w:r>
      <w:r>
        <w:rPr>
          <w:rFonts w:ascii="Times New Roman" w:hAnsi="Times New Roman" w:cs="Times New Roman" w:eastAsia="Times New Roman"/>
          <w:sz w:val="24"/>
        </w:rPr>
        <w:t xml:space="preserve">End-to-end data flow of the proposed framework (final v2/v3 design). Each token stream queries the other through gated bidirectional cross-attention; a learned attention pool feeds the fused head and two auxiliary heads read the unimodal tokens. Dashed arrows: explainability outputs.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_Ref_Figure_3_1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19</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3.2</w:t>
      </w:r>
      <w:r>
        <w:rPr>
          <w:rFonts w:ascii="Times New Roman" w:hAnsi="Times New Roman" w:cs="Times New Roman" w:eastAsia="Times New Roman"/>
          <w:sz w:val="24"/>
        </w:rPr>
        <w:tab/>
      </w:r>
      <w:r>
        <w:rPr>
          <w:rFonts w:ascii="Times New Roman" w:hAnsi="Times New Roman" w:cs="Times New Roman" w:eastAsia="Times New Roman"/>
          <w:sz w:val="24"/>
        </w:rPr>
        <w:t xml:space="preserve">Axial slices of synthetic MRI volumes from the original generator (seeded). Dashed boxes mark the class-specific region: lesion proxy (Optic neuritis / CVI, index 20) and atrophy proxy (Glaucoma, index 60).</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_Ref_Figure_3_2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24</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3.3</w:t>
      </w:r>
      <w:r>
        <w:rPr>
          <w:rFonts w:ascii="Times New Roman" w:hAnsi="Times New Roman" w:cs="Times New Roman" w:eastAsia="Times New Roman"/>
          <w:sz w:val="24"/>
        </w:rPr>
        <w:tab/>
      </w:r>
      <w:r>
        <w:rPr>
          <w:rFonts w:ascii="Times New Roman" w:hAnsi="Times New Roman" w:cs="Times New Roman" w:eastAsia="Times New Roman"/>
          <w:sz w:val="24"/>
        </w:rPr>
        <w:t xml:space="preserve">Synthetic VEP waveforms (original generator) for the three classes, before (left) and after (right) the project's conditioning function </w:t>
      </w:r>
      <w:r>
        <w:rPr>
          <w:rFonts w:ascii="Times New Roman" w:hAnsi="Times New Roman" w:cs="Times New Roman" w:eastAsia="Times New Roman"/>
          <w:i/>
          <w:sz w:val="24"/>
        </w:rPr>
        <w:t xml:space="preserve">clean_vep_signal</w:t>
      </w:r>
      <w:r>
        <w:rPr>
          <w:rFonts w:ascii="Times New Roman" w:hAnsi="Times New Roman" w:cs="Times New Roman" w:eastAsia="Times New Roman"/>
          <w:sz w:val="24"/>
        </w:rPr>
        <w:t xml:space="preserve">. Dotted line: ground-truth P100 latency.</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_Ref_Figure_3_3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26</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3.4</w:t>
      </w:r>
      <w:r>
        <w:rPr>
          <w:rFonts w:ascii="Times New Roman" w:hAnsi="Times New Roman" w:cs="Times New Roman" w:eastAsia="Times New Roman"/>
          <w:sz w:val="24"/>
        </w:rPr>
        <w:tab/>
      </w:r>
      <w:r>
        <w:rPr>
          <w:rFonts w:ascii="Times New Roman" w:hAnsi="Times New Roman" w:cs="Times New Roman" w:eastAsia="Times New Roman"/>
          <w:sz w:val="24"/>
        </w:rPr>
        <w:t xml:space="preserve">The two dataset classes share one preprocessing path. The manifest-driven class serves the real public cohorts (and a future labelled clinical cohort); the in-memory synthetic class serves the controlled benchmark.</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_Ref_Figure_3_4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28</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3.5</w:t>
      </w:r>
      <w:r>
        <w:rPr>
          <w:rFonts w:ascii="Times New Roman" w:hAnsi="Times New Roman" w:cs="Times New Roman" w:eastAsia="Times New Roman"/>
          <w:sz w:val="24"/>
        </w:rPr>
        <w:tab/>
      </w:r>
      <w:r>
        <w:rPr>
          <w:rFonts w:ascii="Times New Roman" w:hAnsi="Times New Roman" w:cs="Times New Roman" w:eastAsia="Times New Roman"/>
          <w:sz w:val="24"/>
        </w:rPr>
        <w:t xml:space="preserve">Preprocessing chains for the MRI stream (top) and the VEP stream (bottom), with the function responsible for each step.</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_Ref_Figure_3_5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28</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4.1</w:t>
      </w:r>
      <w:r>
        <w:rPr>
          <w:rFonts w:ascii="Times New Roman" w:hAnsi="Times New Roman" w:cs="Times New Roman" w:eastAsia="Times New Roman"/>
          <w:sz w:val="24"/>
        </w:rPr>
        <w:tab/>
      </w:r>
      <w:r>
        <w:rPr>
          <w:rFonts w:ascii="Times New Roman" w:hAnsi="Times New Roman" w:cs="Times New Roman" w:eastAsia="Times New Roman"/>
          <w:sz w:val="24"/>
        </w:rPr>
        <w:t xml:space="preserve">CAFN architecture (v2/v3). Preprocessed MRI and signal streams are encoded into spatial and temporal tokens, exchanged through gated bidirectional cross-attention, pooled by a learned attention pool and classified; two auxiliary heads read the unimodal tokens. In the real-cohort experiments the 1-D stream is the log power spectrum of the resting recording and the head has two classes.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_Ref_Figure_4_1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36</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4.2</w:t>
      </w:r>
      <w:r>
        <w:rPr>
          <w:rFonts w:ascii="Times New Roman" w:hAnsi="Times New Roman" w:cs="Times New Roman" w:eastAsia="Times New Roman"/>
          <w:sz w:val="24"/>
        </w:rPr>
        <w:tab/>
      </w:r>
      <w:r>
        <w:rPr>
          <w:rFonts w:ascii="Times New Roman" w:hAnsi="Times New Roman" w:cs="Times New Roman" w:eastAsia="Times New Roman"/>
          <w:sz w:val="24"/>
        </w:rPr>
        <w:t xml:space="preserve">CAFN architecture (v2/v3) with tensor shapes (default configuration; B = batch size). The two encoders produce 64 spatial and 16 temporal tokens of width 128, the gated bidirectional fusion updates both, a learned attention pool of the fused spatial tokens feeds the fused head, and two auxiliary heads read the mean-pooled unimodal tokens. The original (v1) design is compared in Table 4.1.</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_Ref_Figure_4_2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37</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4.3</w:t>
      </w:r>
      <w:r>
        <w:rPr>
          <w:rFonts w:ascii="Times New Roman" w:hAnsi="Times New Roman" w:cs="Times New Roman" w:eastAsia="Times New Roman"/>
          <w:sz w:val="24"/>
        </w:rPr>
        <w:tab/>
      </w:r>
      <w:r>
        <w:rPr>
          <w:rFonts w:ascii="Times New Roman" w:hAnsi="Times New Roman" w:cs="Times New Roman" w:eastAsia="Times New Roman"/>
          <w:sz w:val="24"/>
        </w:rPr>
        <w:t xml:space="preserve">Nominal mapping of the 16 temporal tokens onto the 2 s epoch (125 ms per token) over an example conditioned VEP. The shaded region is token 0.</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_Ref_Figure_4_3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40</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4.4</w:t>
      </w:r>
      <w:r>
        <w:rPr>
          <w:rFonts w:ascii="Times New Roman" w:hAnsi="Times New Roman" w:cs="Times New Roman" w:eastAsia="Times New Roman"/>
          <w:sz w:val="24"/>
        </w:rPr>
        <w:tab/>
      </w:r>
      <w:r>
        <w:rPr>
          <w:rFonts w:ascii="Times New Roman" w:hAnsi="Times New Roman" w:cs="Times New Roman" w:eastAsia="Times New Roman"/>
          <w:sz w:val="24"/>
        </w:rPr>
        <w:t xml:space="preserve">One gated bidirectional block of the cross-attention fusion module (CAFM), final design (Equations 4.4 and 4.5). The temporal tokens first query the spatial tokens (attention weights of shape (B, 4, 16, 64)); the updated temporal tokens then serve as keys and values for the spatial queries (weights (B, 4, 64, 16)). Each cross-attention output is scaled by a learned scalar gate initialised at zero, added residually and followed by a feed-forward block; both attention maps are returned for inspection.</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_Ref_Figure_4_4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42</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4.5</w:t>
      </w:r>
      <w:r>
        <w:rPr>
          <w:rFonts w:ascii="Times New Roman" w:hAnsi="Times New Roman" w:cs="Times New Roman" w:eastAsia="Times New Roman"/>
          <w:sz w:val="24"/>
        </w:rPr>
        <w:tab/>
      </w:r>
      <w:r>
        <w:rPr>
          <w:rFonts w:ascii="Times New Roman" w:hAnsi="Times New Roman" w:cs="Times New Roman" w:eastAsia="Times New Roman"/>
          <w:sz w:val="24"/>
        </w:rPr>
        <w:t xml:space="preserve">Training and evaluation flow. A seeded permutation splits the data; each epoch is followed by validation; the trained model can be checkpointed and passed to the explainability tools.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_Ref_Figure_4_5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45</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4.6</w:t>
      </w:r>
      <w:r>
        <w:rPr>
          <w:rFonts w:ascii="Times New Roman" w:hAnsi="Times New Roman" w:cs="Times New Roman" w:eastAsia="Times New Roman"/>
          <w:sz w:val="24"/>
        </w:rPr>
        <w:tab/>
      </w:r>
      <w:r>
        <w:rPr>
          <w:rFonts w:ascii="Times New Roman" w:hAnsi="Times New Roman" w:cs="Times New Roman" w:eastAsia="Times New Roman"/>
          <w:sz w:val="24"/>
        </w:rPr>
        <w:t xml:space="preserve">Generation of the two explanation artefacts: the Grad-CAM map (A) and the cross-attention heatmap (B).</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_Ref_Figure_4_6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48</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4.7</w:t>
      </w:r>
      <w:r>
        <w:rPr>
          <w:rFonts w:ascii="Times New Roman" w:hAnsi="Times New Roman" w:cs="Times New Roman" w:eastAsia="Times New Roman"/>
          <w:sz w:val="24"/>
        </w:rPr>
        <w:tab/>
      </w:r>
      <w:r>
        <w:rPr>
          <w:rFonts w:ascii="Times New Roman" w:hAnsi="Times New Roman" w:cs="Times New Roman" w:eastAsia="Times New Roman"/>
          <w:sz w:val="24"/>
        </w:rPr>
        <w:t xml:space="preserve">Module structure and import dependencies of the current code base (26 modules, with the test suite at the bottom). Solid outlines: the twelve modules of the original code base; dashed shaded outlines: the fourteen modules added since (listed in Table 4.6). Arrows run from the providing group to the importing group.</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_Ref_Figure_4_7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49</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5.1</w:t>
      </w:r>
      <w:r>
        <w:rPr>
          <w:rFonts w:ascii="Times New Roman" w:hAnsi="Times New Roman" w:cs="Times New Roman" w:eastAsia="Times New Roman"/>
          <w:sz w:val="24"/>
        </w:rPr>
        <w:tab/>
      </w:r>
      <w:r>
        <w:rPr>
          <w:rFonts w:ascii="Times New Roman" w:hAnsi="Times New Roman" w:cs="Times New Roman" w:eastAsia="Times New Roman"/>
          <w:sz w:val="24"/>
        </w:rPr>
        <w:t xml:space="preserve">Magnitude response of the conditioning filters in the effective (forward-backward) form.</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_Ref_Figure_5_1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55</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5.2</w:t>
      </w:r>
      <w:r>
        <w:rPr>
          <w:rFonts w:ascii="Times New Roman" w:hAnsi="Times New Roman" w:cs="Times New Roman" w:eastAsia="Times New Roman"/>
          <w:sz w:val="24"/>
        </w:rPr>
        <w:tab/>
      </w:r>
      <w:r>
        <w:rPr>
          <w:rFonts w:ascii="Times New Roman" w:hAnsi="Times New Roman" w:cs="Times New Roman" w:eastAsia="Times New Roman"/>
          <w:sz w:val="24"/>
        </w:rPr>
        <w:t xml:space="preserve">Amplitude spectrum of one synthetic VEP (original generator) before and after conditioning. The dotted line marks 50 Hz.</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_Ref_Figure_5_2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56</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5.3</w:t>
      </w:r>
      <w:r>
        <w:rPr>
          <w:rFonts w:ascii="Times New Roman" w:hAnsi="Times New Roman" w:cs="Times New Roman" w:eastAsia="Times New Roman"/>
          <w:sz w:val="24"/>
        </w:rPr>
        <w:tab/>
      </w:r>
      <w:r>
        <w:rPr>
          <w:rFonts w:ascii="Times New Roman" w:hAnsi="Times New Roman" w:cs="Times New Roman" w:eastAsia="Times New Roman"/>
          <w:sz w:val="24"/>
        </w:rPr>
        <w:t xml:space="preserve">Left: group delay of the single-pass filters versus the zero-phase pipeline (shaded band: ±1 sample, 4 ms). Right: mean P100 latency error by class (original generator; shaded band: ±4 ms).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_Ref_Figure_5_3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57</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5.4</w:t>
      </w:r>
      <w:r>
        <w:rPr>
          <w:rFonts w:ascii="Times New Roman" w:hAnsi="Times New Roman" w:cs="Times New Roman" w:eastAsia="Times New Roman"/>
          <w:sz w:val="24"/>
        </w:rPr>
        <w:tab/>
      </w:r>
      <w:r>
        <w:rPr>
          <w:rFonts w:ascii="Times New Roman" w:hAnsi="Times New Roman" w:cs="Times New Roman" w:eastAsia="Times New Roman"/>
          <w:sz w:val="24"/>
        </w:rPr>
        <w:t xml:space="preserve">Distributions over 50 trials per class from the original synthetic generator: detected P100 latency after conditioning (left) and peak value after z-scoring (right).</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_Ref_Figure_5_4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57</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5.5</w:t>
      </w:r>
      <w:r>
        <w:rPr>
          <w:rFonts w:ascii="Times New Roman" w:hAnsi="Times New Roman" w:cs="Times New Roman" w:eastAsia="Times New Roman"/>
          <w:sz w:val="24"/>
        </w:rPr>
        <w:tab/>
      </w:r>
      <w:r>
        <w:rPr>
          <w:rFonts w:ascii="Times New Roman" w:hAnsi="Times New Roman" w:cs="Times New Roman" w:eastAsia="Times New Roman"/>
          <w:sz w:val="24"/>
        </w:rPr>
        <w:t xml:space="preserve">Left: trainable parameters by component of the final model (1,955,140 in total). Right: multiply-accumulate operations (MACs) per sample at 64³ by component group (2.60 G in total; Table 5.5).</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_Ref_Figure_5_5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59</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5.6</w:t>
      </w:r>
      <w:r>
        <w:rPr>
          <w:rFonts w:ascii="Times New Roman" w:hAnsi="Times New Roman" w:cs="Times New Roman" w:eastAsia="Times New Roman"/>
          <w:sz w:val="24"/>
        </w:rPr>
        <w:tab/>
      </w:r>
      <w:r>
        <w:rPr>
          <w:rFonts w:ascii="Times New Roman" w:hAnsi="Times New Roman" w:cs="Times New Roman" w:eastAsia="Times New Roman"/>
          <w:sz w:val="24"/>
        </w:rPr>
        <w:t xml:space="preserve">Left: number of test functions per test file in the original suite (86 tests; blue: unit; green: integration). Right: statement coverage per module of the original code base (red: below 90%).</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_Ref_Figure_5_6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61</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5.7</w:t>
      </w:r>
      <w:r>
        <w:rPr>
          <w:rFonts w:ascii="Times New Roman" w:hAnsi="Times New Roman" w:cs="Times New Roman" w:eastAsia="Times New Roman"/>
          <w:sz w:val="24"/>
        </w:rPr>
        <w:tab/>
      </w:r>
      <w:r>
        <w:rPr>
          <w:rFonts w:ascii="Times New Roman" w:hAnsi="Times New Roman" w:cs="Times New Roman" w:eastAsia="Times New Roman"/>
          <w:sz w:val="24"/>
        </w:rPr>
        <w:t xml:space="preserve">Study A (synthetic): test accuracy by configuration (bars: mean; whiskers: SD over seeds; dotted line: chance). Grey bars are the unimodal references.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_Ref_Figure_5_7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64</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5.8</w:t>
      </w:r>
      <w:r>
        <w:rPr>
          <w:rFonts w:ascii="Times New Roman" w:hAnsi="Times New Roman" w:cs="Times New Roman" w:eastAsia="Times New Roman"/>
          <w:sz w:val="24"/>
        </w:rPr>
        <w:tab/>
      </w:r>
      <w:r>
        <w:rPr>
          <w:rFonts w:ascii="Times New Roman" w:hAnsi="Times New Roman" w:cs="Times New Roman" w:eastAsia="Times New Roman"/>
          <w:sz w:val="24"/>
        </w:rPr>
        <w:t xml:space="preserve">Study A sweep (synthetic): test accuracy versus VEP informativeness (MRI fixed at 1.0). Dashed lines: unimodal models; solid lines: fusion models.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_Ref_Figure_5_8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66</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5.9</w:t>
      </w:r>
      <w:r>
        <w:rPr>
          <w:rFonts w:ascii="Times New Roman" w:hAnsi="Times New Roman" w:cs="Times New Roman" w:eastAsia="Times New Roman"/>
          <w:sz w:val="24"/>
        </w:rPr>
        <w:tab/>
      </w:r>
      <w:r>
        <w:rPr>
          <w:rFonts w:ascii="Times New Roman" w:hAnsi="Times New Roman" w:cs="Times New Roman" w:eastAsia="Times New Roman"/>
          <w:sz w:val="24"/>
        </w:rPr>
        <w:t xml:space="preserve">Real cohorts: cross-validated ROC-AUC (dot: mean; bar: 95% bootstrap interval). Grey: classical models; blue: neural models. The dotted line is chance.</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_Ref_Figure_5_9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67</w:t>
      </w:r>
      <w:r>
        <w:rPr>
          <w:rFonts w:ascii="Times New Roman" w:hAnsi="Times New Roman" w:cs="Times New Roman" w:eastAsia="Times New Roman"/>
          <w:sz w:val="24"/>
        </w:rPr>
        <w:fldChar w:fldCharType="end"/>
      </w:r>
    </w:p>
    <w:p>
      <w:pPr>
        <w:pStyle w:val="ListEntry"/>
      </w:pPr>
      <w:r>
        <w:rPr>
          <w:rFonts w:ascii="Times New Roman" w:hAnsi="Times New Roman" w:cs="Times New Roman" w:eastAsia="Times New Roman"/>
          <w:sz w:val="24"/>
        </w:rPr>
        <w:t xml:space="preserve">Figure 5.10</w:t>
      </w:r>
      <w:r>
        <w:rPr>
          <w:rFonts w:ascii="Times New Roman" w:hAnsi="Times New Roman" w:cs="Times New Roman" w:eastAsia="Times New Roman"/>
          <w:sz w:val="24"/>
        </w:rPr>
        <w:tab/>
      </w:r>
      <w:r>
        <w:rPr>
          <w:rFonts w:ascii="Times New Roman" w:hAnsi="Times New Roman" w:cs="Times New Roman" w:eastAsia="Times New Roman"/>
          <w:sz w:val="24"/>
        </w:rPr>
        <w:t xml:space="preserve">Pooled CAFN on the real cohorts, repeat 0: training versus validation loss and accuracy. The validation curve stays near chance while the training loss vanishes.</w:t>
      </w:r>
      <w:r>
        <w:rPr>
          <w:rFonts w:ascii="Times New Roman" w:hAnsi="Times New Roman" w:cs="Times New Roman" w:eastAsia="Times New Roman"/>
          <w:sz w:val="24"/>
        </w:rPr>
        <w:tab/>
      </w: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PAGEREF _Ref_Figure_5_10 \h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 xml:space="preserve">68</w:t>
      </w:r>
      <w:r>
        <w:rPr>
          <w:rFonts w:ascii="Times New Roman" w:hAnsi="Times New Roman" w:cs="Times New Roman" w:eastAsia="Times New Roman"/>
          <w:sz w:val="24"/>
        </w:rPr>
        <w:fldChar w:fldCharType="end"/>
      </w:r>
    </w:p>
    <w:p>
      <w:pPr>
        <w:pStyle w:val="FrontHeading"/>
        <w:jc w:val="center"/>
      </w:pPr>
      <w:r>
        <w:rPr>
          <w:rFonts w:ascii="Times New Roman" w:hAnsi="Times New Roman" w:cs="Times New Roman" w:eastAsia="Times New Roman"/>
          <w:b/>
          <w:sz w:val="28"/>
          <w:u w:val="none"/>
        </w:rPr>
        <w:t>LIST OF SYMBOLS, ABBREVIATIONS AND NOMENCLATURE</w:t>
      </w:r>
    </w:p>
    <w:tbl>
      <w:tblPr>
        <w:tblW w:type="auto" w:w="0"/>
        <w:tblLayout w:type="fixed"/>
        <w:tblCellMar>
          <w:top w:w="30" w:type="dxa"/>
          <w:left w:w="60" w:type="dxa"/>
          <w:bottom w:w="30" w:type="dxa"/>
          <w:right w:w="60" w:type="dxa"/>
        </w:tblCellMar>
        <w:tblLook w:firstColumn="1" w:firstRow="1" w:lastColumn="0" w:lastRow="0" w:noHBand="0" w:noVBand="1" w:val="04A0"/>
      </w:tblPr>
      <w:tblGrid>
        <w:gridCol w:w="2494"/>
        <w:gridCol w:w="5811"/>
      </w:tblGrid>
      <w:tr>
        <w:tc>
          <w:tcPr>
            <w:tcW w:type="dxa" w:w="2494"/>
          </w:tcPr>
          <w:p>
            <w:pPr>
              <w:pStyle w:val="TableText"/>
            </w:pPr>
            <w:r>
              <w:rPr>
                <w:rFonts w:ascii="Times New Roman" w:hAnsi="Times New Roman" w:cs="Times New Roman" w:eastAsia="Times New Roman"/>
                <w:b/>
                <w:sz w:val="24"/>
              </w:rPr>
              <w:t>1D / 3D</w:t>
            </w:r>
          </w:p>
        </w:tc>
        <w:tc>
          <w:tcPr>
            <w:tcW w:type="dxa" w:w="5811"/>
          </w:tcPr>
          <w:p>
            <w:pPr>
              <w:pStyle w:val="TableText"/>
            </w:pPr>
            <w:r>
              <w:rPr>
                <w:rFonts w:ascii="Times New Roman" w:hAnsi="Times New Roman" w:cs="Times New Roman" w:eastAsia="Times New Roman"/>
                <w:sz w:val="24"/>
              </w:rPr>
              <w:t>One- / three-dimensional</w:t>
            </w:r>
          </w:p>
        </w:tc>
      </w:tr>
      <w:tr>
        <w:tc>
          <w:tcPr>
            <w:tcW w:type="dxa" w:w="2494"/>
          </w:tcPr>
          <w:p>
            <w:pPr>
              <w:pStyle w:val="TableText"/>
            </w:pPr>
            <w:r>
              <w:rPr>
                <w:rFonts w:ascii="Times New Roman" w:hAnsi="Times New Roman" w:cs="Times New Roman" w:eastAsia="Times New Roman"/>
                <w:b/>
                <w:sz w:val="24"/>
              </w:rPr>
              <w:t xml:space="preserve">AUC</w:t>
            </w:r>
          </w:p>
        </w:tc>
        <w:tc>
          <w:tcPr>
            <w:tcW w:type="dxa" w:w="5811"/>
          </w:tcPr>
          <w:p>
            <w:pPr>
              <w:pStyle w:val="TableText"/>
            </w:pPr>
            <w:r>
              <w:rPr>
                <w:rFonts w:ascii="Times New Roman" w:hAnsi="Times New Roman" w:cs="Times New Roman" w:eastAsia="Times New Roman"/>
                <w:sz w:val="24"/>
              </w:rPr>
              <w:t xml:space="preserve">Area under the receiver operating characteristic curve</w:t>
            </w:r>
          </w:p>
        </w:tc>
      </w:tr>
      <w:tr>
        <w:tc>
          <w:tcPr>
            <w:tcW w:type="dxa" w:w="2494"/>
          </w:tcPr>
          <w:p>
            <w:pPr>
              <w:pStyle w:val="TableText"/>
            </w:pPr>
            <w:r>
              <w:rPr>
                <w:rFonts w:ascii="Times New Roman" w:hAnsi="Times New Roman" w:cs="Times New Roman" w:eastAsia="Times New Roman"/>
                <w:b/>
                <w:sz w:val="24"/>
              </w:rPr>
              <w:t>BN</w:t>
            </w:r>
          </w:p>
        </w:tc>
        <w:tc>
          <w:tcPr>
            <w:tcW w:type="dxa" w:w="5811"/>
          </w:tcPr>
          <w:p>
            <w:pPr>
              <w:pStyle w:val="TableText"/>
            </w:pPr>
            <w:r>
              <w:rPr>
                <w:rFonts w:ascii="Times New Roman" w:hAnsi="Times New Roman" w:cs="Times New Roman" w:eastAsia="Times New Roman"/>
                <w:sz w:val="24"/>
              </w:rPr>
              <w:t>Batch normalisation</w:t>
            </w:r>
          </w:p>
        </w:tc>
      </w:tr>
      <w:tr>
        <w:tc>
          <w:tcPr>
            <w:tcW w:type="dxa" w:w="2494"/>
          </w:tcPr>
          <w:p>
            <w:pPr>
              <w:pStyle w:val="TableText"/>
            </w:pPr>
            <w:r>
              <w:rPr>
                <w:rFonts w:ascii="Times New Roman" w:hAnsi="Times New Roman" w:cs="Times New Roman" w:eastAsia="Times New Roman"/>
                <w:b/>
                <w:sz w:val="24"/>
              </w:rPr>
              <w:t>CAFN</w:t>
            </w:r>
          </w:p>
        </w:tc>
        <w:tc>
          <w:tcPr>
            <w:tcW w:type="dxa" w:w="5811"/>
          </w:tcPr>
          <w:p>
            <w:pPr>
              <w:pStyle w:val="TableText"/>
            </w:pPr>
            <w:r>
              <w:rPr>
                <w:rFonts w:ascii="Times New Roman" w:hAnsi="Times New Roman" w:cs="Times New Roman" w:eastAsia="Times New Roman"/>
                <w:sz w:val="24"/>
              </w:rPr>
              <w:t>Cross-Attention Fusion Network (the model developed in this project)</w:t>
            </w:r>
          </w:p>
        </w:tc>
      </w:tr>
      <w:tr>
        <w:tc>
          <w:tcPr>
            <w:tcW w:type="dxa" w:w="2494"/>
          </w:tcPr>
          <w:p>
            <w:pPr>
              <w:pStyle w:val="TableText"/>
            </w:pPr>
            <w:r>
              <w:rPr>
                <w:rFonts w:ascii="Times New Roman" w:hAnsi="Times New Roman" w:cs="Times New Roman" w:eastAsia="Times New Roman"/>
                <w:b/>
                <w:sz w:val="24"/>
              </w:rPr>
              <w:t xml:space="preserve">CAMF</w:t>
            </w:r>
          </w:p>
        </w:tc>
        <w:tc>
          <w:tcPr>
            <w:tcW w:type="dxa" w:w="5811"/>
          </w:tcPr>
          <w:p>
            <w:pPr>
              <w:pStyle w:val="TableText"/>
            </w:pPr>
            <w:r>
              <w:rPr>
                <w:rFonts w:ascii="Times New Roman" w:hAnsi="Times New Roman" w:cs="Times New Roman" w:eastAsia="Times New Roman"/>
                <w:sz w:val="24"/>
              </w:rPr>
              <w:t xml:space="preserve">Cross-attentive multi-modal MRI fusion framework of Zhou et al. (2024)</w:t>
            </w:r>
          </w:p>
        </w:tc>
      </w:tr>
      <w:tr>
        <w:tc>
          <w:tcPr>
            <w:tcW w:type="dxa" w:w="2494"/>
          </w:tcPr>
          <w:p>
            <w:pPr>
              <w:pStyle w:val="TableText"/>
            </w:pPr>
            <w:r>
              <w:rPr>
                <w:rFonts w:ascii="Times New Roman" w:hAnsi="Times New Roman" w:cs="Times New Roman" w:eastAsia="Times New Roman"/>
                <w:b/>
                <w:sz w:val="24"/>
              </w:rPr>
              <w:t>CNN</w:t>
            </w:r>
          </w:p>
        </w:tc>
        <w:tc>
          <w:tcPr>
            <w:tcW w:type="dxa" w:w="5811"/>
          </w:tcPr>
          <w:p>
            <w:pPr>
              <w:pStyle w:val="TableText"/>
            </w:pPr>
            <w:r>
              <w:rPr>
                <w:rFonts w:ascii="Times New Roman" w:hAnsi="Times New Roman" w:cs="Times New Roman" w:eastAsia="Times New Roman"/>
                <w:sz w:val="24"/>
              </w:rPr>
              <w:t>Convolutional neural network</w:t>
            </w:r>
          </w:p>
        </w:tc>
      </w:tr>
      <w:tr>
        <w:tc>
          <w:tcPr>
            <w:tcW w:type="dxa" w:w="2494"/>
          </w:tcPr>
          <w:p>
            <w:pPr>
              <w:pStyle w:val="TableText"/>
            </w:pPr>
            <w:r>
              <w:rPr>
                <w:rFonts w:ascii="Times New Roman" w:hAnsi="Times New Roman" w:cs="Times New Roman" w:eastAsia="Times New Roman"/>
                <w:b/>
                <w:sz w:val="24"/>
              </w:rPr>
              <w:t>CSV</w:t>
            </w:r>
          </w:p>
        </w:tc>
        <w:tc>
          <w:tcPr>
            <w:tcW w:type="dxa" w:w="5811"/>
          </w:tcPr>
          <w:p>
            <w:pPr>
              <w:pStyle w:val="TableText"/>
            </w:pPr>
            <w:r>
              <w:rPr>
                <w:rFonts w:ascii="Times New Roman" w:hAnsi="Times New Roman" w:cs="Times New Roman" w:eastAsia="Times New Roman"/>
                <w:sz w:val="24"/>
              </w:rPr>
              <w:t>Comma-separated values (file format)</w:t>
            </w:r>
          </w:p>
        </w:tc>
      </w:tr>
      <w:tr>
        <w:tc>
          <w:tcPr>
            <w:tcW w:type="dxa" w:w="2494"/>
          </w:tcPr>
          <w:p>
            <w:pPr>
              <w:pStyle w:val="TableText"/>
            </w:pPr>
            <w:r>
              <w:rPr>
                <w:rFonts w:ascii="Times New Roman" w:hAnsi="Times New Roman" w:cs="Times New Roman" w:eastAsia="Times New Roman"/>
                <w:b/>
                <w:sz w:val="24"/>
              </w:rPr>
              <w:t xml:space="preserve">CV</w:t>
            </w:r>
          </w:p>
        </w:tc>
        <w:tc>
          <w:tcPr>
            <w:tcW w:type="dxa" w:w="5811"/>
          </w:tcPr>
          <w:p>
            <w:pPr>
              <w:pStyle w:val="TableText"/>
            </w:pPr>
            <w:r>
              <w:rPr>
                <w:rFonts w:ascii="Times New Roman" w:hAnsi="Times New Roman" w:cs="Times New Roman" w:eastAsia="Times New Roman"/>
                <w:sz w:val="24"/>
              </w:rPr>
              <w:t xml:space="preserve">Cross-validation</w:t>
            </w:r>
          </w:p>
        </w:tc>
      </w:tr>
      <w:tr>
        <w:tc>
          <w:tcPr>
            <w:tcW w:type="dxa" w:w="2494"/>
          </w:tcPr>
          <w:p>
            <w:pPr>
              <w:pStyle w:val="TableText"/>
            </w:pPr>
            <w:r>
              <w:rPr>
                <w:rFonts w:ascii="Times New Roman" w:hAnsi="Times New Roman" w:cs="Times New Roman" w:eastAsia="Times New Roman"/>
                <w:b/>
                <w:sz w:val="24"/>
              </w:rPr>
              <w:t>CVI</w:t>
            </w:r>
          </w:p>
        </w:tc>
        <w:tc>
          <w:tcPr>
            <w:tcW w:type="dxa" w:w="5811"/>
          </w:tcPr>
          <w:p>
            <w:pPr>
              <w:pStyle w:val="TableText"/>
            </w:pPr>
            <w:r>
              <w:rPr>
                <w:rFonts w:ascii="Times New Roman" w:hAnsi="Times New Roman" w:cs="Times New Roman" w:eastAsia="Times New Roman"/>
                <w:sz w:val="24"/>
              </w:rPr>
              <w:t>Cortical (cerebral) visual impairment</w:t>
            </w:r>
          </w:p>
        </w:tc>
      </w:tr>
      <w:tr>
        <w:tc>
          <w:tcPr>
            <w:tcW w:type="dxa" w:w="2494"/>
          </w:tcPr>
          <w:p>
            <w:pPr>
              <w:pStyle w:val="TableText"/>
            </w:pPr>
            <w:r>
              <w:rPr>
                <w:rFonts w:ascii="Times New Roman" w:hAnsi="Times New Roman" w:cs="Times New Roman" w:eastAsia="Times New Roman"/>
                <w:b/>
                <w:sz w:val="24"/>
              </w:rPr>
              <w:t xml:space="preserve">DRIFA-Net</w:t>
            </w:r>
          </w:p>
        </w:tc>
        <w:tc>
          <w:tcPr>
            <w:tcW w:type="dxa" w:w="5811"/>
          </w:tcPr>
          <w:p>
            <w:pPr>
              <w:pStyle w:val="TableText"/>
            </w:pPr>
            <w:r>
              <w:rPr>
                <w:rFonts w:ascii="Times New Roman" w:hAnsi="Times New Roman" w:cs="Times New Roman" w:eastAsia="Times New Roman"/>
                <w:sz w:val="24"/>
              </w:rPr>
              <w:t xml:space="preserve">Dual-attention multimodal fusion network of Dhar et al. (2025)</w:t>
            </w:r>
          </w:p>
        </w:tc>
      </w:tr>
      <w:tr>
        <w:tc>
          <w:tcPr>
            <w:tcW w:type="dxa" w:w="2494"/>
          </w:tcPr>
          <w:p>
            <w:pPr>
              <w:pStyle w:val="TableText"/>
            </w:pPr>
            <w:r>
              <w:rPr>
                <w:rFonts w:ascii="Times New Roman" w:hAnsi="Times New Roman" w:cs="Times New Roman" w:eastAsia="Times New Roman"/>
                <w:b/>
                <w:sz w:val="24"/>
              </w:rPr>
              <w:t>EEG</w:t>
            </w:r>
          </w:p>
        </w:tc>
        <w:tc>
          <w:tcPr>
            <w:tcW w:type="dxa" w:w="5811"/>
          </w:tcPr>
          <w:p>
            <w:pPr>
              <w:pStyle w:val="TableText"/>
            </w:pPr>
            <w:r>
              <w:rPr>
                <w:rFonts w:ascii="Times New Roman" w:hAnsi="Times New Roman" w:cs="Times New Roman" w:eastAsia="Times New Roman"/>
                <w:sz w:val="24"/>
              </w:rPr>
              <w:t>Electroencephalography</w:t>
            </w:r>
          </w:p>
        </w:tc>
      </w:tr>
      <w:tr>
        <w:tc>
          <w:tcPr>
            <w:tcW w:type="dxa" w:w="2494"/>
          </w:tcPr>
          <w:p>
            <w:pPr>
              <w:pStyle w:val="TableText"/>
            </w:pPr>
            <w:r>
              <w:rPr>
                <w:rFonts w:ascii="Times New Roman" w:hAnsi="Times New Roman" w:cs="Times New Roman" w:eastAsia="Times New Roman"/>
                <w:b/>
                <w:sz w:val="24"/>
              </w:rPr>
              <w:t>ERG</w:t>
            </w:r>
          </w:p>
        </w:tc>
        <w:tc>
          <w:tcPr>
            <w:tcW w:type="dxa" w:w="5811"/>
          </w:tcPr>
          <w:p>
            <w:pPr>
              <w:pStyle w:val="TableText"/>
            </w:pPr>
            <w:r>
              <w:rPr>
                <w:rFonts w:ascii="Times New Roman" w:hAnsi="Times New Roman" w:cs="Times New Roman" w:eastAsia="Times New Roman"/>
                <w:sz w:val="24"/>
              </w:rPr>
              <w:t>Electroretinography</w:t>
            </w:r>
          </w:p>
        </w:tc>
      </w:tr>
      <w:tr>
        <w:tc>
          <w:tcPr>
            <w:tcW w:type="dxa" w:w="2494"/>
          </w:tcPr>
          <w:p>
            <w:pPr>
              <w:pStyle w:val="TableText"/>
            </w:pPr>
            <w:r>
              <w:rPr>
                <w:rFonts w:ascii="Times New Roman" w:hAnsi="Times New Roman" w:cs="Times New Roman" w:eastAsia="Times New Roman"/>
                <w:b/>
                <w:sz w:val="24"/>
              </w:rPr>
              <w:t>FFN</w:t>
            </w:r>
          </w:p>
        </w:tc>
        <w:tc>
          <w:tcPr>
            <w:tcW w:type="dxa" w:w="5811"/>
          </w:tcPr>
          <w:p>
            <w:pPr>
              <w:pStyle w:val="TableText"/>
            </w:pPr>
            <w:r>
              <w:rPr>
                <w:rFonts w:ascii="Times New Roman" w:hAnsi="Times New Roman" w:cs="Times New Roman" w:eastAsia="Times New Roman"/>
                <w:sz w:val="24"/>
              </w:rPr>
              <w:t>Position-wise feed-forward network</w:t>
            </w:r>
          </w:p>
        </w:tc>
      </w:tr>
      <w:tr>
        <w:tc>
          <w:tcPr>
            <w:tcW w:type="dxa" w:w="2494"/>
          </w:tcPr>
          <w:p>
            <w:pPr>
              <w:pStyle w:val="TableText"/>
            </w:pPr>
            <w:r>
              <w:rPr>
                <w:rFonts w:ascii="Times New Roman" w:hAnsi="Times New Roman" w:cs="Times New Roman" w:eastAsia="Times New Roman"/>
                <w:b/>
                <w:sz w:val="24"/>
              </w:rPr>
              <w:t>Grad-CAM</w:t>
            </w:r>
          </w:p>
        </w:tc>
        <w:tc>
          <w:tcPr>
            <w:tcW w:type="dxa" w:w="5811"/>
          </w:tcPr>
          <w:p>
            <w:pPr>
              <w:pStyle w:val="TableText"/>
            </w:pPr>
            <w:r>
              <w:rPr>
                <w:rFonts w:ascii="Times New Roman" w:hAnsi="Times New Roman" w:cs="Times New Roman" w:eastAsia="Times New Roman"/>
                <w:sz w:val="24"/>
              </w:rPr>
              <w:t>Gradient-weighted class activation mapping</w:t>
            </w:r>
          </w:p>
        </w:tc>
      </w:tr>
      <w:tr>
        <w:tc>
          <w:tcPr>
            <w:tcW w:type="dxa" w:w="2494"/>
          </w:tcPr>
          <w:p>
            <w:pPr>
              <w:pStyle w:val="TableText"/>
            </w:pPr>
            <w:r>
              <w:rPr>
                <w:rFonts w:ascii="Times New Roman" w:hAnsi="Times New Roman" w:cs="Times New Roman" w:eastAsia="Times New Roman"/>
                <w:b/>
                <w:sz w:val="24"/>
              </w:rPr>
              <w:t>HCP</w:t>
            </w:r>
          </w:p>
        </w:tc>
        <w:tc>
          <w:tcPr>
            <w:tcW w:type="dxa" w:w="5811"/>
          </w:tcPr>
          <w:p>
            <w:pPr>
              <w:pStyle w:val="TableText"/>
            </w:pPr>
            <w:r>
              <w:rPr>
                <w:rFonts w:ascii="Times New Roman" w:hAnsi="Times New Roman" w:cs="Times New Roman" w:eastAsia="Times New Roman"/>
                <w:sz w:val="24"/>
              </w:rPr>
              <w:t>Human Connectome Project</w:t>
            </w:r>
          </w:p>
        </w:tc>
      </w:tr>
      <w:tr>
        <w:tc>
          <w:tcPr>
            <w:tcW w:type="dxa" w:w="2494"/>
          </w:tcPr>
          <w:p>
            <w:pPr>
              <w:pStyle w:val="TableText"/>
            </w:pPr>
            <w:r>
              <w:rPr>
                <w:rFonts w:ascii="Times New Roman" w:hAnsi="Times New Roman" w:cs="Times New Roman" w:eastAsia="Times New Roman"/>
                <w:b/>
                <w:sz w:val="24"/>
              </w:rPr>
              <w:t>IIR</w:t>
            </w:r>
          </w:p>
        </w:tc>
        <w:tc>
          <w:tcPr>
            <w:tcW w:type="dxa" w:w="5811"/>
          </w:tcPr>
          <w:p>
            <w:pPr>
              <w:pStyle w:val="TableText"/>
            </w:pPr>
            <w:r>
              <w:rPr>
                <w:rFonts w:ascii="Times New Roman" w:hAnsi="Times New Roman" w:cs="Times New Roman" w:eastAsia="Times New Roman"/>
                <w:sz w:val="24"/>
              </w:rPr>
              <w:t>Infinite impulse response (filter)</w:t>
            </w:r>
          </w:p>
        </w:tc>
      </w:tr>
      <w:tr>
        <w:tc>
          <w:tcPr>
            <w:tcW w:type="dxa" w:w="2494"/>
          </w:tcPr>
          <w:p>
            <w:pPr>
              <w:pStyle w:val="TableText"/>
            </w:pPr>
            <w:r>
              <w:rPr>
                <w:rFonts w:ascii="Times New Roman" w:hAnsi="Times New Roman" w:cs="Times New Roman" w:eastAsia="Times New Roman"/>
                <w:b/>
                <w:sz w:val="24"/>
              </w:rPr>
              <w:t>ISCEV</w:t>
            </w:r>
          </w:p>
        </w:tc>
        <w:tc>
          <w:tcPr>
            <w:tcW w:type="dxa" w:w="5811"/>
          </w:tcPr>
          <w:p>
            <w:pPr>
              <w:pStyle w:val="TableText"/>
            </w:pPr>
            <w:r>
              <w:rPr>
                <w:rFonts w:ascii="Times New Roman" w:hAnsi="Times New Roman" w:cs="Times New Roman" w:eastAsia="Times New Roman"/>
                <w:sz w:val="24"/>
              </w:rPr>
              <w:t>International Society for Clinical Electrophysiology of Vision</w:t>
            </w:r>
          </w:p>
        </w:tc>
      </w:tr>
      <w:tr>
        <w:tc>
          <w:tcPr>
            <w:tcW w:type="dxa" w:w="2494"/>
          </w:tcPr>
          <w:p>
            <w:pPr>
              <w:pStyle w:val="TableText"/>
            </w:pPr>
            <w:r>
              <w:rPr>
                <w:rFonts w:ascii="Times New Roman" w:hAnsi="Times New Roman" w:cs="Times New Roman" w:eastAsia="Times New Roman"/>
                <w:b/>
                <w:sz w:val="24"/>
              </w:rPr>
              <w:t>LN</w:t>
            </w:r>
          </w:p>
        </w:tc>
        <w:tc>
          <w:tcPr>
            <w:tcW w:type="dxa" w:w="5811"/>
          </w:tcPr>
          <w:p>
            <w:pPr>
              <w:pStyle w:val="TableText"/>
            </w:pPr>
            <w:r>
              <w:rPr>
                <w:rFonts w:ascii="Times New Roman" w:hAnsi="Times New Roman" w:cs="Times New Roman" w:eastAsia="Times New Roman"/>
                <w:sz w:val="24"/>
              </w:rPr>
              <w:t>Layer normalisation</w:t>
            </w:r>
          </w:p>
        </w:tc>
      </w:tr>
      <w:tr>
        <w:tc>
          <w:tcPr>
            <w:tcW w:type="dxa" w:w="2494"/>
          </w:tcPr>
          <w:p>
            <w:pPr>
              <w:pStyle w:val="TableText"/>
            </w:pPr>
            <w:r>
              <w:rPr>
                <w:rFonts w:ascii="Times New Roman" w:hAnsi="Times New Roman" w:cs="Times New Roman" w:eastAsia="Times New Roman"/>
                <w:b/>
                <w:sz w:val="24"/>
              </w:rPr>
              <w:t xml:space="preserve">LODO</w:t>
            </w:r>
          </w:p>
        </w:tc>
        <w:tc>
          <w:tcPr>
            <w:tcW w:type="dxa" w:w="5811"/>
          </w:tcPr>
          <w:p>
            <w:pPr>
              <w:pStyle w:val="TableText"/>
            </w:pPr>
            <w:r>
              <w:rPr>
                <w:rFonts w:ascii="Times New Roman" w:hAnsi="Times New Roman" w:cs="Times New Roman" w:eastAsia="Times New Roman"/>
                <w:sz w:val="24"/>
              </w:rPr>
              <w:t xml:space="preserve">Leave-one-cohort-out (train on the other cohort, test on the held-out one)</w:t>
            </w:r>
          </w:p>
        </w:tc>
      </w:tr>
      <w:tr>
        <w:tc>
          <w:tcPr>
            <w:tcW w:type="dxa" w:w="2494"/>
          </w:tcPr>
          <w:p>
            <w:pPr>
              <w:pStyle w:val="TableText"/>
            </w:pPr>
            <w:r>
              <w:rPr>
                <w:rFonts w:ascii="Times New Roman" w:hAnsi="Times New Roman" w:cs="Times New Roman" w:eastAsia="Times New Roman"/>
                <w:b/>
                <w:sz w:val="24"/>
              </w:rPr>
              <w:t>MAC</w:t>
            </w:r>
          </w:p>
        </w:tc>
        <w:tc>
          <w:tcPr>
            <w:tcW w:type="dxa" w:w="5811"/>
          </w:tcPr>
          <w:p>
            <w:pPr>
              <w:pStyle w:val="TableText"/>
            </w:pPr>
            <w:r>
              <w:rPr>
                <w:rFonts w:ascii="Times New Roman" w:hAnsi="Times New Roman" w:cs="Times New Roman" w:eastAsia="Times New Roman"/>
                <w:sz w:val="24"/>
              </w:rPr>
              <w:t>Multiply–accumulate operation</w:t>
            </w:r>
          </w:p>
        </w:tc>
      </w:tr>
      <w:tr>
        <w:tc>
          <w:tcPr>
            <w:tcW w:type="dxa" w:w="2494"/>
          </w:tcPr>
          <w:p>
            <w:pPr>
              <w:pStyle w:val="TableText"/>
            </w:pPr>
            <w:r>
              <w:rPr>
                <w:rFonts w:ascii="Times New Roman" w:hAnsi="Times New Roman" w:cs="Times New Roman" w:eastAsia="Times New Roman"/>
                <w:b/>
                <w:sz w:val="24"/>
              </w:rPr>
              <w:t xml:space="preserve">MDD</w:t>
            </w:r>
          </w:p>
        </w:tc>
        <w:tc>
          <w:tcPr>
            <w:tcW w:type="dxa" w:w="5811"/>
          </w:tcPr>
          <w:p>
            <w:pPr>
              <w:pStyle w:val="TableText"/>
            </w:pPr>
            <w:r>
              <w:rPr>
                <w:rFonts w:ascii="Times New Roman" w:hAnsi="Times New Roman" w:cs="Times New Roman" w:eastAsia="Times New Roman"/>
                <w:sz w:val="24"/>
              </w:rPr>
              <w:t xml:space="preserve">Major depressive disorder</w:t>
            </w:r>
          </w:p>
        </w:tc>
      </w:tr>
      <w:tr>
        <w:tc>
          <w:tcPr>
            <w:tcW w:type="dxa" w:w="2494"/>
          </w:tcPr>
          <w:p>
            <w:pPr>
              <w:pStyle w:val="TableText"/>
            </w:pPr>
            <w:r>
              <w:rPr>
                <w:rFonts w:ascii="Times New Roman" w:hAnsi="Times New Roman" w:cs="Times New Roman" w:eastAsia="Times New Roman"/>
                <w:b/>
                <w:sz w:val="24"/>
              </w:rPr>
              <w:t xml:space="preserve">MEG</w:t>
            </w:r>
          </w:p>
        </w:tc>
        <w:tc>
          <w:tcPr>
            <w:tcW w:type="dxa" w:w="5811"/>
          </w:tcPr>
          <w:p>
            <w:pPr>
              <w:pStyle w:val="TableText"/>
            </w:pPr>
            <w:r>
              <w:rPr>
                <w:rFonts w:ascii="Times New Roman" w:hAnsi="Times New Roman" w:cs="Times New Roman" w:eastAsia="Times New Roman"/>
                <w:sz w:val="24"/>
              </w:rPr>
              <w:t xml:space="preserve">Magnetoencephalography</w:t>
            </w:r>
          </w:p>
        </w:tc>
      </w:tr>
      <w:tr>
        <w:tc>
          <w:tcPr>
            <w:tcW w:type="dxa" w:w="2494"/>
          </w:tcPr>
          <w:p>
            <w:pPr>
              <w:pStyle w:val="TableText"/>
            </w:pPr>
            <w:r>
              <w:rPr>
                <w:rFonts w:ascii="Times New Roman" w:hAnsi="Times New Roman" w:cs="Times New Roman" w:eastAsia="Times New Roman"/>
                <w:b/>
                <w:sz w:val="24"/>
              </w:rPr>
              <w:t>MONAI</w:t>
            </w:r>
          </w:p>
        </w:tc>
        <w:tc>
          <w:tcPr>
            <w:tcW w:type="dxa" w:w="5811"/>
          </w:tcPr>
          <w:p>
            <w:pPr>
              <w:pStyle w:val="TableText"/>
            </w:pPr>
            <w:r>
              <w:rPr>
                <w:rFonts w:ascii="Times New Roman" w:hAnsi="Times New Roman" w:cs="Times New Roman" w:eastAsia="Times New Roman"/>
                <w:sz w:val="24"/>
              </w:rPr>
              <w:t>Medical Open Network for AI (software framework)</w:t>
            </w:r>
          </w:p>
        </w:tc>
      </w:tr>
      <w:tr>
        <w:tc>
          <w:tcPr>
            <w:tcW w:type="dxa" w:w="2494"/>
          </w:tcPr>
          <w:p>
            <w:pPr>
              <w:pStyle w:val="TableText"/>
            </w:pPr>
            <w:r>
              <w:rPr>
                <w:rFonts w:ascii="Times New Roman" w:hAnsi="Times New Roman" w:cs="Times New Roman" w:eastAsia="Times New Roman"/>
                <w:b/>
                <w:sz w:val="24"/>
              </w:rPr>
              <w:t>MRI / sMRI</w:t>
            </w:r>
          </w:p>
        </w:tc>
        <w:tc>
          <w:tcPr>
            <w:tcW w:type="dxa" w:w="5811"/>
          </w:tcPr>
          <w:p>
            <w:pPr>
              <w:pStyle w:val="TableText"/>
            </w:pPr>
            <w:r>
              <w:rPr>
                <w:rFonts w:ascii="Times New Roman" w:hAnsi="Times New Roman" w:cs="Times New Roman" w:eastAsia="Times New Roman"/>
                <w:sz w:val="24"/>
              </w:rPr>
              <w:t>(Structural) magnetic resonance imaging</w:t>
            </w:r>
          </w:p>
        </w:tc>
      </w:tr>
      <w:tr>
        <w:tc>
          <w:tcPr>
            <w:tcW w:type="dxa" w:w="2494"/>
          </w:tcPr>
          <w:p>
            <w:pPr>
              <w:pStyle w:val="TableText"/>
            </w:pPr>
            <w:r>
              <w:rPr>
                <w:rFonts w:ascii="Times New Roman" w:hAnsi="Times New Roman" w:cs="Times New Roman" w:eastAsia="Times New Roman"/>
                <w:b/>
                <w:sz w:val="24"/>
              </w:rPr>
              <w:t>N75, P100, N135</w:t>
            </w:r>
          </w:p>
        </w:tc>
        <w:tc>
          <w:tcPr>
            <w:tcW w:type="dxa" w:w="5811"/>
          </w:tcPr>
          <w:p>
            <w:pPr>
              <w:pStyle w:val="TableText"/>
            </w:pPr>
            <w:r>
              <w:rPr>
                <w:rFonts w:ascii="Times New Roman" w:hAnsi="Times New Roman" w:cs="Times New Roman" w:eastAsia="Times New Roman"/>
                <w:sz w:val="24"/>
              </w:rPr>
              <w:t>Components of the pattern-reversal VEP: negative peak near 75 ms, positive peak near 100 ms, negative peak near 135 ms</w:t>
            </w:r>
          </w:p>
        </w:tc>
      </w:tr>
      <w:tr>
        <w:tc>
          <w:tcPr>
            <w:tcW w:type="dxa" w:w="2494"/>
          </w:tcPr>
          <w:p>
            <w:pPr>
              <w:pStyle w:val="TableText"/>
            </w:pPr>
            <w:r>
              <w:rPr>
                <w:rFonts w:ascii="Times New Roman" w:hAnsi="Times New Roman" w:cs="Times New Roman" w:eastAsia="Times New Roman"/>
                <w:b/>
                <w:sz w:val="24"/>
              </w:rPr>
              <w:t>NIfTI</w:t>
            </w:r>
          </w:p>
        </w:tc>
        <w:tc>
          <w:tcPr>
            <w:tcW w:type="dxa" w:w="5811"/>
          </w:tcPr>
          <w:p>
            <w:pPr>
              <w:pStyle w:val="TableText"/>
            </w:pPr>
            <w:r>
              <w:rPr>
                <w:rFonts w:ascii="Times New Roman" w:hAnsi="Times New Roman" w:cs="Times New Roman" w:eastAsia="Times New Roman"/>
                <w:sz w:val="24"/>
              </w:rPr>
              <w:t>Neuroimaging Informatics Technology Initiative (file format)</w:t>
            </w:r>
          </w:p>
        </w:tc>
      </w:tr>
      <w:tr>
        <w:tc>
          <w:tcPr>
            <w:tcW w:type="dxa" w:w="2494"/>
          </w:tcPr>
          <w:p>
            <w:pPr>
              <w:pStyle w:val="TableText"/>
            </w:pPr>
            <w:r>
              <w:rPr>
                <w:rFonts w:ascii="Times New Roman" w:hAnsi="Times New Roman" w:cs="Times New Roman" w:eastAsia="Times New Roman"/>
                <w:b/>
                <w:sz w:val="24"/>
              </w:rPr>
              <w:t>OASIS</w:t>
            </w:r>
          </w:p>
        </w:tc>
        <w:tc>
          <w:tcPr>
            <w:tcW w:type="dxa" w:w="5811"/>
          </w:tcPr>
          <w:p>
            <w:pPr>
              <w:pStyle w:val="TableText"/>
            </w:pPr>
            <w:r>
              <w:rPr>
                <w:rFonts w:ascii="Times New Roman" w:hAnsi="Times New Roman" w:cs="Times New Roman" w:eastAsia="Times New Roman"/>
                <w:sz w:val="24"/>
              </w:rPr>
              <w:t>Open Access Series of Imaging Studies</w:t>
            </w:r>
          </w:p>
        </w:tc>
      </w:tr>
      <w:tr>
        <w:tc>
          <w:tcPr>
            <w:tcW w:type="dxa" w:w="2494"/>
          </w:tcPr>
          <w:p>
            <w:pPr>
              <w:pStyle w:val="TableText"/>
            </w:pPr>
            <w:r>
              <w:rPr>
                <w:rFonts w:ascii="Times New Roman" w:hAnsi="Times New Roman" w:cs="Times New Roman" w:eastAsia="Times New Roman"/>
                <w:b/>
                <w:sz w:val="24"/>
              </w:rPr>
              <w:t xml:space="preserve">PSD</w:t>
            </w:r>
          </w:p>
        </w:tc>
        <w:tc>
          <w:tcPr>
            <w:tcW w:type="dxa" w:w="5811"/>
          </w:tcPr>
          <w:p>
            <w:pPr>
              <w:pStyle w:val="TableText"/>
            </w:pPr>
            <w:r>
              <w:rPr>
                <w:rFonts w:ascii="Times New Roman" w:hAnsi="Times New Roman" w:cs="Times New Roman" w:eastAsia="Times New Roman"/>
                <w:sz w:val="24"/>
              </w:rPr>
              <w:t xml:space="preserve">Power spectral density</w:t>
            </w:r>
          </w:p>
        </w:tc>
      </w:tr>
      <w:tr>
        <w:tc>
          <w:tcPr>
            <w:tcW w:type="dxa" w:w="2494"/>
          </w:tcPr>
          <w:p>
            <w:pPr>
              <w:pStyle w:val="TableText"/>
            </w:pPr>
            <w:r>
              <w:rPr>
                <w:rFonts w:ascii="Times New Roman" w:hAnsi="Times New Roman" w:cs="Times New Roman" w:eastAsia="Times New Roman"/>
                <w:b/>
                <w:sz w:val="24"/>
              </w:rPr>
              <w:t xml:space="preserve">PSG</w:t>
            </w:r>
          </w:p>
        </w:tc>
        <w:tc>
          <w:tcPr>
            <w:tcW w:type="dxa" w:w="5811"/>
          </w:tcPr>
          <w:p>
            <w:pPr>
              <w:pStyle w:val="TableText"/>
            </w:pPr>
            <w:r>
              <w:rPr>
                <w:rFonts w:ascii="Times New Roman" w:hAnsi="Times New Roman" w:cs="Times New Roman" w:eastAsia="Times New Roman"/>
                <w:sz w:val="24"/>
              </w:rPr>
              <w:t xml:space="preserve">Polysomnography</w:t>
            </w:r>
          </w:p>
        </w:tc>
      </w:tr>
      <w:tr>
        <w:tc>
          <w:tcPr>
            <w:tcW w:type="dxa" w:w="2494"/>
          </w:tcPr>
          <w:p>
            <w:pPr>
              <w:pStyle w:val="TableText"/>
            </w:pPr>
            <w:r>
              <w:rPr>
                <w:rFonts w:ascii="Times New Roman" w:hAnsi="Times New Roman" w:cs="Times New Roman" w:eastAsia="Times New Roman"/>
                <w:b/>
                <w:sz w:val="24"/>
              </w:rPr>
              <w:t>RAS</w:t>
            </w:r>
          </w:p>
        </w:tc>
        <w:tc>
          <w:tcPr>
            <w:tcW w:type="dxa" w:w="5811"/>
          </w:tcPr>
          <w:p>
            <w:pPr>
              <w:pStyle w:val="TableText"/>
            </w:pPr>
            <w:r>
              <w:rPr>
                <w:rFonts w:ascii="Times New Roman" w:hAnsi="Times New Roman" w:cs="Times New Roman" w:eastAsia="Times New Roman"/>
                <w:sz w:val="24"/>
              </w:rPr>
              <w:t>Right–anterior–superior (canonical image orientation)</w:t>
            </w:r>
          </w:p>
        </w:tc>
      </w:tr>
      <w:tr>
        <w:tc>
          <w:tcPr>
            <w:tcW w:type="dxa" w:w="2494"/>
          </w:tcPr>
          <w:p>
            <w:pPr>
              <w:pStyle w:val="TableText"/>
            </w:pPr>
            <w:r>
              <w:rPr>
                <w:rFonts w:ascii="Times New Roman" w:hAnsi="Times New Roman" w:cs="Times New Roman" w:eastAsia="Times New Roman"/>
                <w:b/>
                <w:sz w:val="24"/>
              </w:rPr>
              <w:t>ReLU</w:t>
            </w:r>
          </w:p>
        </w:tc>
        <w:tc>
          <w:tcPr>
            <w:tcW w:type="dxa" w:w="5811"/>
          </w:tcPr>
          <w:p>
            <w:pPr>
              <w:pStyle w:val="TableText"/>
            </w:pPr>
            <w:r>
              <w:rPr>
                <w:rFonts w:ascii="Times New Roman" w:hAnsi="Times New Roman" w:cs="Times New Roman" w:eastAsia="Times New Roman"/>
                <w:sz w:val="24"/>
              </w:rPr>
              <w:t>Rectified linear unit</w:t>
            </w:r>
          </w:p>
        </w:tc>
      </w:tr>
      <w:tr>
        <w:tc>
          <w:tcPr>
            <w:tcW w:type="dxa" w:w="2494"/>
          </w:tcPr>
          <w:p>
            <w:pPr>
              <w:pStyle w:val="TableText"/>
            </w:pPr>
            <w:r>
              <w:rPr>
                <w:rFonts w:ascii="Times New Roman" w:hAnsi="Times New Roman" w:cs="Times New Roman" w:eastAsia="Times New Roman"/>
                <w:b/>
                <w:sz w:val="24"/>
              </w:rPr>
              <w:t>ROI</w:t>
            </w:r>
          </w:p>
        </w:tc>
        <w:tc>
          <w:tcPr>
            <w:tcW w:type="dxa" w:w="5811"/>
          </w:tcPr>
          <w:p>
            <w:pPr>
              <w:pStyle w:val="TableText"/>
            </w:pPr>
            <w:r>
              <w:rPr>
                <w:rFonts w:ascii="Times New Roman" w:hAnsi="Times New Roman" w:cs="Times New Roman" w:eastAsia="Times New Roman"/>
                <w:sz w:val="24"/>
              </w:rPr>
              <w:t>Region of interest</w:t>
            </w:r>
          </w:p>
        </w:tc>
      </w:tr>
      <w:tr>
        <w:tc>
          <w:tcPr>
            <w:tcW w:type="dxa" w:w="2494"/>
          </w:tcPr>
          <w:p>
            <w:pPr>
              <w:pStyle w:val="TableText"/>
            </w:pPr>
            <w:r>
              <w:rPr>
                <w:rFonts w:ascii="Times New Roman" w:hAnsi="Times New Roman" w:cs="Times New Roman" w:eastAsia="Times New Roman"/>
                <w:b/>
                <w:sz w:val="24"/>
              </w:rPr>
              <w:t>SD</w:t>
            </w:r>
          </w:p>
        </w:tc>
        <w:tc>
          <w:tcPr>
            <w:tcW w:type="dxa" w:w="5811"/>
          </w:tcPr>
          <w:p>
            <w:pPr>
              <w:pStyle w:val="TableText"/>
            </w:pPr>
            <w:r>
              <w:rPr>
                <w:rFonts w:ascii="Times New Roman" w:hAnsi="Times New Roman" w:cs="Times New Roman" w:eastAsia="Times New Roman"/>
                <w:sz w:val="24"/>
              </w:rPr>
              <w:t>Standard deviation</w:t>
            </w:r>
          </w:p>
        </w:tc>
      </w:tr>
      <w:tr>
        <w:tc>
          <w:tcPr>
            <w:tcW w:type="dxa" w:w="2494"/>
          </w:tcPr>
          <w:p>
            <w:pPr>
              <w:pStyle w:val="TableText"/>
            </w:pPr>
            <w:r>
              <w:rPr>
                <w:rFonts w:ascii="Times New Roman" w:hAnsi="Times New Roman" w:cs="Times New Roman" w:eastAsia="Times New Roman"/>
                <w:b/>
                <w:sz w:val="24"/>
              </w:rPr>
              <w:t xml:space="preserve">SE</w:t>
            </w:r>
          </w:p>
        </w:tc>
        <w:tc>
          <w:tcPr>
            <w:tcW w:type="dxa" w:w="5811"/>
          </w:tcPr>
          <w:p>
            <w:pPr>
              <w:pStyle w:val="TableText"/>
            </w:pPr>
            <w:r>
              <w:rPr>
                <w:rFonts w:ascii="Times New Roman" w:hAnsi="Times New Roman" w:cs="Times New Roman" w:eastAsia="Times New Roman"/>
                <w:sz w:val="24"/>
              </w:rPr>
              <w:t xml:space="preserve">Squeeze-and-excitation (channel recalibration block)</w:t>
            </w:r>
          </w:p>
        </w:tc>
      </w:tr>
      <w:tr>
        <w:tc>
          <w:tcPr>
            <w:tcW w:type="dxa" w:w="2494"/>
          </w:tcPr>
          <w:p>
            <w:pPr>
              <w:pStyle w:val="TableText"/>
            </w:pPr>
            <w:r>
              <w:rPr>
                <w:rFonts w:ascii="Times New Roman" w:hAnsi="Times New Roman" w:cs="Times New Roman" w:eastAsia="Times New Roman"/>
                <w:b/>
                <w:sz w:val="24"/>
              </w:rPr>
              <w:t>VEP</w:t>
            </w:r>
          </w:p>
        </w:tc>
        <w:tc>
          <w:tcPr>
            <w:tcW w:type="dxa" w:w="5811"/>
          </w:tcPr>
          <w:p>
            <w:pPr>
              <w:pStyle w:val="TableText"/>
            </w:pPr>
            <w:r>
              <w:rPr>
                <w:rFonts w:ascii="Times New Roman" w:hAnsi="Times New Roman" w:cs="Times New Roman" w:eastAsia="Times New Roman"/>
                <w:sz w:val="24"/>
              </w:rPr>
              <w:t>Visual evoked potential</w:t>
            </w:r>
          </w:p>
        </w:tc>
      </w:tr>
      <w:tr>
        <w:tc>
          <w:tcPr>
            <w:tcW w:type="dxa" w:w="2494"/>
          </w:tcPr>
          <w:p>
            <w:pPr>
              <w:pStyle w:val="TableText"/>
            </w:pPr>
            <w:r>
              <w:rPr>
                <w:rFonts w:ascii="Times New Roman" w:hAnsi="Times New Roman" w:cs="Times New Roman" w:eastAsia="Times New Roman"/>
                <w:b/>
                <w:sz w:val="24"/>
              </w:rPr>
              <w:t>A</w:t>
            </w:r>
          </w:p>
        </w:tc>
        <w:tc>
          <w:tcPr>
            <w:tcW w:type="dxa" w:w="5811"/>
          </w:tcPr>
          <w:p>
            <w:pPr>
              <w:pStyle w:val="TableText"/>
            </w:pPr>
            <w:r>
              <w:rPr>
                <w:rFonts w:ascii="Times New Roman" w:hAnsi="Times New Roman" w:cs="Times New Roman" w:eastAsia="Times New Roman"/>
                <w:sz w:val="24"/>
              </w:rPr>
              <w:t>Amplitude of the synthetic P100 component (Equation 3.1)</w:t>
            </w:r>
          </w:p>
        </w:tc>
      </w:tr>
      <w:tr>
        <w:tc>
          <w:tcPr>
            <w:tcW w:type="dxa" w:w="2494"/>
          </w:tcPr>
          <w:p>
            <w:pPr>
              <w:pStyle w:val="TableText"/>
            </w:pPr>
            <w:r>
              <w:rPr>
                <w:rFonts w:ascii="Times New Roman" w:hAnsi="Times New Roman" w:cs="Times New Roman" w:eastAsia="Times New Roman"/>
                <w:b/>
                <w:sz w:val="24"/>
              </w:rPr>
              <w:t>τ</w:t>
            </w:r>
          </w:p>
        </w:tc>
        <w:tc>
          <w:tcPr>
            <w:tcW w:type="dxa" w:w="5811"/>
          </w:tcPr>
          <w:p>
            <w:pPr>
              <w:pStyle w:val="TableText"/>
            </w:pPr>
            <w:r>
              <w:rPr>
                <w:rFonts w:ascii="Times New Roman" w:hAnsi="Times New Roman" w:cs="Times New Roman" w:eastAsia="Times New Roman"/>
                <w:sz w:val="24"/>
              </w:rPr>
              <w:t>Latency of the P100 component; also the percentile threshold τ</w:t>
            </w:r>
            <w:r>
              <w:rPr>
                <w:rFonts w:ascii="Times New Roman" w:hAnsi="Times New Roman" w:cs="Times New Roman" w:eastAsia="Times New Roman"/>
                <w:sz w:val="24"/>
                <w:vertAlign w:val="subscript"/>
              </w:rPr>
              <w:t>p</w:t>
            </w:r>
            <w:r>
              <w:rPr>
                <w:rFonts w:ascii="Times New Roman" w:hAnsi="Times New Roman" w:cs="Times New Roman" w:eastAsia="Times New Roman"/>
                <w:sz w:val="24"/>
              </w:rPr>
              <w:t xml:space="preserve"> in Equation 3.3</w:t>
            </w:r>
          </w:p>
        </w:tc>
      </w:tr>
      <w:tr>
        <w:tc>
          <w:tcPr>
            <w:tcW w:type="dxa" w:w="2494"/>
          </w:tcPr>
          <w:p>
            <w:pPr>
              <w:pStyle w:val="TableText"/>
            </w:pPr>
            <w:r>
              <w:rPr>
                <w:rFonts w:ascii="Times New Roman" w:hAnsi="Times New Roman" w:cs="Times New Roman" w:eastAsia="Times New Roman"/>
                <w:b/>
                <w:sz w:val="24"/>
              </w:rPr>
              <w:t>d</w:t>
            </w:r>
            <w:r>
              <w:rPr>
                <w:rFonts w:ascii="Times New Roman" w:hAnsi="Times New Roman" w:cs="Times New Roman" w:eastAsia="Times New Roman"/>
                <w:b/>
                <w:sz w:val="24"/>
                <w:vertAlign w:val="subscript"/>
              </w:rPr>
              <w:t>model</w:t>
            </w:r>
          </w:p>
        </w:tc>
        <w:tc>
          <w:tcPr>
            <w:tcW w:type="dxa" w:w="5811"/>
          </w:tcPr>
          <w:p>
            <w:pPr>
              <w:pStyle w:val="TableText"/>
            </w:pPr>
            <w:r>
              <w:rPr>
                <w:rFonts w:ascii="Times New Roman" w:hAnsi="Times New Roman" w:cs="Times New Roman" w:eastAsia="Times New Roman"/>
                <w:sz w:val="24"/>
              </w:rPr>
              <w:t>Width of the token embedding (128 by default)</w:t>
            </w:r>
          </w:p>
        </w:tc>
      </w:tr>
      <w:tr>
        <w:tc>
          <w:tcPr>
            <w:tcW w:type="dxa" w:w="2494"/>
          </w:tcPr>
          <w:p>
            <w:pPr>
              <w:pStyle w:val="TableText"/>
            </w:pPr>
            <w:r>
              <w:rPr>
                <w:rFonts w:ascii="Times New Roman" w:hAnsi="Times New Roman" w:cs="Times New Roman" w:eastAsia="Times New Roman"/>
                <w:b/>
                <w:sz w:val="24"/>
              </w:rPr>
              <w:t>H, d</w:t>
            </w:r>
            <w:r>
              <w:rPr>
                <w:rFonts w:ascii="Times New Roman" w:hAnsi="Times New Roman" w:cs="Times New Roman" w:eastAsia="Times New Roman"/>
                <w:b/>
                <w:sz w:val="24"/>
                <w:vertAlign w:val="subscript"/>
              </w:rPr>
              <w:t>h</w:t>
            </w:r>
          </w:p>
        </w:tc>
        <w:tc>
          <w:tcPr>
            <w:tcW w:type="dxa" w:w="5811"/>
          </w:tcPr>
          <w:p>
            <w:pPr>
              <w:pStyle w:val="TableText"/>
            </w:pPr>
            <w:r>
              <w:rPr>
                <w:rFonts w:ascii="Times New Roman" w:hAnsi="Times New Roman" w:cs="Times New Roman" w:eastAsia="Times New Roman"/>
                <w:sz w:val="24"/>
              </w:rPr>
              <w:t>Number of attention heads (4) and dimension per head</w:t>
            </w:r>
          </w:p>
        </w:tc>
      </w:tr>
      <w:tr>
        <w:tc>
          <w:tcPr>
            <w:tcW w:type="dxa" w:w="2494"/>
          </w:tcPr>
          <w:p>
            <w:pPr>
              <w:pStyle w:val="TableText"/>
            </w:pPr>
            <w:r>
              <w:rPr>
                <w:rFonts w:ascii="Times New Roman" w:hAnsi="Times New Roman" w:cs="Times New Roman" w:eastAsia="Times New Roman"/>
                <w:b/>
                <w:sz w:val="24"/>
              </w:rPr>
              <w:t>X</w:t>
            </w:r>
            <w:r>
              <w:rPr>
                <w:rFonts w:ascii="Times New Roman" w:hAnsi="Times New Roman" w:cs="Times New Roman" w:eastAsia="Times New Roman"/>
                <w:b/>
                <w:sz w:val="24"/>
                <w:vertAlign w:val="subscript"/>
              </w:rPr>
              <w:t>s</w:t>
            </w:r>
            <w:r>
              <w:rPr>
                <w:rFonts w:ascii="Times New Roman" w:hAnsi="Times New Roman" w:cs="Times New Roman" w:eastAsia="Times New Roman"/>
                <w:b/>
                <w:sz w:val="24"/>
              </w:rPr>
              <w:t>, X</w:t>
            </w:r>
            <w:r>
              <w:rPr>
                <w:rFonts w:ascii="Times New Roman" w:hAnsi="Times New Roman" w:cs="Times New Roman" w:eastAsia="Times New Roman"/>
                <w:b/>
                <w:sz w:val="24"/>
                <w:vertAlign w:val="subscript"/>
              </w:rPr>
              <w:t>t</w:t>
            </w:r>
          </w:p>
        </w:tc>
        <w:tc>
          <w:tcPr>
            <w:tcW w:type="dxa" w:w="5811"/>
          </w:tcPr>
          <w:p>
            <w:pPr>
              <w:pStyle w:val="TableText"/>
            </w:pPr>
            <w:r>
              <w:rPr>
                <w:rFonts w:ascii="Times New Roman" w:hAnsi="Times New Roman" w:cs="Times New Roman" w:eastAsia="Times New Roman"/>
                <w:sz w:val="24"/>
              </w:rPr>
              <w:t>Spatial and temporal token matrices</w:t>
            </w:r>
          </w:p>
        </w:tc>
      </w:tr>
      <w:tr>
        <w:tc>
          <w:tcPr>
            <w:tcW w:type="dxa" w:w="2494"/>
          </w:tcPr>
          <w:p>
            <w:pPr>
              <w:pStyle w:val="TableText"/>
            </w:pPr>
            <w:r>
              <w:rPr>
                <w:rFonts w:ascii="Times New Roman" w:hAnsi="Times New Roman" w:cs="Times New Roman" w:eastAsia="Times New Roman"/>
                <w:b/>
                <w:sz w:val="24"/>
              </w:rPr>
              <w:t>Q, K, V</w:t>
            </w:r>
          </w:p>
        </w:tc>
        <w:tc>
          <w:tcPr>
            <w:tcW w:type="dxa" w:w="5811"/>
          </w:tcPr>
          <w:p>
            <w:pPr>
              <w:pStyle w:val="TableText"/>
            </w:pPr>
            <w:r>
              <w:rPr>
                <w:rFonts w:ascii="Times New Roman" w:hAnsi="Times New Roman" w:cs="Times New Roman" w:eastAsia="Times New Roman"/>
                <w:sz w:val="24"/>
              </w:rPr>
              <w:t>Query, key and value matrices of the cross-attention module</w:t>
            </w:r>
          </w:p>
        </w:tc>
      </w:tr>
      <w:tr>
        <w:tc>
          <w:tcPr>
            <w:tcW w:type="dxa" w:w="2494"/>
          </w:tcPr>
          <w:p>
            <w:pPr>
              <w:pStyle w:val="TableText"/>
            </w:pPr>
            <w:r>
              <w:rPr>
                <w:rFonts w:ascii="Times New Roman" w:hAnsi="Times New Roman" w:cs="Times New Roman" w:eastAsia="Times New Roman"/>
                <w:b/>
                <w:sz w:val="24"/>
              </w:rPr>
              <w:t>W</w:t>
            </w:r>
            <w:r>
              <w:rPr>
                <w:rFonts w:ascii="Times New Roman" w:hAnsi="Times New Roman" w:cs="Times New Roman" w:eastAsia="Times New Roman"/>
                <w:b/>
                <w:sz w:val="24"/>
                <w:vertAlign w:val="subscript"/>
              </w:rPr>
              <w:t>Q</w:t>
            </w:r>
            <w:r>
              <w:rPr>
                <w:rFonts w:ascii="Times New Roman" w:hAnsi="Times New Roman" w:cs="Times New Roman" w:eastAsia="Times New Roman"/>
                <w:b/>
                <w:sz w:val="24"/>
              </w:rPr>
              <w:t>, W</w:t>
            </w:r>
            <w:r>
              <w:rPr>
                <w:rFonts w:ascii="Times New Roman" w:hAnsi="Times New Roman" w:cs="Times New Roman" w:eastAsia="Times New Roman"/>
                <w:b/>
                <w:sz w:val="24"/>
                <w:vertAlign w:val="subscript"/>
              </w:rPr>
              <w:t>K</w:t>
            </w:r>
            <w:r>
              <w:rPr>
                <w:rFonts w:ascii="Times New Roman" w:hAnsi="Times New Roman" w:cs="Times New Roman" w:eastAsia="Times New Roman"/>
                <w:b/>
                <w:sz w:val="24"/>
              </w:rPr>
              <w:t>, W</w:t>
            </w:r>
            <w:r>
              <w:rPr>
                <w:rFonts w:ascii="Times New Roman" w:hAnsi="Times New Roman" w:cs="Times New Roman" w:eastAsia="Times New Roman"/>
                <w:b/>
                <w:sz w:val="24"/>
                <w:vertAlign w:val="subscript"/>
              </w:rPr>
              <w:t>V</w:t>
            </w:r>
            <w:r>
              <w:rPr>
                <w:rFonts w:ascii="Times New Roman" w:hAnsi="Times New Roman" w:cs="Times New Roman" w:eastAsia="Times New Roman"/>
                <w:b/>
                <w:sz w:val="24"/>
              </w:rPr>
              <w:t>, W</w:t>
            </w:r>
            <w:r>
              <w:rPr>
                <w:rFonts w:ascii="Times New Roman" w:hAnsi="Times New Roman" w:cs="Times New Roman" w:eastAsia="Times New Roman"/>
                <w:b/>
                <w:sz w:val="24"/>
                <w:vertAlign w:val="subscript"/>
              </w:rPr>
              <w:t>O</w:t>
            </w:r>
          </w:p>
        </w:tc>
        <w:tc>
          <w:tcPr>
            <w:tcW w:type="dxa" w:w="5811"/>
          </w:tcPr>
          <w:p>
            <w:pPr>
              <w:pStyle w:val="TableText"/>
            </w:pPr>
            <w:r>
              <w:rPr>
                <w:rFonts w:ascii="Times New Roman" w:hAnsi="Times New Roman" w:cs="Times New Roman" w:eastAsia="Times New Roman"/>
                <w:sz w:val="24"/>
              </w:rPr>
              <w:t>Learned projection matrices of the cross-attention module</w:t>
            </w:r>
          </w:p>
        </w:tc>
      </w:tr>
      <w:tr>
        <w:tc>
          <w:tcPr>
            <w:tcW w:type="dxa" w:w="2494"/>
          </w:tcPr>
          <w:p>
            <w:pPr>
              <w:pStyle w:val="TableText"/>
            </w:pPr>
            <w:r>
              <w:rPr>
                <w:rFonts w:ascii="Times New Roman" w:hAnsi="Times New Roman" w:cs="Times New Roman" w:eastAsia="Times New Roman"/>
                <w:b/>
                <w:sz w:val="24"/>
              </w:rPr>
              <w:t>A</w:t>
            </w:r>
            <w:r>
              <w:rPr>
                <w:rFonts w:ascii="Times New Roman" w:hAnsi="Times New Roman" w:cs="Times New Roman" w:eastAsia="Times New Roman"/>
                <w:b/>
                <w:sz w:val="24"/>
                <w:vertAlign w:val="subscript"/>
              </w:rPr>
              <w:t>h</w:t>
            </w:r>
            <w:r>
              <w:rPr>
                <w:rFonts w:ascii="Times New Roman" w:hAnsi="Times New Roman" w:cs="Times New Roman" w:eastAsia="Times New Roman"/>
                <w:b/>
                <w:sz w:val="24"/>
              </w:rPr>
              <w:t>, O</w:t>
            </w:r>
            <w:r>
              <w:rPr>
                <w:rFonts w:ascii="Times New Roman" w:hAnsi="Times New Roman" w:cs="Times New Roman" w:eastAsia="Times New Roman"/>
                <w:b/>
                <w:sz w:val="24"/>
                <w:vertAlign w:val="subscript"/>
              </w:rPr>
              <w:t>h</w:t>
            </w:r>
          </w:p>
        </w:tc>
        <w:tc>
          <w:tcPr>
            <w:tcW w:type="dxa" w:w="5811"/>
          </w:tcPr>
          <w:p>
            <w:pPr>
              <w:pStyle w:val="TableText"/>
            </w:pPr>
            <w:r>
              <w:rPr>
                <w:rFonts w:ascii="Times New Roman" w:hAnsi="Times New Roman" w:cs="Times New Roman" w:eastAsia="Times New Roman"/>
                <w:sz w:val="24"/>
              </w:rPr>
              <w:t>Attention weights and output of head h</w:t>
            </w:r>
          </w:p>
        </w:tc>
      </w:tr>
      <w:tr>
        <w:tc>
          <w:tcPr>
            <w:tcW w:type="dxa" w:w="2494"/>
          </w:tcPr>
          <w:p>
            <w:pPr>
              <w:pStyle w:val="TableText"/>
            </w:pPr>
            <w:r>
              <w:rPr>
                <w:rFonts w:ascii="Times New Roman" w:hAnsi="Times New Roman" w:cs="Times New Roman" w:eastAsia="Times New Roman"/>
                <w:b/>
                <w:sz w:val="24"/>
              </w:rPr>
              <w:t>L</w:t>
            </w:r>
            <w:r>
              <w:rPr>
                <w:rFonts w:ascii="Times New Roman" w:hAnsi="Times New Roman" w:cs="Times New Roman" w:eastAsia="Times New Roman"/>
                <w:b/>
                <w:sz w:val="24"/>
                <w:vertAlign w:val="subscript"/>
              </w:rPr>
              <w:t>f</w:t>
            </w:r>
            <w:r>
              <w:rPr>
                <w:rFonts w:ascii="Times New Roman" w:hAnsi="Times New Roman" w:cs="Times New Roman" w:eastAsia="Times New Roman"/>
                <w:b/>
                <w:sz w:val="24"/>
              </w:rPr>
              <w:t>, L</w:t>
            </w:r>
            <w:r>
              <w:rPr>
                <w:rFonts w:ascii="Times New Roman" w:hAnsi="Times New Roman" w:cs="Times New Roman" w:eastAsia="Times New Roman"/>
                <w:b/>
                <w:sz w:val="24"/>
                <w:vertAlign w:val="subscript"/>
              </w:rPr>
              <w:t>s</w:t>
            </w:r>
            <w:r>
              <w:rPr>
                <w:rFonts w:ascii="Times New Roman" w:hAnsi="Times New Roman" w:cs="Times New Roman" w:eastAsia="Times New Roman"/>
                <w:b/>
                <w:sz w:val="24"/>
              </w:rPr>
              <w:t>, L</w:t>
            </w:r>
            <w:r>
              <w:rPr>
                <w:rFonts w:ascii="Times New Roman" w:hAnsi="Times New Roman" w:cs="Times New Roman" w:eastAsia="Times New Roman"/>
                <w:b/>
                <w:sz w:val="24"/>
                <w:vertAlign w:val="subscript"/>
              </w:rPr>
              <w:t>t</w:t>
            </w:r>
          </w:p>
        </w:tc>
        <w:tc>
          <w:tcPr>
            <w:tcW w:type="dxa" w:w="5811"/>
          </w:tcPr>
          <w:p>
            <w:pPr>
              <w:pStyle w:val="TableText"/>
            </w:pPr>
            <w:r>
              <w:rPr>
                <w:rFonts w:ascii="Times New Roman" w:hAnsi="Times New Roman" w:cs="Times New Roman" w:eastAsia="Times New Roman"/>
                <w:sz w:val="24"/>
              </w:rPr>
              <w:t>Cross-entropy losses of the fused, spatial and temporal heads</w:t>
            </w:r>
          </w:p>
        </w:tc>
      </w:tr>
      <w:tr>
        <w:tc>
          <w:tcPr>
            <w:tcW w:type="dxa" w:w="2494"/>
          </w:tcPr>
          <w:p>
            <w:pPr>
              <w:pStyle w:val="TableText"/>
            </w:pPr>
            <w:r>
              <w:rPr>
                <w:rFonts w:ascii="Times New Roman" w:hAnsi="Times New Roman" w:cs="Times New Roman" w:eastAsia="Times New Roman"/>
                <w:b/>
                <w:sz w:val="24"/>
              </w:rPr>
              <w:t>λ</w:t>
            </w:r>
          </w:p>
        </w:tc>
        <w:tc>
          <w:tcPr>
            <w:tcW w:type="dxa" w:w="5811"/>
          </w:tcPr>
          <w:p>
            <w:pPr>
              <w:pStyle w:val="TableText"/>
            </w:pPr>
            <w:r>
              <w:rPr>
                <w:rFonts w:ascii="Times New Roman" w:hAnsi="Times New Roman" w:cs="Times New Roman" w:eastAsia="Times New Roman"/>
                <w:sz w:val="24"/>
              </w:rPr>
              <w:t>Weight of the auxiliary losses (0.3)</w:t>
            </w:r>
          </w:p>
        </w:tc>
      </w:tr>
      <w:tr>
        <w:tc>
          <w:tcPr>
            <w:tcW w:type="dxa" w:w="2494"/>
          </w:tcPr>
          <w:p>
            <w:pPr>
              <w:pStyle w:val="TableText"/>
            </w:pPr>
            <w:r>
              <w:rPr>
                <w:rFonts w:ascii="Times New Roman" w:hAnsi="Times New Roman" w:cs="Times New Roman" w:eastAsia="Times New Roman"/>
                <w:b/>
                <w:sz w:val="24"/>
              </w:rPr>
              <w:t>μ, σ, ε</w:t>
            </w:r>
          </w:p>
        </w:tc>
        <w:tc>
          <w:tcPr>
            <w:tcW w:type="dxa" w:w="5811"/>
          </w:tcPr>
          <w:p>
            <w:pPr>
              <w:pStyle w:val="TableText"/>
            </w:pPr>
            <w:r>
              <w:rPr>
                <w:rFonts w:ascii="Times New Roman" w:hAnsi="Times New Roman" w:cs="Times New Roman" w:eastAsia="Times New Roman"/>
                <w:sz w:val="24"/>
              </w:rPr>
              <w:t>Mean, standard deviation and stabilising constant of z-score normalisation</w:t>
            </w:r>
          </w:p>
        </w:tc>
      </w:tr>
      <w:tr>
        <w:tc>
          <w:tcPr>
            <w:tcW w:type="dxa" w:w="2494"/>
          </w:tcPr>
          <w:p>
            <w:pPr>
              <w:pStyle w:val="TableText"/>
            </w:pPr>
            <w:r>
              <w:rPr>
                <w:rFonts w:ascii="Times New Roman" w:hAnsi="Times New Roman" w:cs="Times New Roman" w:eastAsia="Times New Roman"/>
                <w:b/>
                <w:sz w:val="24"/>
              </w:rPr>
              <w:t>α</w:t>
            </w:r>
            <w:r>
              <w:rPr>
                <w:rFonts w:ascii="Times New Roman" w:hAnsi="Times New Roman" w:cs="Times New Roman" w:eastAsia="Times New Roman"/>
                <w:b/>
                <w:sz w:val="24"/>
                <w:vertAlign w:val="subscript"/>
              </w:rPr>
              <w:t>k</w:t>
            </w:r>
            <w:r>
              <w:rPr>
                <w:rFonts w:ascii="Times New Roman" w:hAnsi="Times New Roman" w:cs="Times New Roman" w:eastAsia="Times New Roman"/>
                <w:b/>
                <w:sz w:val="24"/>
              </w:rPr>
              <w:t>, M</w:t>
            </w:r>
          </w:p>
        </w:tc>
        <w:tc>
          <w:tcPr>
            <w:tcW w:type="dxa" w:w="5811"/>
          </w:tcPr>
          <w:p>
            <w:pPr>
              <w:pStyle w:val="TableText"/>
            </w:pPr>
            <w:r>
              <w:rPr>
                <w:rFonts w:ascii="Times New Roman" w:hAnsi="Times New Roman" w:cs="Times New Roman" w:eastAsia="Times New Roman"/>
                <w:sz w:val="24"/>
              </w:rPr>
              <w:t>Grad-CAM channel weights and resulting activation map</w:t>
            </w:r>
          </w:p>
        </w:tc>
      </w:tr>
      <w:tr>
        <w:tc>
          <w:tcPr>
            <w:tcW w:type="dxa" w:w="2494"/>
          </w:tcPr>
          <w:p>
            <w:pPr>
              <w:pStyle w:val="TableText"/>
            </w:pPr>
            <w:r>
              <w:rPr>
                <w:rFonts w:ascii="Times New Roman" w:hAnsi="Times New Roman" w:cs="Times New Roman" w:eastAsia="Times New Roman"/>
                <w:b/>
                <w:sz w:val="24"/>
              </w:rPr>
              <w:t xml:space="preserve">g</w:t>
            </w:r>
            <w:r>
              <w:rPr>
                <w:rFonts w:ascii="Times New Roman" w:hAnsi="Times New Roman" w:cs="Times New Roman" w:eastAsia="Times New Roman"/>
                <w:b/>
                <w:sz w:val="24"/>
                <w:vertAlign w:val="subscript"/>
              </w:rPr>
              <w:t xml:space="preserve">s</w:t>
            </w:r>
            <w:r>
              <w:rPr>
                <w:rFonts w:ascii="Times New Roman" w:hAnsi="Times New Roman" w:cs="Times New Roman" w:eastAsia="Times New Roman"/>
                <w:b/>
                <w:sz w:val="24"/>
              </w:rPr>
              <w:t xml:space="preserve">, g</w:t>
            </w:r>
            <w:r>
              <w:rPr>
                <w:rFonts w:ascii="Times New Roman" w:hAnsi="Times New Roman" w:cs="Times New Roman" w:eastAsia="Times New Roman"/>
                <w:b/>
                <w:sz w:val="24"/>
                <w:vertAlign w:val="subscript"/>
              </w:rPr>
              <w:t xml:space="preserve">t</w:t>
            </w:r>
          </w:p>
        </w:tc>
        <w:tc>
          <w:tcPr>
            <w:tcW w:type="dxa" w:w="5811"/>
          </w:tcPr>
          <w:p>
            <w:pPr>
              <w:pStyle w:val="TableText"/>
            </w:pPr>
            <w:r>
              <w:rPr>
                <w:rFonts w:ascii="Times New Roman" w:hAnsi="Times New Roman" w:cs="Times New Roman" w:eastAsia="Times New Roman"/>
                <w:sz w:val="24"/>
              </w:rPr>
              <w:t xml:space="preserve">Learned scalar gates of the two cross-attention directions; σ(g) is the logistic sigmoid, σ(0) = 0.5 at initialisation</w:t>
            </w:r>
          </w:p>
        </w:tc>
      </w:tr>
      <w:tr>
        <w:tc>
          <w:tcPr>
            <w:tcW w:type="dxa" w:w="2494"/>
          </w:tcPr>
          <w:p>
            <w:pPr>
              <w:pStyle w:val="TableText"/>
            </w:pPr>
            <w:r>
              <w:rPr>
                <w:rFonts w:ascii="Times New Roman" w:hAnsi="Times New Roman" w:cs="Times New Roman" w:eastAsia="Times New Roman"/>
                <w:b/>
                <w:sz w:val="24"/>
              </w:rPr>
              <w:t xml:space="preserve">α</w:t>
            </w:r>
            <w:r>
              <w:rPr>
                <w:rFonts w:ascii="Times New Roman" w:hAnsi="Times New Roman" w:cs="Times New Roman" w:eastAsia="Times New Roman"/>
                <w:b/>
                <w:sz w:val="24"/>
                <w:vertAlign w:val="subscript"/>
              </w:rPr>
              <w:t xml:space="preserve">i</w:t>
            </w:r>
            <w:r>
              <w:rPr>
                <w:rFonts w:ascii="Times New Roman" w:hAnsi="Times New Roman" w:cs="Times New Roman" w:eastAsia="Times New Roman"/>
                <w:b/>
                <w:sz w:val="24"/>
              </w:rPr>
              <w:t xml:space="preserve">, </w:t>
            </w:r>
            <w:r>
              <w:rPr>
                <w:rFonts w:ascii="Times New Roman" w:hAnsi="Times New Roman" w:cs="Times New Roman" w:eastAsia="Times New Roman"/>
                <w:b/>
                <w:i/>
                <w:sz w:val="24"/>
              </w:rPr>
              <w:t xml:space="preserve">f</w:t>
            </w:r>
            <w:r>
              <w:rPr>
                <w:rFonts w:ascii="Times New Roman" w:hAnsi="Times New Roman" w:cs="Times New Roman" w:eastAsia="Times New Roman"/>
                <w:b/>
                <w:sz w:val="24"/>
                <w:vertAlign w:val="subscript"/>
              </w:rPr>
              <w:t xml:space="preserve">i</w:t>
            </w:r>
          </w:p>
        </w:tc>
        <w:tc>
          <w:tcPr>
            <w:tcW w:type="dxa" w:w="5811"/>
          </w:tcPr>
          <w:p>
            <w:pPr>
              <w:pStyle w:val="TableText"/>
            </w:pPr>
            <w:r>
              <w:rPr>
                <w:rFonts w:ascii="Times New Roman" w:hAnsi="Times New Roman" w:cs="Times New Roman" w:eastAsia="Times New Roman"/>
                <w:sz w:val="24"/>
              </w:rPr>
              <w:t xml:space="preserve">Attention-pool weight of fused token </w:t>
            </w:r>
            <w:r>
              <w:rPr>
                <w:rFonts w:ascii="Times New Roman" w:hAnsi="Times New Roman" w:cs="Times New Roman" w:eastAsia="Times New Roman"/>
                <w:i/>
                <w:sz w:val="24"/>
              </w:rPr>
              <w:t xml:space="preserve">i</w:t>
            </w:r>
            <w:r>
              <w:rPr>
                <w:rFonts w:ascii="Times New Roman" w:hAnsi="Times New Roman" w:cs="Times New Roman" w:eastAsia="Times New Roman"/>
                <w:sz w:val="24"/>
              </w:rPr>
              <w:t xml:space="preserve"> and the fused token itself (Equation 4.7)</w:t>
            </w:r>
          </w:p>
        </w:tc>
      </w:tr>
      <w:tr>
        <w:tc>
          <w:tcPr>
            <w:tcW w:type="dxa" w:w="2494"/>
          </w:tcPr>
          <w:p>
            <w:pPr>
              <w:pStyle w:val="TableText"/>
            </w:pPr>
            <w:r>
              <w:rPr>
                <w:rFonts w:ascii="Times New Roman" w:hAnsi="Times New Roman" w:cs="Times New Roman" w:eastAsia="Times New Roman"/>
                <w:b/>
                <w:sz w:val="24"/>
              </w:rPr>
              <w:t xml:space="preserve">μ</w:t>
            </w:r>
            <w:r>
              <w:rPr>
                <w:rFonts w:ascii="Times New Roman" w:hAnsi="Times New Roman" w:cs="Times New Roman" w:eastAsia="Times New Roman"/>
                <w:b/>
                <w:sz w:val="24"/>
                <w:vertAlign w:val="subscript"/>
              </w:rPr>
              <w:t xml:space="preserve">MRI</w:t>
            </w:r>
            <w:r>
              <w:rPr>
                <w:rFonts w:ascii="Times New Roman" w:hAnsi="Times New Roman" w:cs="Times New Roman" w:eastAsia="Times New Roman"/>
                <w:b/>
                <w:sz w:val="24"/>
              </w:rPr>
              <w:t xml:space="preserve">, μ</w:t>
            </w:r>
            <w:r>
              <w:rPr>
                <w:rFonts w:ascii="Times New Roman" w:hAnsi="Times New Roman" w:cs="Times New Roman" w:eastAsia="Times New Roman"/>
                <w:b/>
                <w:sz w:val="24"/>
                <w:vertAlign w:val="subscript"/>
              </w:rPr>
              <w:t xml:space="preserve">VEP</w:t>
            </w:r>
          </w:p>
        </w:tc>
        <w:tc>
          <w:tcPr>
            <w:tcW w:type="dxa" w:w="5811"/>
          </w:tcPr>
          <w:p>
            <w:pPr>
              <w:pStyle w:val="TableText"/>
            </w:pPr>
            <w:r>
              <w:rPr>
                <w:rFonts w:ascii="Times New Roman" w:hAnsi="Times New Roman" w:cs="Times New Roman" w:eastAsia="Times New Roman"/>
                <w:sz w:val="24"/>
              </w:rPr>
              <w:t xml:space="preserve">Generator strengths in [0, 1] controlling how much class information the MRI and the VEP carry (1: default generator, 0: none)</w:t>
            </w:r>
          </w:p>
        </w:tc>
      </w:tr>
    </w:tbl>
    <w:p>
      <w:pPr>
        <w:sectPr>
          <w:footerReference w:type="default" r:id="rId11"/>
          <w:pgSz w:w="11906" w:h="16838"/>
          <w:pgMar w:top="1440" w:right="1440" w:bottom="1440" w:left="2160" w:header="709" w:footer="709" w:gutter="0"/>
          <w:pgNumType w:fmt="lowerRoman" w:start="1"/>
          <w:cols w:space="720"/>
          <w:docGrid w:linePitch="360"/>
        </w:sectPr>
      </w:pPr>
    </w:p>
    <w:p>
      <w:pPr>
        <w:pStyle w:val="Heading1"/>
      </w:pPr>
      <w:r>
        <w:rPr>
          <w:rFonts w:ascii="Times New Roman" w:hAnsi="Times New Roman" w:cs="Times New Roman" w:eastAsia="Times New Roman"/>
          <w:b/>
          <w:sz w:val="24"/>
        </w:rPr>
        <w:t>CHAPTER 1</w:t>
        <w:br/>
      </w:r>
      <w:r>
        <w:rPr>
          <w:rFonts w:ascii="Times New Roman" w:hAnsi="Times New Roman" w:cs="Times New Roman" w:eastAsia="Times New Roman"/>
          <w:b/>
          <w:sz w:val="32"/>
        </w:rPr>
        <w:t>INTRODUCTION</w:t>
      </w:r>
    </w:p>
    <w:p>
      <w:pPr>
        <w:pStyle w:val="Heading2"/>
      </w:pPr>
      <w:r>
        <w:rPr>
          <w:rFonts w:ascii="Times New Roman" w:hAnsi="Times New Roman" w:cs="Times New Roman" w:eastAsia="Times New Roman"/>
          <w:b/>
          <w:sz w:val="28"/>
        </w:rPr>
        <w:t>1.1  BACKGROUND</w:t>
      </w:r>
    </w:p>
    <w:p>
      <w:pPr>
        <w:pStyle w:val="BodyJ"/>
      </w:pPr>
      <w:r>
        <w:rPr>
          <w:rFonts w:ascii="Times New Roman" w:hAnsi="Times New Roman" w:cs="Times New Roman" w:eastAsia="Times New Roman"/>
        </w:rPr>
        <w:t>Vision depends on an uninterrupted chain of structures: the retina, the optic nerve, the optic chiasm, the lateral geniculate nucleus, the optic radiations and, finally, the primary and associated visual cortices (areas V1, V2 and V3). A lesion at any point of this chain can degrade sight, and the clinical picture depends on where along the pathway the damage lies and on whether it disturbs the anatomy, the conduction of the electrical signal, or both.</w:t>
      </w:r>
    </w:p>
    <w:p>
      <w:pPr>
        <w:pStyle w:val="BodyJ"/>
      </w:pPr>
      <w:r>
        <w:rPr>
          <w:rFonts w:ascii="Times New Roman" w:hAnsi="Times New Roman" w:cs="Times New Roman" w:eastAsia="Times New Roman"/>
        </w:rPr>
        <w:t>Three conditions illustrate the range. Glaucoma is a progressive optic neuropathy; a systematic review and meta-analysis estimated its global prevalence at 3.54% among people aged 40 to 80 years, corresponding to about 64.3 million people in 2013 and a projected 111.8 million by 2040 (Tham et al., 2014). Histological work has shown that the degeneration in human glaucoma is not confined to the eye but extends to the intracranial optic nerve, the lateral geniculate nucleus and the visual cortex (Gupta et al., 2006). Optic neuritis is an inflammatory, usually demyelinating, disorder of the optic nerve whose electrophysiological hallmark is a delayed P100 peak of the visual evoked potential (Halliday et al., 1972). Cortical or cerebral visual impairment (CVI) denotes reduced vision that arises from damage to the brain's visual pathways rather than the eye; the literature uses a variety of terms and definitions for it (Sakki et al., 2018).</w:t>
      </w:r>
    </w:p>
    <w:p>
      <w:pPr>
        <w:pStyle w:val="BodyJ"/>
      </w:pPr>
      <w:r>
        <w:rPr>
          <w:rFonts w:ascii="Times New Roman" w:hAnsi="Times New Roman" w:cs="Times New Roman" w:eastAsia="Times New Roman"/>
        </w:rPr>
        <w:t>Two investigations are routinely used to examine this pathway, and they answer different questions. Structural magnetic resonance imaging (sMRI) provides a three-dimensional picture of anatomy, so that atrophy and focal lesions can be localised. The visual evoked potential (VEP) is a one-dimensional electrophysiological recording of the cortical response to a visual stimulus; its latency and amplitude, in particular those of the P100 component, reflect the integrity and speed of conduction along the visual pathway, and its recording and interpretation are standardised by the International Society for Clinical Electrophysiology of Vision (ISCEV) (Odom et al., 2016). Neither investigation alone tells the whole story: MRI carries no timing information and the VEP carries no spatial localisation.</w:t>
      </w:r>
    </w:p>
    <w:p>
      <w:pPr>
        <w:pStyle w:val="BodyJ"/>
      </w:pPr>
      <w:r>
        <w:rPr>
          <w:rFonts w:ascii="Times New Roman" w:hAnsi="Times New Roman" w:cs="Times New Roman" w:eastAsia="Times New Roman"/>
        </w:rPr>
        <w:t>Multimodal data fusion has long been proposed as a way to exploit such complementary information (Calhoun &amp; Sui, 2016). Deep learning has made it possible to learn fusion functions directly from data, and the attention mechanism introduced for sequence modelling (Vaswani et al., 2017) offers a particularly flexible way to let one stream of features select what it needs from another. This project investigates that idea for the pairing of 3D structural MRI and 1D visual evoked potentials.</w:t>
      </w:r>
    </w:p>
    <w:p>
      <w:pPr>
        <w:pStyle w:val="BodyJ"/>
      </w:pPr>
      <w:r>
        <w:rPr>
          <w:rFonts w:ascii="Times New Roman" w:hAnsi="Times New Roman" w:cs="Times New Roman" w:eastAsia="Times New Roman"/>
        </w:rPr>
        <w:t xml:space="preserve">Published studies that apply cross-attention to multimodal medical data (Zhou et al., 2024; Dhar et al., 2025) usually report a single headline accuracy, which makes it hard to tell whether the attention mechanism, or simply the presence of a second modality, is responsible for a gain. This project therefore treats the fusion design as a question to be tested under controlled conditions and not as an assumption.</w:t>
      </w:r>
    </w:p>
    <w:p>
      <w:pPr>
        <w:pStyle w:val="Heading2"/>
      </w:pPr>
      <w:r>
        <w:rPr>
          <w:rFonts w:ascii="Times New Roman" w:hAnsi="Times New Roman" w:cs="Times New Roman" w:eastAsia="Times New Roman"/>
          <w:b/>
          <w:sz w:val="28"/>
        </w:rPr>
        <w:t>1.2  MOTIVATION AND CHALLENGES</w:t>
      </w:r>
    </w:p>
    <w:p>
      <w:pPr>
        <w:pStyle w:val="BodyJ"/>
      </w:pPr>
      <w:r>
        <w:rPr>
          <w:rFonts w:ascii="Times New Roman" w:hAnsi="Times New Roman" w:cs="Times New Roman" w:eastAsia="Times New Roman"/>
        </w:rPr>
        <w:t xml:space="preserve">Automated, data-driven support for the diagnosis and classification of visual-pathway disorders faces four principal bottlenecks. They motivate the design choices described in the rest of this report.</w:t>
      </w:r>
    </w:p>
    <w:p>
      <w:pPr>
        <w:pStyle w:val="Heading3"/>
      </w:pPr>
      <w:r>
        <w:rPr>
          <w:rFonts w:ascii="Times New Roman" w:hAnsi="Times New Roman" w:cs="Times New Roman" w:eastAsia="Times New Roman"/>
          <w:b/>
          <w:sz w:val="24"/>
        </w:rPr>
        <w:t>1.2.1  UNIMODAL ISOLATION</w:t>
      </w:r>
    </w:p>
    <w:p>
      <w:pPr>
        <w:pStyle w:val="BodyJ"/>
      </w:pPr>
      <w:r>
        <w:rPr>
          <w:rFonts w:ascii="Times New Roman" w:hAnsi="Times New Roman" w:cs="Times New Roman" w:eastAsia="Times New Roman"/>
        </w:rPr>
        <w:t>Most computational pipelines analyse either imaging or electrophysiology, not both. A model that only sees the MRI volume can detect structural change but is blind to a conduction delay that has not yet produced visible atrophy; a model that only sees the VEP can detect the delay but cannot say where in the pathway it originates.</w:t>
      </w:r>
    </w:p>
    <w:p>
      <w:pPr>
        <w:pStyle w:val="Heading3"/>
      </w:pPr>
      <w:r>
        <w:rPr>
          <w:rFonts w:ascii="Times New Roman" w:hAnsi="Times New Roman" w:cs="Times New Roman" w:eastAsia="Times New Roman"/>
          <w:b/>
          <w:sz w:val="24"/>
        </w:rPr>
        <w:t>1.2.2  CROSS-MODAL HETEROGENEITY</w:t>
      </w:r>
    </w:p>
    <w:p>
      <w:pPr>
        <w:pStyle w:val="BodyJ"/>
      </w:pPr>
      <w:r>
        <w:rPr>
          <w:rFonts w:ascii="Times New Roman" w:hAnsi="Times New Roman" w:cs="Times New Roman" w:eastAsia="Times New Roman"/>
        </w:rPr>
        <w:t>A volumetric MRI array of shape (1, D, H, W) and a waveform of shape (1, L) differ in dimensionality, sampling, noise structure and units. Simple fusion strategies, such as concatenating pooled features or averaging unimodal predictions, give every feature the same standing and cannot express which spatial feature is relevant to which temporal feature. Subtle pathology markers can be diluted as a result.</w:t>
      </w:r>
    </w:p>
    <w:p>
      <w:pPr>
        <w:pStyle w:val="Heading3"/>
      </w:pPr>
      <w:r>
        <w:rPr>
          <w:rFonts w:ascii="Times New Roman" w:hAnsi="Times New Roman" w:cs="Times New Roman" w:eastAsia="Times New Roman"/>
          <w:b/>
          <w:sz w:val="24"/>
        </w:rPr>
        <w:t>1.2.3  LIMITED INTERPRETABILITY</w:t>
      </w:r>
    </w:p>
    <w:p>
      <w:pPr>
        <w:pStyle w:val="BodyJ"/>
      </w:pPr>
      <w:r>
        <w:rPr>
          <w:rFonts w:ascii="Times New Roman" w:hAnsi="Times New Roman" w:cs="Times New Roman" w:eastAsia="Times New Roman"/>
        </w:rPr>
        <w:t>A black-box classifier is difficult to trust in a clinical setting. A clinician needs to see which parts of the image and which parts of the waveform drove a decision, so that the output can be checked against clinical knowledge.</w:t>
      </w:r>
    </w:p>
    <w:p>
      <w:pPr>
        <w:keepNext/>
        <w:spacing w:before="120" w:after="40" w:line="240" w:lineRule="auto"/>
        <w:jc w:val="center"/>
      </w:pPr>
      <w:r>
        <w:drawing>
          <wp:inline xmlns:a="http://schemas.openxmlformats.org/drawingml/2006/main" xmlns:pic="http://schemas.openxmlformats.org/drawingml/2006/picture">
            <wp:extent cx="4500000" cy="1720704"/>
            <wp:docPr id="5" name="Picture 5"/>
            <wp:cNvGraphicFramePr>
              <a:graphicFrameLocks noChangeAspect="1"/>
            </wp:cNvGraphicFramePr>
            <a:graphic>
              <a:graphicData uri="http://schemas.openxmlformats.org/drawingml/2006/picture">
                <pic:pic>
                  <pic:nvPicPr>
                    <pic:cNvPr id="0" name="fig_motivation.png"/>
                    <pic:cNvPicPr/>
                  </pic:nvPicPr>
                  <pic:blipFill>
                    <a:blip r:embed="rId13"/>
                    <a:stretch>
                      <a:fillRect/>
                    </a:stretch>
                  </pic:blipFill>
                  <pic:spPr>
                    <a:xfrm>
                      <a:off x="0" y="0"/>
                      <a:ext cx="4500000" cy="1720704"/>
                    </a:xfrm>
                    <a:prstGeom prst="rect"/>
                  </pic:spPr>
                </pic:pic>
              </a:graphicData>
            </a:graphic>
          </wp:inline>
        </w:drawing>
      </w:r>
    </w:p>
    <w:p>
      <w:pPr>
        <w:pStyle w:val="Caption"/>
      </w:pPr>
      <w:bookmarkStart w:id="1000" w:name="_Ref_Figure_1_1"/>
      <w:r>
        <w:rPr>
          <w:rFonts w:ascii="Times New Roman" w:hAnsi="Times New Roman" w:cs="Times New Roman" w:eastAsia="Times New Roman"/>
          <w:b/>
          <w:sz w:val="22"/>
        </w:rPr>
        <w:t xml:space="preserve">Figure 1.1: </w:t>
      </w:r>
      <w:r>
        <w:rPr>
          <w:rFonts w:ascii="Times New Roman" w:hAnsi="Times New Roman" w:cs="Times New Roman" w:eastAsia="Times New Roman"/>
          <w:sz w:val="22"/>
        </w:rPr>
        <w:t xml:space="preserve">Conceptual motivation: MRI answers </w:t>
      </w:r>
      <w:r>
        <w:rPr>
          <w:rFonts w:ascii="Times New Roman" w:hAnsi="Times New Roman" w:cs="Times New Roman" w:eastAsia="Times New Roman"/>
          <w:i/>
          <w:sz w:val="22"/>
        </w:rPr>
        <w:t>where</w:t>
      </w:r>
      <w:r>
        <w:rPr>
          <w:rFonts w:ascii="Times New Roman" w:hAnsi="Times New Roman" w:cs="Times New Roman" w:eastAsia="Times New Roman"/>
          <w:sz w:val="22"/>
        </w:rPr>
        <w:t xml:space="preserve">, the VEP answers </w:t>
      </w:r>
      <w:r>
        <w:rPr>
          <w:rFonts w:ascii="Times New Roman" w:hAnsi="Times New Roman" w:cs="Times New Roman" w:eastAsia="Times New Roman"/>
          <w:i/>
          <w:sz w:val="22"/>
        </w:rPr>
        <w:t>when</w:t>
      </w:r>
      <w:r>
        <w:rPr>
          <w:rFonts w:ascii="Times New Roman" w:hAnsi="Times New Roman" w:cs="Times New Roman" w:eastAsia="Times New Roman"/>
          <w:sz w:val="22"/>
        </w:rPr>
        <w:t>, and cross-attention fusion links the two while producing material that can be inspected.</w:t>
      </w:r>
      <w:bookmarkEnd w:id="1000"/>
    </w:p>
    <w:p>
      <w:pPr>
        <w:pStyle w:val="Heading3"/>
      </w:pPr>
      <w:r>
        <w:rPr>
          <w:rFonts w:ascii="Times New Roman" w:hAnsi="Times New Roman" w:cs="Times New Roman" w:eastAsia="Times New Roman"/>
          <w:b/>
          <w:sz w:val="24"/>
        </w:rPr>
        <w:t xml:space="preserve">1.2.4  THE LABELLING GAP</w:t>
      </w:r>
    </w:p>
    <w:p>
      <w:pPr>
        <w:pStyle w:val="BodyJ"/>
      </w:pPr>
      <w:r>
        <w:rPr>
          <w:rFonts w:ascii="Times New Roman" w:hAnsi="Times New Roman" w:cs="Times New Roman" w:eastAsia="Times New Roman"/>
        </w:rPr>
        <w:t xml:space="preserve">No public dataset offers paired MRI, VEP and diagnosis labels for the conditions of interest (Section 2.8). The model and its pipeline can therefore be developed and verified on synthetic data, and exercised on public cohorts from other disorders, but a claim about glaucoma or optic neuritis needs a labelled clinical cohort that does not yet exist in the public domain.</w:t>
      </w:r>
    </w:p>
    <w:p>
      <w:pPr>
        <w:pStyle w:val="Heading2"/>
      </w:pPr>
      <w:r>
        <w:rPr>
          <w:rFonts w:ascii="Times New Roman" w:hAnsi="Times New Roman" w:cs="Times New Roman" w:eastAsia="Times New Roman"/>
          <w:b/>
          <w:sz w:val="28"/>
        </w:rPr>
        <w:t>1.3  PROBLEM STATEMENT</w:t>
      </w:r>
    </w:p>
    <w:p>
      <w:pPr>
        <w:pStyle w:val="BodyJ"/>
      </w:pPr>
      <w:r>
        <w:rPr>
          <w:rFonts w:ascii="Times New Roman" w:hAnsi="Times New Roman" w:cs="Times New Roman" w:eastAsia="Times New Roman"/>
        </w:rPr>
        <w:t xml:space="preserve">To design, implement and verify an end-to-end deep-learning framework that ingests a paired 3D structural MRI volume and a 1D electrophysiological signal (the visual evoked potential in the target application), fuses them with a gated bidirectional cross-attention mechanism in which each stream can query the other, classifies the pair (Healthy Control, Glaucoma or Optic Neuritis / Cortical Visual Impairment in the synthetic benchmark; control versus patient in the public cohorts), and exposes spatial and spatial–temporal explanations of each decision.</w:t>
      </w:r>
    </w:p>
    <w:p>
      <w:pPr>
        <w:pStyle w:val="BodyJ"/>
      </w:pPr>
      <w:r>
        <w:rPr>
          <w:rFonts w:ascii="Times New Roman" w:hAnsi="Times New Roman" w:cs="Times New Roman" w:eastAsia="Times New Roman"/>
        </w:rPr>
        <w:t>The problem is therefore both a modelling problem (how to relate two incompatible feature spaces) and an engineering problem (how to build a pipeline whose interfaces, preprocessing and training behaviour can be tested before a clinical cohort is available).</w:t>
      </w:r>
    </w:p>
    <w:p>
      <w:pPr>
        <w:pStyle w:val="BodyJ"/>
      </w:pPr>
      <w:r>
        <w:rPr>
          <w:rFonts w:ascii="Times New Roman" w:hAnsi="Times New Roman" w:cs="Times New Roman" w:eastAsia="Times New Roman"/>
        </w:rPr>
        <w:t xml:space="preserve">A third question, which the original prototype left open, is empirical: when does cross-attention fusion actually help compared with simpler fusion by concatenation or summation, or with either modality alone, and does a pipeline that works on synthetic data say anything about real cohorts? The project answers it with a controlled synthetic benchmark and with a reproducible evaluation on two public real cohorts, and reports what it finds even when the finding is negative.</w:t>
      </w:r>
    </w:p>
    <w:p>
      <w:pPr>
        <w:pStyle w:val="Heading2"/>
      </w:pPr>
      <w:r>
        <w:rPr>
          <w:rFonts w:ascii="Times New Roman" w:hAnsi="Times New Roman" w:cs="Times New Roman" w:eastAsia="Times New Roman"/>
          <w:b/>
          <w:sz w:val="28"/>
        </w:rPr>
        <w:t>1.4  OBJECTIVES AND RESEARCH QUESTIONS</w:t>
      </w:r>
    </w:p>
    <w:p>
      <w:pPr>
        <w:pStyle w:val="Heading3"/>
      </w:pPr>
      <w:r>
        <w:rPr>
          <w:rFonts w:ascii="Times New Roman" w:hAnsi="Times New Roman" w:cs="Times New Roman" w:eastAsia="Times New Roman"/>
          <w:b/>
          <w:sz w:val="24"/>
        </w:rPr>
        <w:t>1.4.1  OBJECTIVES</w:t>
      </w:r>
    </w:p>
    <w:p>
      <w:pPr>
        <w:pStyle w:val="BodyJ"/>
        <w:keepNext/>
      </w:pPr>
      <w:r>
        <w:rPr>
          <w:rFonts w:ascii="Times New Roman" w:hAnsi="Times New Roman" w:cs="Times New Roman" w:eastAsia="Times New Roman"/>
        </w:rPr>
        <w:t>The project pursues the following objectives. They are revisited, one by one, in the conclusions (Chapter 7).</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 xml:space="preserve">O1: Data interface.</w:t>
      </w:r>
      <w:r>
        <w:rPr>
          <w:rFonts w:ascii="Times New Roman" w:hAnsi="Times New Roman" w:cs="Times New Roman" w:eastAsia="Times New Roman"/>
        </w:rPr>
        <w:t xml:space="preserve"> Provide a single dataset abstraction that reads paired MRI and 1D-signal records from a manifest (synthetic files or the real public cohorts) and standardises them to fixed-shape tensors (1 × 64 × 64 × 64, or 1 × 32 × 32 × 32 for the cross-validation study, and 1 × 500).</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 xml:space="preserve">O2: Signal conditioning.</w:t>
      </w:r>
      <w:r>
        <w:rPr>
          <w:rFonts w:ascii="Times New Roman" w:hAnsi="Times New Roman" w:cs="Times New Roman" w:eastAsia="Times New Roman"/>
        </w:rPr>
        <w:t xml:space="preserve"> Implement MRI standardisation (RAS orientation, 1 mm isotropic resampling, percentile or Otsu foreground masking, min–max or foreground z-score scaling, centre crop or bounding-box resize) and VEP conditioning (zero-phase 1–100 Hz band-pass, 50 Hz notch, resampling, z-score), plus a spectrum mode for resting recordings, so that clinically meaningful timing is not distorted.</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 xml:space="preserve">O3: Dual encoders.</w:t>
      </w:r>
      <w:r>
        <w:rPr>
          <w:rFonts w:ascii="Times New Roman" w:hAnsi="Times New Roman" w:cs="Times New Roman" w:eastAsia="Times New Roman"/>
        </w:rPr>
        <w:t xml:space="preserve"> Build a 3D residual CNN with squeeze-and-excitation and a multi-scale 1D CNN that map the two modalities to 64 spatial and 16 temporal tokens in a shared 128-dimensional space.</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 xml:space="preserve">O4: Cross-attention fusion.</w:t>
      </w:r>
      <w:r>
        <w:rPr>
          <w:rFonts w:ascii="Times New Roman" w:hAnsi="Times New Roman" w:cs="Times New Roman" w:eastAsia="Times New Roman"/>
        </w:rPr>
        <w:t xml:space="preserve"> Implement gated bidirectional multi-head cross-attention (each stream queries the other) with a learned attention pool, implement the fusion baselines used in the literature (concatenation, element-wise sum, unimodal), and train them with a fused head plus two auxiliary unimodal heads (multi-task supervision).</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 xml:space="preserve">O5: Explainability.</w:t>
      </w:r>
      <w:r>
        <w:rPr>
          <w:rFonts w:ascii="Times New Roman" w:hAnsi="Times New Roman" w:cs="Times New Roman" w:eastAsia="Times New Roman"/>
        </w:rPr>
        <w:t xml:space="preserve"> Provide 3D Grad-CAM and Grad-CAM++ activation maps, spatial–temporal cross-attention heatmaps for both directions and each head, and a P100 latency estimator.</w:t>
      </w:r>
    </w:p>
    <w:p>
      <w:pPr>
        <w:spacing w:after="60"/>
        <w:ind w:left="567" w:hanging="454"/>
        <w:jc w:val="both"/>
      </w:pPr>
      <w:r>
        <w:rPr>
          <w:rFonts w:ascii="Times New Roman" w:hAnsi="Times New Roman" w:cs="Times New Roman" w:eastAsia="Times New Roman"/>
        </w:rPr>
        <w:t xml:space="preserve">6.  </w:t>
      </w:r>
      <w:r>
        <w:rPr>
          <w:rFonts w:ascii="Times New Roman" w:hAnsi="Times New Roman" w:cs="Times New Roman" w:eastAsia="Times New Roman"/>
          <w:b/>
        </w:rPr>
        <w:t xml:space="preserve">O6: Verification.</w:t>
      </w:r>
      <w:r>
        <w:rPr>
          <w:rFonts w:ascii="Times New Roman" w:hAnsi="Times New Roman" w:cs="Times New Roman" w:eastAsia="Times New Roman"/>
        </w:rPr>
        <w:t xml:space="preserve"> Verify interfaces and behaviour with an automated unit and integration test suite (340 tests), and quantify what can be quantified without clinical data (filter behaviour, model size, test results).</w:t>
      </w:r>
    </w:p>
    <w:p>
      <w:pPr>
        <w:spacing w:after="60"/>
        <w:ind w:left="567" w:hanging="454"/>
        <w:jc w:val="both"/>
      </w:pPr>
      <w:r>
        <w:rPr>
          <w:rFonts w:ascii="Times New Roman" w:hAnsi="Times New Roman" w:cs="Times New Roman" w:eastAsia="Times New Roman"/>
        </w:rPr>
        <w:t xml:space="preserve">7.  </w:t>
      </w:r>
      <w:r>
        <w:rPr>
          <w:rFonts w:ascii="Times New Roman" w:hAnsi="Times New Roman" w:cs="Times New Roman" w:eastAsia="Times New Roman"/>
          <w:b/>
        </w:rPr>
        <w:t>O7: Honest scoping.</w:t>
      </w:r>
      <w:r>
        <w:rPr>
          <w:rFonts w:ascii="Times New Roman" w:hAnsi="Times New Roman" w:cs="Times New Roman" w:eastAsia="Times New Roman"/>
        </w:rPr>
        <w:t xml:space="preserve"> State clearly what has and has not been demonstrated, and define the path from prototype to clinically credible evaluation.</w:t>
      </w:r>
    </w:p>
    <w:p>
      <w:pPr>
        <w:spacing w:after="60"/>
        <w:ind w:left="567" w:hanging="454"/>
        <w:jc w:val="both"/>
      </w:pPr>
      <w:r>
        <w:rPr>
          <w:rFonts w:ascii="Times New Roman" w:hAnsi="Times New Roman" w:cs="Times New Roman" w:eastAsia="Times New Roman"/>
        </w:rPr>
        <w:t xml:space="preserve">8.  </w:t>
      </w:r>
      <w:r>
        <w:rPr>
          <w:rFonts w:ascii="Times New Roman" w:hAnsi="Times New Roman" w:cs="Times New Roman" w:eastAsia="Times New Roman"/>
          <w:b/>
        </w:rPr>
        <w:t xml:space="preserve">O8: Controlled benchmark.</w:t>
      </w:r>
      <w:r>
        <w:rPr>
          <w:rFonts w:ascii="Times New Roman" w:hAnsi="Times New Roman" w:cs="Times New Roman" w:eastAsia="Times New Roman"/>
        </w:rPr>
        <w:t xml:space="preserve"> Establish, on a synthetic generator whose modality informativeness can be set independently, when cross-attention fusion helps compared with concatenation, element-wise sum and unimodal models and which design components matter (ablation), using several seeds and a held-out test set.</w:t>
      </w:r>
    </w:p>
    <w:p>
      <w:pPr>
        <w:spacing w:after="60"/>
        <w:ind w:left="567" w:hanging="454"/>
        <w:jc w:val="both"/>
      </w:pPr>
      <w:r>
        <w:rPr>
          <w:rFonts w:ascii="Times New Roman" w:hAnsi="Times New Roman" w:cs="Times New Roman" w:eastAsia="Times New Roman"/>
        </w:rPr>
        <w:t xml:space="preserve">9.  </w:t>
      </w:r>
      <w:r>
        <w:rPr>
          <w:rFonts w:ascii="Times New Roman" w:hAnsi="Times New Roman" w:cs="Times New Roman" w:eastAsia="Times New Roman"/>
          <w:b/>
        </w:rPr>
        <w:t xml:space="preserve">O9: Real-data protocol.</w:t>
      </w:r>
      <w:r>
        <w:rPr>
          <w:rFonts w:ascii="Times New Roman" w:hAnsi="Times New Roman" w:cs="Times New Roman" w:eastAsia="Times New Roman"/>
        </w:rPr>
        <w:t xml:space="preserve"> Provide a one-command, seeded and resumable pipeline for two public real cohorts and evaluate it with per-cohort splits, pooled and leave-one-cohort-out training, repeated cross-validation, bootstrap intervals, label-permutation tests and classical baselines.</w:t>
      </w:r>
    </w:p>
    <w:p>
      <w:pPr>
        <w:pStyle w:val="Heading3"/>
      </w:pPr>
      <w:r>
        <w:rPr>
          <w:rFonts w:ascii="Times New Roman" w:hAnsi="Times New Roman" w:cs="Times New Roman" w:eastAsia="Times New Roman"/>
          <w:b/>
          <w:sz w:val="24"/>
        </w:rPr>
        <w:t>1.4.2  RESEARCH QUESTIONS</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 xml:space="preserve">RQ1.</w:t>
      </w:r>
      <w:r>
        <w:rPr>
          <w:rFonts w:ascii="Times New Roman" w:hAnsi="Times New Roman" w:cs="Times New Roman" w:eastAsia="Times New Roman"/>
        </w:rPr>
        <w:t xml:space="preserve"> Can paired 3D MRI and 1D signal data be brought into a common token representation through one manifest-driven pipeline?</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RQ2.</w:t>
      </w:r>
      <w:r>
        <w:rPr>
          <w:rFonts w:ascii="Times New Roman" w:hAnsi="Times New Roman" w:cs="Times New Roman" w:eastAsia="Times New Roman"/>
        </w:rPr>
        <w:t xml:space="preserve"> Does the conditioning pipeline preserve the P100 latency, the landmark that carries diagnostic meaning in the VEP?</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RQ3.</w:t>
      </w:r>
      <w:r>
        <w:rPr>
          <w:rFonts w:ascii="Times New Roman" w:hAnsi="Times New Roman" w:cs="Times New Roman" w:eastAsia="Times New Roman"/>
        </w:rPr>
        <w:t xml:space="preserve"> Can the cross-attention fusion network be optimised end-to-end under multi-task supervision, and what is its computational footprint?</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RQ4.</w:t>
      </w:r>
      <w:r>
        <w:rPr>
          <w:rFonts w:ascii="Times New Roman" w:hAnsi="Times New Roman" w:cs="Times New Roman" w:eastAsia="Times New Roman"/>
        </w:rPr>
        <w:t xml:space="preserve"> Can the system emit explanation artefacts (spatial maps and attention matrices) from the same forward pass that produces the prediction?</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 xml:space="preserve">RQ5.</w:t>
      </w:r>
      <w:r>
        <w:rPr>
          <w:rFonts w:ascii="Times New Roman" w:hAnsi="Times New Roman" w:cs="Times New Roman" w:eastAsia="Times New Roman"/>
        </w:rPr>
        <w:t xml:space="preserve"> When does cross-attention fusion help compared with concatenation, element-wise sum and either modality alone, as a function of how much class information each modality carries?</w:t>
      </w:r>
    </w:p>
    <w:p>
      <w:pPr>
        <w:spacing w:after="60"/>
        <w:ind w:left="567" w:hanging="454"/>
        <w:jc w:val="both"/>
      </w:pPr>
      <w:r>
        <w:rPr>
          <w:rFonts w:ascii="Times New Roman" w:hAnsi="Times New Roman" w:cs="Times New Roman" w:eastAsia="Times New Roman"/>
        </w:rPr>
        <w:t xml:space="preserve">6.  </w:t>
      </w:r>
      <w:r>
        <w:rPr>
          <w:rFonts w:ascii="Times New Roman" w:hAnsi="Times New Roman" w:cs="Times New Roman" w:eastAsia="Times New Roman"/>
          <w:b/>
        </w:rPr>
        <w:t xml:space="preserve">RQ6.</w:t>
      </w:r>
      <w:r>
        <w:rPr>
          <w:rFonts w:ascii="Times New Roman" w:hAnsi="Times New Roman" w:cs="Times New Roman" w:eastAsia="Times New Roman"/>
        </w:rPr>
        <w:t xml:space="preserve"> Does the pipeline generalise across real cohorts: is any within-cohort signal distinguishable from chance by a permutation test, and does a model trained on one cohort work on another?</w:t>
      </w:r>
    </w:p>
    <w:p>
      <w:pPr>
        <w:pStyle w:val="Heading3"/>
      </w:pPr>
      <w:r>
        <w:rPr>
          <w:rFonts w:ascii="Times New Roman" w:hAnsi="Times New Roman" w:cs="Times New Roman" w:eastAsia="Times New Roman"/>
          <w:b/>
          <w:sz w:val="24"/>
        </w:rPr>
        <w:t>1.4.3  WORKING HYPOTHESES</w:t>
      </w:r>
    </w:p>
    <w:p>
      <w:pPr>
        <w:pStyle w:val="BodyJ"/>
      </w:pPr>
      <w:r>
        <w:rPr>
          <w:rFonts w:ascii="Times New Roman" w:hAnsi="Times New Roman" w:cs="Times New Roman" w:eastAsia="Times New Roman"/>
        </w:rPr>
        <w:t xml:space="preserve">The hypotheses are stated at the level at which the evidence can test them. H1 to H3 are engineering hypotheses that can be tested on synthetic data: (H1) zero-phase filtering keeps the detected P100 latency within one sample period (4 ms at 250 Hz) of the ground truth; (H2) the multi-task training loop reduces training loss substantially on a class-conditioned synthetic task and exceeds chance-level validation accuracy; and (H3) all modules respect a single shape contract so that the preprocessing, encoders, fusion module and heads cannot silently disagree. Two further working hypotheses concern the empirical questions: (H4) cross-attention fusion helps relative to concatenation, element-wise sum and unimodal models only when both modalities carry complementary but individually imperfect class information, and not when one modality alone is almost sufficient; and (H5) on the available public cohorts, where the label is pan-disorder and only 95 subjects have both modalities, the signal is at most weak and a model trained on one cohort does not transfer to the other. H4 and H5 may be refuted by the experiments; they are assessed in Chapter 6.</w:t>
      </w:r>
    </w:p>
    <w:p>
      <w:pPr>
        <w:pStyle w:val="Heading2"/>
      </w:pPr>
      <w:r>
        <w:rPr>
          <w:rFonts w:ascii="Times New Roman" w:hAnsi="Times New Roman" w:cs="Times New Roman" w:eastAsia="Times New Roman"/>
          <w:b/>
          <w:sz w:val="28"/>
        </w:rPr>
        <w:t>1.5  SCOPE OF THE PROJECT</w:t>
      </w:r>
    </w:p>
    <w:p>
      <w:pPr>
        <w:pStyle w:val="BodyJ"/>
        <w:ind w:firstLine="0"/>
      </w:pPr>
      <w:r>
        <w:rPr>
          <w:rFonts w:ascii="Times New Roman" w:hAnsi="Times New Roman" w:cs="Times New Roman" w:eastAsia="Times New Roman"/>
          <w:b/>
        </w:rPr>
        <w:t xml:space="preserve">In scope.</w:t>
      </w:r>
      <w:r>
        <w:rPr>
          <w:rFonts w:ascii="Times New Roman" w:hAnsi="Times New Roman" w:cs="Times New Roman" w:eastAsia="Times New Roman"/>
        </w:rPr>
        <w:t xml:space="preserve"> The project covers (i) the data-loading and preprocessing layer for MRI (NIfTI) and 1D signals (VEP CSV or NumPy vectors), including a loader that discovers two public OpenNeuro cohorts in BIDS layout and turns each resting MEG or EEG recording into a log power spectrum; (ii) a synthetic, class-conditioned data generator that exposes the same interface as real data and whose modality informativeness is controllable; (iii) the CAFN model (3D residual encoder with squeeze-and-excitation, multi-scale 1D encoder, gated bidirectional cross-attention, learned attention pooling and three classification heads) together with the concatenation, element-wise sum and unimodal baselines; (iv) a multi-task training loop (AdamW, warm-up and cosine schedule, gradient clipping, early stopping, mixed precision, deterministic algorithms, checkpointing); (v) the explainability tools; (vi) the evaluation protocols, namely a controlled synthetic benchmark with ablations and a real-cohort study with pooled and leave-one-cohort-out training, repeated cross-validation, bootstrap intervals, permutation tests and classical baselines; and (vii) an automated test suite of 340 tests and a one-command reproduction script.</w:t>
      </w:r>
    </w:p>
    <w:p>
      <w:pPr>
        <w:pStyle w:val="BodyJ"/>
        <w:ind w:firstLine="0"/>
      </w:pPr>
      <w:r>
        <w:rPr>
          <w:rFonts w:ascii="Times New Roman" w:hAnsi="Times New Roman" w:cs="Times New Roman" w:eastAsia="Times New Roman"/>
          <w:b/>
        </w:rPr>
        <w:t xml:space="preserve">Out of scope.</w:t>
      </w:r>
      <w:r>
        <w:rPr>
          <w:rFonts w:ascii="Times New Roman" w:hAnsi="Times New Roman" w:cs="Times New Roman" w:eastAsia="Times New Roman"/>
        </w:rPr>
        <w:t xml:space="preserve"> The project does not include clinical data acquisition, expert labelling, clinical-grade brain extraction, anatomical registration of features to named cortical areas, prospective clinical validation or regulatory work. It makes no claim of glaucoma or optic-neuritis diagnosis, of clinical accuracy, of generalisation across cohorts or of state-of-the-art performance. The two real cohorts are not eye-disease data (Section 3.4.2): they test the pipeline, not the clinical hypothesis.</w:t>
      </w:r>
    </w:p>
    <w:p>
      <w:pPr>
        <w:pStyle w:val="Heading2"/>
      </w:pPr>
      <w:r>
        <w:rPr>
          <w:rFonts w:ascii="Times New Roman" w:hAnsi="Times New Roman" w:cs="Times New Roman" w:eastAsia="Times New Roman"/>
          <w:b/>
          <w:sz w:val="28"/>
        </w:rPr>
        <w:t>1.6  LIMITATIONS OF THE STUDY</w:t>
      </w:r>
    </w:p>
    <w:p>
      <w:pPr>
        <w:pStyle w:val="ListBullet"/>
      </w:pPr>
      <w:r>
        <w:rPr>
          <w:rFonts w:ascii="Times New Roman" w:hAnsi="Times New Roman" w:cs="Times New Roman" w:eastAsia="Times New Roman"/>
          <w:b/>
        </w:rPr>
        <w:t xml:space="preserve">No labelled clinical cohort.</w:t>
      </w:r>
      <w:r>
        <w:rPr>
          <w:rFonts w:ascii="Times New Roman" w:hAnsi="Times New Roman" w:cs="Times New Roman" w:eastAsia="Times New Roman"/>
        </w:rPr>
        <w:t xml:space="preserve"> The public repositories surveyed for the project provide structural or retinotopic scans and generic electrophysiology but not the Healthy / Glaucoma / Optic Neuritis-CVI diagnosis labels required for training. The three-class experiments therefore use a synthetic benchmark, which is deliberately simple and cannot support any claim about clinical performance. The real public cohorts that were used instead are not eye-disease data (major depressive disorder with MEG; zoster-associated neuralgia with sleep EEG), carry a pan-disorder patient-versus-control label, and replace the VEP by a log power spectrum.</w:t>
      </w:r>
    </w:p>
    <w:p>
      <w:pPr>
        <w:pStyle w:val="ListBullet"/>
      </w:pPr>
      <w:r>
        <w:rPr>
          <w:rFonts w:ascii="Times New Roman" w:hAnsi="Times New Roman" w:cs="Times New Roman" w:eastAsia="Times New Roman"/>
          <w:b/>
        </w:rPr>
        <w:t xml:space="preserve">Prototype preprocessing.</w:t>
      </w:r>
      <w:r>
        <w:rPr>
          <w:rFonts w:ascii="Times New Roman" w:hAnsi="Times New Roman" w:cs="Times New Roman" w:eastAsia="Times New Roman"/>
        </w:rPr>
        <w:t xml:space="preserve"> Foreground masking is an intensity-percentile threshold or an Otsu threshold with morphological clean-up, not validated skull-stripping, and no anatomical registration is carried through to the model.</w:t>
      </w:r>
    </w:p>
    <w:p>
      <w:pPr>
        <w:pStyle w:val="ListBullet"/>
      </w:pPr>
      <w:r>
        <w:rPr>
          <w:rFonts w:ascii="Times New Roman" w:hAnsi="Times New Roman" w:cs="Times New Roman" w:eastAsia="Times New Roman"/>
          <w:b/>
        </w:rPr>
        <w:t>Learned, uncalibrated tokens.</w:t>
      </w:r>
      <w:r>
        <w:rPr>
          <w:rFonts w:ascii="Times New Roman" w:hAnsi="Times New Roman" w:cs="Times New Roman" w:eastAsia="Times New Roman"/>
        </w:rPr>
        <w:t xml:space="preserve"> Spatial and temporal tokens are learned feature positions, not anatomically registered brain regions or calibrated millisecond bins.</w:t>
      </w:r>
    </w:p>
    <w:p>
      <w:pPr>
        <w:pStyle w:val="ListBullet"/>
      </w:pPr>
      <w:r>
        <w:rPr>
          <w:rFonts w:ascii="Times New Roman" w:hAnsi="Times New Roman" w:cs="Times New Roman" w:eastAsia="Times New Roman"/>
          <w:b/>
        </w:rPr>
        <w:t xml:space="preserve">Small real samples and shortcuts.</w:t>
      </w:r>
      <w:r>
        <w:rPr>
          <w:rFonts w:ascii="Times New Roman" w:hAnsi="Times New Roman" w:cs="Times New Roman" w:eastAsia="Times New Roman"/>
        </w:rPr>
        <w:t xml:space="preserve"> The real study has 95 subjects (47 and 48 per cohort) and per-cohort test splits of about seven subjects, so single-split metrics are very noisy; and the spectrum alone identifies the cohort with 100% accuracy, so a cohort-identity shortcut is always possible. Within-cohort permutation tests, repeated cross-validation and leave-one-cohort-out training are used to limit, not remove, this problem.</w:t>
      </w:r>
    </w:p>
    <w:p>
      <w:pPr>
        <w:pStyle w:val="ListBullet"/>
      </w:pPr>
      <w:r>
        <w:rPr>
          <w:rFonts w:ascii="Times New Roman" w:hAnsi="Times New Roman" w:cs="Times New Roman" w:eastAsia="Times New Roman"/>
          <w:b/>
        </w:rPr>
        <w:t xml:space="preserve">Validity of the controlled benchmark.</w:t>
      </w:r>
      <w:r>
        <w:rPr>
          <w:rFonts w:ascii="Times New Roman" w:hAnsi="Times New Roman" w:cs="Times New Roman" w:eastAsia="Times New Roman"/>
        </w:rPr>
        <w:t xml:space="preserve"> In the synthetic generator the two modalities are independent given the label, so their evidence is complementary by construction. The benchmark shows when fusion can help in that setting, not how often real modalities behave that way. No calibration analysis or missing-modality evaluation is included.</w:t>
      </w:r>
    </w:p>
    <w:p>
      <w:pPr>
        <w:pStyle w:val="Heading2"/>
      </w:pPr>
      <w:r>
        <w:rPr>
          <w:rFonts w:ascii="Times New Roman" w:hAnsi="Times New Roman" w:cs="Times New Roman" w:eastAsia="Times New Roman"/>
          <w:b/>
          <w:sz w:val="28"/>
        </w:rPr>
        <w:t>1.7  CONTRIBUTIONS AND DISTINCTION FROM EXISTING WORK</w:t>
      </w:r>
    </w:p>
    <w:p>
      <w:pPr>
        <w:pStyle w:val="BodyJ"/>
      </w:pPr>
      <w:r>
        <w:rPr>
          <w:rFonts w:ascii="Times New Roman" w:hAnsi="Times New Roman" w:cs="Times New Roman" w:eastAsia="Times New Roman"/>
        </w:rPr>
        <w:t xml:space="preserve">It is important to separate what this project contributes from what it reuses. The reused building blocks are standard: scaled dot-product and multi-head attention (Vaswani et al., 2017), residual convolutional blocks (He et al., 2016), squeeze-and-excitation (Hu et al., 2018), Grad-CAM (Selvaraju et al., 2017), Butterworth and notch filtering through SciPy (Virtanen et al., 2020), and MONAI transforms for volumetric resampling and cropping (Cardoso et al., 2022). The contributions of the project are the following.</w:t>
      </w:r>
    </w:p>
    <w:p>
      <w:pPr>
        <w:pStyle w:val="ListBullet"/>
      </w:pPr>
      <w:r>
        <w:rPr>
          <w:rFonts w:ascii="Times New Roman" w:hAnsi="Times New Roman" w:cs="Times New Roman" w:eastAsia="Times New Roman"/>
          <w:b/>
        </w:rPr>
        <w:t xml:space="preserve">Architecture.</w:t>
      </w:r>
      <w:r>
        <w:rPr>
          <w:rFonts w:ascii="Times New Roman" w:hAnsi="Times New Roman" w:cs="Times New Roman" w:eastAsia="Times New Roman"/>
        </w:rPr>
        <w:t xml:space="preserve"> CAFN couples a squeeze-and-excitation 3D residual encoder and a multi-scale 1D encoder through gated bidirectional cross-attention (each stream queries the other), with learned attention pooling, positional embeddings and two auxiliary unimodal heads. All adaptive pooling uses deterministic matrix products, so that GPU training is reproducible, and the implementation is configuration-driven and covered by 340 tests.</w:t>
      </w:r>
    </w:p>
    <w:p>
      <w:pPr>
        <w:pStyle w:val="ListBullet"/>
      </w:pPr>
      <w:r>
        <w:rPr>
          <w:rFonts w:ascii="Times New Roman" w:hAnsi="Times New Roman" w:cs="Times New Roman" w:eastAsia="Times New Roman"/>
          <w:b/>
        </w:rPr>
        <w:t xml:space="preserve">A controlled benchmark of when fusion helps.</w:t>
      </w:r>
      <w:r>
        <w:rPr>
          <w:rFonts w:ascii="Times New Roman" w:hAnsi="Times New Roman" w:cs="Times New Roman" w:eastAsia="Times New Roman"/>
        </w:rPr>
        <w:t xml:space="preserve"> A synthetic generator with independent controls for the class information carried by each modality allows a like-for-like comparison of cross-attention with concatenation, element-wise sum and unimodal models, a component ablation, and a sweep over modality informativeness, all with several seeds and a held-out test set.</w:t>
      </w:r>
    </w:p>
    <w:p>
      <w:pPr>
        <w:pStyle w:val="ListBullet"/>
      </w:pPr>
      <w:r>
        <w:rPr>
          <w:rFonts w:ascii="Times New Roman" w:hAnsi="Times New Roman" w:cs="Times New Roman" w:eastAsia="Times New Roman"/>
          <w:b/>
        </w:rPr>
        <w:t xml:space="preserve">A reproducible real-data protocol.</w:t>
      </w:r>
      <w:r>
        <w:rPr>
          <w:rFonts w:ascii="Times New Roman" w:hAnsi="Times New Roman" w:cs="Times New Roman" w:eastAsia="Times New Roman"/>
        </w:rPr>
        <w:t xml:space="preserve"> A one-command pipeline downloads two public OpenNeuro cohorts, preprocesses them, and evaluates pooled and leave-one-cohort-out models with repeated cross-validation, bootstrap intervals, label-permutation tests and classical baselines, under a single fixed random seed.</w:t>
      </w:r>
    </w:p>
    <w:p>
      <w:pPr>
        <w:pStyle w:val="ListBullet"/>
      </w:pPr>
      <w:r>
        <w:rPr>
          <w:rFonts w:ascii="Times New Roman" w:hAnsi="Times New Roman" w:cs="Times New Roman" w:eastAsia="Times New Roman"/>
          <w:b/>
        </w:rPr>
        <w:t xml:space="preserve">Candid findings.</w:t>
      </w:r>
      <w:r>
        <w:rPr>
          <w:rFonts w:ascii="Times New Roman" w:hAnsi="Times New Roman" w:cs="Times New Roman" w:eastAsia="Times New Roman"/>
        </w:rPr>
        <w:t xml:space="preserve"> The report states where the proposed design helps and where it does not, that on the available real cohorts CAFN is at chance level and the classical spectral signal is weak and does not transfer between cohorts, and the pitfalls found on the way (Section 6.4.4).</w:t>
      </w:r>
    </w:p>
    <w:p>
      <w:pPr>
        <w:pStyle w:val="BodyJ"/>
      </w:pPr>
      <w:r>
        <w:rPr>
          <w:rFonts w:ascii="Times New Roman" w:hAnsi="Times New Roman" w:cs="Times New Roman" w:eastAsia="Times New Roman"/>
          <w:b/>
        </w:rPr>
        <w:t xml:space="preserve">Not claimed.</w:t>
      </w:r>
      <w:r>
        <w:rPr>
          <w:rFonts w:ascii="Times New Roman" w:hAnsi="Times New Roman" w:cs="Times New Roman" w:eastAsia="Times New Roman"/>
        </w:rPr>
        <w:t xml:space="preserve"> The project does not claim clinical accuracy, diagnosis of glaucoma or optic neuritis, generalisation across cohorts, or state-of-the-art performance. The figures that the published studies report (Table 2.4) refer to other tasks and data and are not comparable with the results here.</w:t>
      </w:r>
    </w:p>
    <w:p>
      <w:pPr>
        <w:pStyle w:val="Heading2"/>
      </w:pPr>
      <w:r>
        <w:rPr>
          <w:rFonts w:ascii="Times New Roman" w:hAnsi="Times New Roman" w:cs="Times New Roman" w:eastAsia="Times New Roman"/>
          <w:b/>
          <w:sz w:val="28"/>
        </w:rPr>
        <w:t>1.8  ORGANISATION OF THE REPORT</w:t>
      </w:r>
    </w:p>
    <w:p>
      <w:pPr>
        <w:pStyle w:val="Caption"/>
        <w:keepNext/>
        <w:spacing w:before="160" w:after="80"/>
      </w:pPr>
      <w:bookmarkStart w:id="1001" w:name="_Ref_Table_1_1"/>
      <w:r>
        <w:rPr>
          <w:rFonts w:ascii="Times New Roman" w:hAnsi="Times New Roman" w:cs="Times New Roman" w:eastAsia="Times New Roman"/>
          <w:b/>
          <w:sz w:val="22"/>
        </w:rPr>
        <w:t xml:space="preserve">Table 1.1: </w:t>
      </w:r>
      <w:r>
        <w:rPr>
          <w:rFonts w:ascii="Times New Roman" w:hAnsi="Times New Roman" w:cs="Times New Roman" w:eastAsia="Times New Roman"/>
          <w:sz w:val="22"/>
        </w:rPr>
        <w:t>Organisation of the report.</w:t>
      </w:r>
      <w:bookmarkEnd w:id="1001"/>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38"/>
        <w:gridCol w:w="5868"/>
      </w:tblGrid>
      <w:tr>
        <w:trPr>
          <w:cantSplit/>
          <w:tblHeader/>
        </w:trPr>
        <w:tc>
          <w:tcPr>
            <w:tcW w:type="dxa" w:w="2438"/>
            <w:shd w:val="clear" w:color="auto" w:fill="D9D9D9"/>
          </w:tcPr>
          <w:p>
            <w:pPr>
              <w:pStyle w:val="TableText"/>
              <w:keepNext/>
              <w:jc w:val="left"/>
            </w:pPr>
            <w:r>
              <w:rPr>
                <w:rFonts w:ascii="Times New Roman" w:hAnsi="Times New Roman" w:cs="Times New Roman" w:eastAsia="Times New Roman"/>
                <w:b/>
                <w:sz w:val="21"/>
              </w:rPr>
              <w:t>Chapter</w:t>
            </w:r>
          </w:p>
        </w:tc>
        <w:tc>
          <w:tcPr>
            <w:tcW w:type="dxa" w:w="5868"/>
            <w:shd w:val="clear" w:color="auto" w:fill="D9D9D9"/>
          </w:tcPr>
          <w:p>
            <w:pPr>
              <w:pStyle w:val="TableText"/>
              <w:keepNext/>
              <w:jc w:val="left"/>
            </w:pPr>
            <w:r>
              <w:rPr>
                <w:rFonts w:ascii="Times New Roman" w:hAnsi="Times New Roman" w:cs="Times New Roman" w:eastAsia="Times New Roman"/>
                <w:b/>
                <w:sz w:val="21"/>
              </w:rPr>
              <w:t>Content</w:t>
            </w:r>
          </w:p>
        </w:tc>
      </w:tr>
      <w:tr>
        <w:trPr>
          <w:cantSplit/>
        </w:trPr>
        <w:tc>
          <w:tcPr>
            <w:tcW w:type="dxa" w:w="2438"/>
          </w:tcPr>
          <w:p>
            <w:pPr>
              <w:pStyle w:val="TableText"/>
              <w:keepNext/>
              <w:jc w:val="left"/>
            </w:pPr>
            <w:r>
              <w:rPr>
                <w:rFonts w:ascii="Times New Roman" w:hAnsi="Times New Roman" w:cs="Times New Roman" w:eastAsia="Times New Roman"/>
                <w:sz w:val="21"/>
              </w:rPr>
              <w:t>1  Introduction</w:t>
            </w:r>
          </w:p>
        </w:tc>
        <w:tc>
          <w:tcPr>
            <w:tcW w:type="dxa" w:w="5868"/>
          </w:tcPr>
          <w:p>
            <w:pPr>
              <w:pStyle w:val="TableText"/>
              <w:keepNext/>
              <w:jc w:val="left"/>
            </w:pPr>
            <w:r>
              <w:rPr>
                <w:rFonts w:ascii="Times New Roman" w:hAnsi="Times New Roman" w:cs="Times New Roman" w:eastAsia="Times New Roman"/>
                <w:sz w:val="21"/>
              </w:rPr>
              <w:t xml:space="preserve">Background, motivation, problem statement, objectives, research questions, hypotheses, scope, limitations and contributions.</w:t>
            </w:r>
          </w:p>
        </w:tc>
      </w:tr>
      <w:tr>
        <w:trPr>
          <w:cantSplit/>
        </w:trPr>
        <w:tc>
          <w:tcPr>
            <w:tcW w:type="dxa" w:w="2438"/>
          </w:tcPr>
          <w:p>
            <w:pPr>
              <w:pStyle w:val="TableText"/>
              <w:keepNext/>
              <w:jc w:val="left"/>
            </w:pPr>
            <w:r>
              <w:rPr>
                <w:rFonts w:ascii="Times New Roman" w:hAnsi="Times New Roman" w:cs="Times New Roman" w:eastAsia="Times New Roman"/>
                <w:sz w:val="21"/>
              </w:rPr>
              <w:t>2  Literature Review</w:t>
            </w:r>
          </w:p>
        </w:tc>
        <w:tc>
          <w:tcPr>
            <w:tcW w:type="dxa" w:w="5868"/>
          </w:tcPr>
          <w:p>
            <w:pPr>
              <w:pStyle w:val="TableText"/>
              <w:keepNext/>
              <w:jc w:val="left"/>
            </w:pPr>
            <w:r>
              <w:rPr>
                <w:rFonts w:ascii="Times New Roman" w:hAnsi="Times New Roman" w:cs="Times New Roman" w:eastAsia="Times New Roman"/>
                <w:sz w:val="21"/>
              </w:rPr>
              <w:t xml:space="preserve">Clinical background, deep learning for MRI and electrophysiology, multimodal fusion, published cross-attention studies (CAMF, DRIFA-Net), attention, explainability, public data resources and the research gap.</w:t>
            </w:r>
          </w:p>
        </w:tc>
      </w:tr>
      <w:tr>
        <w:trPr>
          <w:cantSplit/>
        </w:trPr>
        <w:tc>
          <w:tcPr>
            <w:tcW w:type="dxa" w:w="2438"/>
          </w:tcPr>
          <w:p>
            <w:pPr>
              <w:pStyle w:val="TableText"/>
              <w:jc w:val="left"/>
            </w:pPr>
            <w:r>
              <w:rPr>
                <w:rFonts w:ascii="Times New Roman" w:hAnsi="Times New Roman" w:cs="Times New Roman" w:eastAsia="Times New Roman"/>
                <w:sz w:val="21"/>
              </w:rPr>
              <w:t>3  Methodology</w:t>
            </w:r>
          </w:p>
        </w:tc>
        <w:tc>
          <w:tcPr>
            <w:tcW w:type="dxa" w:w="5868"/>
          </w:tcPr>
          <w:p>
            <w:pPr>
              <w:pStyle w:val="TableText"/>
              <w:jc w:val="left"/>
            </w:pPr>
            <w:r>
              <w:rPr>
                <w:rFonts w:ascii="Times New Roman" w:hAnsi="Times New Roman" w:cs="Times New Roman" w:eastAsia="Times New Roman"/>
                <w:sz w:val="21"/>
              </w:rPr>
              <w:t xml:space="preserve">Overall approach, tools, data sources (including the two real cohorts), controllable synthetic data, data interface, MRI and VEP/spectrum preprocessing, and the evaluation strategy (Studies A and B).</w:t>
            </w:r>
          </w:p>
        </w:tc>
      </w:tr>
      <w:tr>
        <w:trPr>
          <w:cantSplit/>
        </w:trPr>
        <w:tc>
          <w:tcPr>
            <w:tcW w:type="dxa" w:w="2438"/>
          </w:tcPr>
          <w:p>
            <w:pPr>
              <w:pStyle w:val="TableText"/>
              <w:jc w:val="left"/>
            </w:pPr>
            <w:r>
              <w:rPr>
                <w:rFonts w:ascii="Times New Roman" w:hAnsi="Times New Roman" w:cs="Times New Roman" w:eastAsia="Times New Roman"/>
                <w:sz w:val="21"/>
              </w:rPr>
              <w:t>4  System Design and Implementation</w:t>
            </w:r>
          </w:p>
        </w:tc>
        <w:tc>
          <w:tcPr>
            <w:tcW w:type="dxa" w:w="5868"/>
          </w:tcPr>
          <w:p>
            <w:pPr>
              <w:pStyle w:val="TableText"/>
              <w:jc w:val="left"/>
            </w:pPr>
            <w:r>
              <w:rPr>
                <w:rFonts w:ascii="Times New Roman" w:hAnsi="Times New Roman" w:cs="Times New Roman" w:eastAsia="Times New Roman"/>
                <w:sz w:val="21"/>
              </w:rPr>
              <w:t xml:space="preserve">CAFN architecture (v2/v3), gated bidirectional cross-attention, fusion baselines, multi-task loss, training procedure, explainability, software structure and test design.</w:t>
            </w:r>
          </w:p>
        </w:tc>
      </w:tr>
      <w:tr>
        <w:trPr>
          <w:cantSplit/>
        </w:trPr>
        <w:tc>
          <w:tcPr>
            <w:tcW w:type="dxa" w:w="2438"/>
          </w:tcPr>
          <w:p>
            <w:pPr>
              <w:pStyle w:val="TableText"/>
              <w:jc w:val="left"/>
            </w:pPr>
            <w:r>
              <w:rPr>
                <w:rFonts w:ascii="Times New Roman" w:hAnsi="Times New Roman" w:cs="Times New Roman" w:eastAsia="Times New Roman"/>
                <w:sz w:val="21"/>
              </w:rPr>
              <w:t>5  Results</w:t>
            </w:r>
          </w:p>
        </w:tc>
        <w:tc>
          <w:tcPr>
            <w:tcW w:type="dxa" w:w="5868"/>
          </w:tcPr>
          <w:p>
            <w:pPr>
              <w:pStyle w:val="TableText"/>
              <w:jc w:val="left"/>
            </w:pPr>
            <w:r>
              <w:rPr>
                <w:rFonts w:ascii="Times New Roman" w:hAnsi="Times New Roman" w:cs="Times New Roman" w:eastAsia="Times New Roman"/>
                <w:sz w:val="21"/>
              </w:rPr>
              <w:t xml:space="preserve">Objective presentation of the measurements: filter behaviour, synthetic data statistics, model size, tests, the controlled synthetic benchmark and ablation, the informativeness sweep, real-cohort cross-validation and permutation tests, and pooled and leave-one-cohort-out CAFN.</w:t>
            </w:r>
          </w:p>
        </w:tc>
      </w:tr>
      <w:tr>
        <w:trPr>
          <w:cantSplit/>
        </w:trPr>
        <w:tc>
          <w:tcPr>
            <w:tcW w:type="dxa" w:w="2438"/>
          </w:tcPr>
          <w:p>
            <w:pPr>
              <w:pStyle w:val="TableText"/>
              <w:jc w:val="left"/>
            </w:pPr>
            <w:r>
              <w:rPr>
                <w:rFonts w:ascii="Times New Roman" w:hAnsi="Times New Roman" w:cs="Times New Roman" w:eastAsia="Times New Roman"/>
                <w:sz w:val="21"/>
              </w:rPr>
              <w:t>6  Discussion</w:t>
            </w:r>
          </w:p>
        </w:tc>
        <w:tc>
          <w:tcPr>
            <w:tcW w:type="dxa" w:w="5868"/>
          </w:tcPr>
          <w:p>
            <w:pPr>
              <w:pStyle w:val="TableText"/>
              <w:jc w:val="left"/>
            </w:pPr>
            <w:r>
              <w:rPr>
                <w:rFonts w:ascii="Times New Roman" w:hAnsi="Times New Roman" w:cs="Times New Roman" w:eastAsia="Times New Roman"/>
                <w:sz w:val="21"/>
              </w:rPr>
              <w:t xml:space="preserve">Interpretation of the results, design observations and pitfalls, comparison with the literature and threats to validity.</w:t>
            </w:r>
          </w:p>
        </w:tc>
      </w:tr>
      <w:tr>
        <w:trPr>
          <w:cantSplit/>
        </w:trPr>
        <w:tc>
          <w:tcPr>
            <w:tcW w:type="dxa" w:w="2438"/>
          </w:tcPr>
          <w:p>
            <w:pPr>
              <w:pStyle w:val="TableText"/>
              <w:jc w:val="left"/>
            </w:pPr>
            <w:r>
              <w:rPr>
                <w:rFonts w:ascii="Times New Roman" w:hAnsi="Times New Roman" w:cs="Times New Roman" w:eastAsia="Times New Roman"/>
                <w:sz w:val="21"/>
              </w:rPr>
              <w:t>7  Conclusion, Recommendations and Future Work</w:t>
            </w:r>
          </w:p>
        </w:tc>
        <w:tc>
          <w:tcPr>
            <w:tcW w:type="dxa" w:w="5868"/>
          </w:tcPr>
          <w:p>
            <w:pPr>
              <w:pStyle w:val="TableText"/>
              <w:jc w:val="left"/>
            </w:pPr>
            <w:r>
              <w:rPr>
                <w:rFonts w:ascii="Times New Roman" w:hAnsi="Times New Roman" w:cs="Times New Roman" w:eastAsia="Times New Roman"/>
                <w:sz w:val="21"/>
              </w:rPr>
              <w:t xml:space="preserve">Conclusions against the objectives, prioritised recommendations and future work.</w:t>
            </w:r>
          </w:p>
        </w:tc>
      </w:tr>
      <w:tr>
        <w:trPr>
          <w:cantSplit/>
        </w:trPr>
        <w:tc>
          <w:tcPr>
            <w:tcW w:type="dxa" w:w="2438"/>
          </w:tcPr>
          <w:p>
            <w:pPr>
              <w:pStyle w:val="TableText"/>
              <w:jc w:val="left"/>
            </w:pPr>
          </w:p>
        </w:tc>
        <w:tc>
          <w:tcPr>
            <w:tcW w:type="dxa" w:w="5868"/>
          </w:tcPr>
          <w:p>
            <w:pPr>
              <w:pStyle w:val="TableText"/>
              <w:jc w:val="left"/>
            </w:pPr>
            <w:r>
              <w:rPr>
                <w:rFonts w:ascii="Times New Roman" w:hAnsi="Times New Roman" w:cs="Times New Roman" w:eastAsia="Times New Roman"/>
                <w:sz w:val="21"/>
              </w:rPr>
              <w:t>References (APA) and Appendices (configuration, source listings, test inventory, reproduction notes).</w:t>
            </w:r>
          </w:p>
        </w:tc>
      </w:tr>
    </w:tbl>
    <w:p>
      <w:pPr>
        <w:spacing w:after="80" w:line="240" w:lineRule="auto"/>
      </w:pPr>
    </w:p>
    <w:p>
      <w:pPr>
        <w:pStyle w:val="Heading1"/>
      </w:pPr>
      <w:r>
        <w:rPr>
          <w:rFonts w:ascii="Times New Roman" w:hAnsi="Times New Roman" w:cs="Times New Roman" w:eastAsia="Times New Roman"/>
          <w:b/>
          <w:sz w:val="24"/>
        </w:rPr>
        <w:t>CHAPTER 2</w:t>
        <w:br/>
      </w:r>
      <w:r>
        <w:rPr>
          <w:rFonts w:ascii="Times New Roman" w:hAnsi="Times New Roman" w:cs="Times New Roman" w:eastAsia="Times New Roman"/>
          <w:b/>
          <w:sz w:val="32"/>
        </w:rPr>
        <w:t>LITERATURE REVIEW</w:t>
      </w:r>
    </w:p>
    <w:p>
      <w:pPr>
        <w:pStyle w:val="Heading2"/>
      </w:pPr>
      <w:r>
        <w:rPr>
          <w:rFonts w:ascii="Times New Roman" w:hAnsi="Times New Roman" w:cs="Times New Roman" w:eastAsia="Times New Roman"/>
          <w:b/>
          <w:sz w:val="28"/>
        </w:rPr>
        <w:t>2.1  INTRODUCTION</w:t>
      </w:r>
    </w:p>
    <w:p>
      <w:pPr>
        <w:pStyle w:val="BodyJ"/>
      </w:pPr>
      <w:r>
        <w:rPr>
          <w:rFonts w:ascii="Times New Roman" w:hAnsi="Times New Roman" w:cs="Times New Roman" w:eastAsia="Times New Roman"/>
        </w:rPr>
        <w:t xml:space="preserve">This chapter summarises the research and technical background on which the project rests. It first describes the clinical conditions and the two investigations considered, then reviews deep learning for volumetric imaging and for one-dimensional signals, multimodal fusion strategies and published cross-attention fusion studies, attention and cross-attention, explainability, and the public data resources that were surveyed. It closes by stating the gap that the project addresses and the position it takes.</w:t>
      </w:r>
    </w:p>
    <w:p>
      <w:pPr>
        <w:pStyle w:val="Heading2"/>
      </w:pPr>
      <w:r>
        <w:rPr>
          <w:rFonts w:ascii="Times New Roman" w:hAnsi="Times New Roman" w:cs="Times New Roman" w:eastAsia="Times New Roman"/>
          <w:b/>
          <w:sz w:val="28"/>
        </w:rPr>
        <w:t>2.2  CLINICAL BACKGROUND</w:t>
      </w:r>
    </w:p>
    <w:p>
      <w:pPr>
        <w:pStyle w:val="Heading3"/>
      </w:pPr>
      <w:r>
        <w:rPr>
          <w:rFonts w:ascii="Times New Roman" w:hAnsi="Times New Roman" w:cs="Times New Roman" w:eastAsia="Times New Roman"/>
          <w:b/>
          <w:sz w:val="24"/>
        </w:rPr>
        <w:t>2.2.1  GLAUCOMA, OPTIC NEURITIS AND CORTICAL VISUAL IMPAIRMENT</w:t>
      </w:r>
    </w:p>
    <w:p>
      <w:pPr>
        <w:pStyle w:val="BodyJ"/>
      </w:pPr>
      <w:r>
        <w:rPr>
          <w:rFonts w:ascii="Times New Roman" w:hAnsi="Times New Roman" w:cs="Times New Roman" w:eastAsia="Times New Roman"/>
        </w:rPr>
        <w:t>Glaucoma is a progressive optic neuropathy and a leading cause of irreversible visual loss; its burden is large and growing (Tham et al., 2014). Although it is usually described through damage to the optic nerve head, post-mortem evidence indicates that degeneration also affects the intracranial optic nerve, the lateral geniculate nucleus and the visual cortex (Gupta et al., 2006). Electrophysiological abnormalities have been reported in ocular hypertension and glaucoma with pattern electroretinography and visual evoked potentials (Parisi et al., 2006). The synthetic data used in this project encode glaucoma by a focal loss of MRI intensity (an atrophy proxy) and a reduced VEP amplitude with near-normal latency.</w:t>
      </w:r>
    </w:p>
    <w:p>
      <w:pPr>
        <w:pStyle w:val="BodyJ"/>
      </w:pPr>
      <w:r>
        <w:rPr>
          <w:rFonts w:ascii="Times New Roman" w:hAnsi="Times New Roman" w:cs="Times New Roman" w:eastAsia="Times New Roman"/>
        </w:rPr>
        <w:t>Optic neuritis is inflammation of the optic nerve. Its classical electrophysiological signature is a prolonged P100 latency of the pattern-reversal VEP with a relatively preserved waveform (Halliday et al., 1972), and the lesion is typically visible on MRI as a focal signal abnormality. Cortical or cerebral visual impairment arises from damage to the posterior visual pathways and visual cortex; the terminology and definitions used for it are not uniform across the literature (Sakki et al., 2018). In this project, optic neuritis and CVI are grouped into a single class and encoded synthetically by a focal MRI hyperintensity (a lesion proxy) and a delayed P100.</w:t>
      </w:r>
    </w:p>
    <w:p>
      <w:pPr>
        <w:pStyle w:val="Caption"/>
        <w:keepNext/>
        <w:spacing w:before="160" w:after="80"/>
      </w:pPr>
      <w:bookmarkStart w:id="1002" w:name="_Ref_Table_2_1"/>
      <w:r>
        <w:rPr>
          <w:rFonts w:ascii="Times New Roman" w:hAnsi="Times New Roman" w:cs="Times New Roman" w:eastAsia="Times New Roman"/>
          <w:b/>
          <w:sz w:val="22"/>
        </w:rPr>
        <w:t xml:space="preserve">Table 2.1: </w:t>
      </w:r>
      <w:r>
        <w:rPr>
          <w:rFonts w:ascii="Times New Roman" w:hAnsi="Times New Roman" w:cs="Times New Roman" w:eastAsia="Times New Roman"/>
          <w:sz w:val="22"/>
        </w:rPr>
        <w:t xml:space="preserve">Clinical conditions considered and the way each is encoded in the original synthetic generator (the current generator, Section 3.5.4, adds random lesion position and per-sample jitter).</w:t>
      </w:r>
      <w:bookmarkEnd w:id="1002"/>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474"/>
        <w:gridCol w:w="2211"/>
        <w:gridCol w:w="2324"/>
        <w:gridCol w:w="2296"/>
      </w:tblGrid>
      <w:tr>
        <w:trPr>
          <w:cantSplit/>
          <w:tblHeader/>
        </w:trPr>
        <w:tc>
          <w:tcPr>
            <w:tcW w:type="dxa" w:w="1474"/>
            <w:shd w:val="clear" w:color="auto" w:fill="D9D9D9"/>
          </w:tcPr>
          <w:p>
            <w:pPr>
              <w:pStyle w:val="TableText"/>
              <w:keepNext/>
              <w:jc w:val="left"/>
            </w:pPr>
            <w:r>
              <w:rPr>
                <w:rFonts w:ascii="Times New Roman" w:hAnsi="Times New Roman" w:cs="Times New Roman" w:eastAsia="Times New Roman"/>
                <w:b/>
                <w:sz w:val="20"/>
              </w:rPr>
              <w:t>Condition</w:t>
            </w:r>
          </w:p>
        </w:tc>
        <w:tc>
          <w:tcPr>
            <w:tcW w:type="dxa" w:w="2211"/>
            <w:shd w:val="clear" w:color="auto" w:fill="D9D9D9"/>
          </w:tcPr>
          <w:p>
            <w:pPr>
              <w:pStyle w:val="TableText"/>
              <w:keepNext/>
              <w:jc w:val="left"/>
            </w:pPr>
            <w:r>
              <w:rPr>
                <w:rFonts w:ascii="Times New Roman" w:hAnsi="Times New Roman" w:cs="Times New Roman" w:eastAsia="Times New Roman"/>
                <w:b/>
                <w:sz w:val="20"/>
              </w:rPr>
              <w:t>Structural (MRI) signature</w:t>
            </w:r>
          </w:p>
        </w:tc>
        <w:tc>
          <w:tcPr>
            <w:tcW w:type="dxa" w:w="2324"/>
            <w:shd w:val="clear" w:color="auto" w:fill="D9D9D9"/>
          </w:tcPr>
          <w:p>
            <w:pPr>
              <w:pStyle w:val="TableText"/>
              <w:keepNext/>
              <w:jc w:val="left"/>
            </w:pPr>
            <w:r>
              <w:rPr>
                <w:rFonts w:ascii="Times New Roman" w:hAnsi="Times New Roman" w:cs="Times New Roman" w:eastAsia="Times New Roman"/>
                <w:b/>
                <w:sz w:val="20"/>
              </w:rPr>
              <w:t>Electrophysiological (VEP) signature</w:t>
            </w:r>
          </w:p>
        </w:tc>
        <w:tc>
          <w:tcPr>
            <w:tcW w:type="dxa" w:w="2296"/>
            <w:shd w:val="clear" w:color="auto" w:fill="D9D9D9"/>
          </w:tcPr>
          <w:p>
            <w:pPr>
              <w:pStyle w:val="TableText"/>
              <w:keepNext/>
              <w:jc w:val="left"/>
            </w:pPr>
            <w:r>
              <w:rPr>
                <w:rFonts w:ascii="Times New Roman" w:hAnsi="Times New Roman" w:cs="Times New Roman" w:eastAsia="Times New Roman"/>
                <w:b/>
                <w:sz w:val="20"/>
              </w:rPr>
              <w:t>Synthetic encoding in this project</w:t>
            </w:r>
          </w:p>
        </w:tc>
      </w:tr>
      <w:tr>
        <w:trPr>
          <w:cantSplit/>
        </w:trPr>
        <w:tc>
          <w:tcPr>
            <w:tcW w:type="dxa" w:w="1474"/>
          </w:tcPr>
          <w:p>
            <w:pPr>
              <w:pStyle w:val="TableText"/>
              <w:keepNext/>
              <w:jc w:val="left"/>
            </w:pPr>
            <w:r>
              <w:rPr>
                <w:rFonts w:ascii="Times New Roman" w:hAnsi="Times New Roman" w:cs="Times New Roman" w:eastAsia="Times New Roman"/>
                <w:sz w:val="20"/>
              </w:rPr>
              <w:t>Healthy control</w:t>
            </w:r>
          </w:p>
        </w:tc>
        <w:tc>
          <w:tcPr>
            <w:tcW w:type="dxa" w:w="2211"/>
          </w:tcPr>
          <w:p>
            <w:pPr>
              <w:pStyle w:val="TableText"/>
              <w:keepNext/>
              <w:jc w:val="left"/>
            </w:pPr>
            <w:r>
              <w:rPr>
                <w:rFonts w:ascii="Times New Roman" w:hAnsi="Times New Roman" w:cs="Times New Roman" w:eastAsia="Times New Roman"/>
                <w:sz w:val="20"/>
              </w:rPr>
              <w:t>No focal abnormality</w:t>
            </w:r>
          </w:p>
        </w:tc>
        <w:tc>
          <w:tcPr>
            <w:tcW w:type="dxa" w:w="2324"/>
          </w:tcPr>
          <w:p>
            <w:pPr>
              <w:pStyle w:val="TableText"/>
              <w:keepNext/>
              <w:jc w:val="left"/>
            </w:pPr>
            <w:r>
              <w:rPr>
                <w:rFonts w:ascii="Times New Roman" w:hAnsi="Times New Roman" w:cs="Times New Roman" w:eastAsia="Times New Roman"/>
                <w:sz w:val="20"/>
              </w:rPr>
              <w:t>P100 near 100 ms with normal amplitude</w:t>
            </w:r>
          </w:p>
        </w:tc>
        <w:tc>
          <w:tcPr>
            <w:tcW w:type="dxa" w:w="2296"/>
          </w:tcPr>
          <w:p>
            <w:pPr>
              <w:pStyle w:val="TableText"/>
              <w:keepNext/>
              <w:jc w:val="left"/>
            </w:pPr>
            <w:r>
              <w:rPr>
                <w:rFonts w:ascii="Times New Roman" w:hAnsi="Times New Roman" w:cs="Times New Roman" w:eastAsia="Times New Roman"/>
                <w:sz w:val="20"/>
              </w:rPr>
              <w:t>Background-like volume; P100 at 100 ms, amplitude 6.0</w:t>
            </w:r>
          </w:p>
        </w:tc>
      </w:tr>
      <w:tr>
        <w:trPr>
          <w:cantSplit/>
        </w:trPr>
        <w:tc>
          <w:tcPr>
            <w:tcW w:type="dxa" w:w="1474"/>
          </w:tcPr>
          <w:p>
            <w:pPr>
              <w:pStyle w:val="TableText"/>
              <w:keepNext/>
              <w:jc w:val="left"/>
            </w:pPr>
            <w:r>
              <w:rPr>
                <w:rFonts w:ascii="Times New Roman" w:hAnsi="Times New Roman" w:cs="Times New Roman" w:eastAsia="Times New Roman"/>
                <w:sz w:val="20"/>
              </w:rPr>
              <w:t>Glaucoma</w:t>
            </w:r>
          </w:p>
        </w:tc>
        <w:tc>
          <w:tcPr>
            <w:tcW w:type="dxa" w:w="2211"/>
          </w:tcPr>
          <w:p>
            <w:pPr>
              <w:pStyle w:val="TableText"/>
              <w:keepNext/>
              <w:jc w:val="left"/>
            </w:pPr>
            <w:r>
              <w:rPr>
                <w:rFonts w:ascii="Times New Roman" w:hAnsi="Times New Roman" w:cs="Times New Roman" w:eastAsia="Times New Roman"/>
                <w:sz w:val="20"/>
              </w:rPr>
              <w:t>Atrophy along the visual pathway (Gupta et al., 2006)</w:t>
            </w:r>
          </w:p>
        </w:tc>
        <w:tc>
          <w:tcPr>
            <w:tcW w:type="dxa" w:w="2324"/>
          </w:tcPr>
          <w:p>
            <w:pPr>
              <w:pStyle w:val="TableText"/>
              <w:keepNext/>
              <w:jc w:val="left"/>
            </w:pPr>
            <w:r>
              <w:rPr>
                <w:rFonts w:ascii="Times New Roman" w:hAnsi="Times New Roman" w:cs="Times New Roman" w:eastAsia="Times New Roman"/>
                <w:sz w:val="20"/>
              </w:rPr>
              <w:t>Amplitude and/or latency abnormalities reported (Parisi et al., 2006)</w:t>
            </w:r>
          </w:p>
        </w:tc>
        <w:tc>
          <w:tcPr>
            <w:tcW w:type="dxa" w:w="2296"/>
          </w:tcPr>
          <w:p>
            <w:pPr>
              <w:pStyle w:val="TableText"/>
              <w:keepNext/>
              <w:jc w:val="left"/>
            </w:pPr>
            <w:r>
              <w:rPr>
                <w:rFonts w:ascii="Times New Roman" w:hAnsi="Times New Roman" w:cs="Times New Roman" w:eastAsia="Times New Roman"/>
                <w:sz w:val="20"/>
              </w:rPr>
              <w:t>Focal intensity reduction (×0.4); P100 at 108 ms, amplitude 2.5</w:t>
            </w:r>
          </w:p>
        </w:tc>
      </w:tr>
      <w:tr>
        <w:trPr>
          <w:cantSplit/>
        </w:trPr>
        <w:tc>
          <w:tcPr>
            <w:tcW w:type="dxa" w:w="1474"/>
          </w:tcPr>
          <w:p>
            <w:pPr>
              <w:pStyle w:val="TableText"/>
              <w:jc w:val="left"/>
            </w:pPr>
            <w:r>
              <w:rPr>
                <w:rFonts w:ascii="Times New Roman" w:hAnsi="Times New Roman" w:cs="Times New Roman" w:eastAsia="Times New Roman"/>
                <w:sz w:val="20"/>
              </w:rPr>
              <w:t>Optic neuritis / CVI</w:t>
            </w:r>
          </w:p>
        </w:tc>
        <w:tc>
          <w:tcPr>
            <w:tcW w:type="dxa" w:w="2211"/>
          </w:tcPr>
          <w:p>
            <w:pPr>
              <w:pStyle w:val="TableText"/>
              <w:jc w:val="left"/>
            </w:pPr>
            <w:r>
              <w:rPr>
                <w:rFonts w:ascii="Times New Roman" w:hAnsi="Times New Roman" w:cs="Times New Roman" w:eastAsia="Times New Roman"/>
                <w:sz w:val="20"/>
              </w:rPr>
              <w:t>Focal lesion; posterior-pathway damage in CVI</w:t>
            </w:r>
          </w:p>
        </w:tc>
        <w:tc>
          <w:tcPr>
            <w:tcW w:type="dxa" w:w="2324"/>
          </w:tcPr>
          <w:p>
            <w:pPr>
              <w:pStyle w:val="TableText"/>
              <w:jc w:val="left"/>
            </w:pPr>
            <w:r>
              <w:rPr>
                <w:rFonts w:ascii="Times New Roman" w:hAnsi="Times New Roman" w:cs="Times New Roman" w:eastAsia="Times New Roman"/>
                <w:sz w:val="20"/>
              </w:rPr>
              <w:t>Delayed P100 (Halliday et al., 1972)</w:t>
            </w:r>
          </w:p>
        </w:tc>
        <w:tc>
          <w:tcPr>
            <w:tcW w:type="dxa" w:w="2296"/>
          </w:tcPr>
          <w:p>
            <w:pPr>
              <w:pStyle w:val="TableText"/>
              <w:jc w:val="left"/>
            </w:pPr>
            <w:r>
              <w:rPr>
                <w:rFonts w:ascii="Times New Roman" w:hAnsi="Times New Roman" w:cs="Times New Roman" w:eastAsia="Times New Roman"/>
                <w:sz w:val="20"/>
              </w:rPr>
              <w:t>Focal hyperintensity (×1.8); P100 at 140 ms, amplitude 4.0</w:t>
            </w:r>
          </w:p>
        </w:tc>
      </w:tr>
    </w:tbl>
    <w:p>
      <w:pPr>
        <w:spacing w:after="80" w:line="240" w:lineRule="auto"/>
      </w:pPr>
    </w:p>
    <w:p>
      <w:pPr>
        <w:pStyle w:val="Heading3"/>
      </w:pPr>
      <w:r>
        <w:rPr>
          <w:rFonts w:ascii="Times New Roman" w:hAnsi="Times New Roman" w:cs="Times New Roman" w:eastAsia="Times New Roman"/>
          <w:b/>
          <w:sz w:val="24"/>
        </w:rPr>
        <w:t>2.2.2  THE VISUAL EVOKED POTENTIAL AND THE P100 COMPONENT</w:t>
      </w:r>
    </w:p>
    <w:p>
      <w:pPr>
        <w:pStyle w:val="BodyJ"/>
      </w:pPr>
      <w:r>
        <w:rPr>
          <w:rFonts w:ascii="Times New Roman" w:hAnsi="Times New Roman" w:cs="Times New Roman" w:eastAsia="Times New Roman"/>
        </w:rPr>
        <w:t>The VEP is the scalp-recorded cortical response to a visual stimulus, most commonly a pattern reversal. In the ISCEV standard, the principal landmarks of the pattern-reversal response are a negative N75, a positive P100 and a negative N135 component, and the timing of the P100 is the key quantitative measure (Odom et al., 2016). Because a clinically significant delay may amount to a few tens of milliseconds, any signal-processing step applied before analysis must not shift the waveform in time. This requirement is the reason the project uses zero-phase filtering, discussed in Section 3.8.</w:t>
      </w:r>
    </w:p>
    <w:p>
      <w:pPr>
        <w:pStyle w:val="Heading2"/>
      </w:pPr>
      <w:r>
        <w:rPr>
          <w:rFonts w:ascii="Times New Roman" w:hAnsi="Times New Roman" w:cs="Times New Roman" w:eastAsia="Times New Roman"/>
          <w:b/>
          <w:sz w:val="28"/>
        </w:rPr>
        <w:t>2.3  DEEP LEARNING FOR VOLUMETRIC NEUROIMAGING</w:t>
      </w:r>
    </w:p>
    <w:p>
      <w:pPr>
        <w:pStyle w:val="BodyJ"/>
      </w:pPr>
      <w:r>
        <w:rPr>
          <w:rFonts w:ascii="Times New Roman" w:hAnsi="Times New Roman" w:cs="Times New Roman" w:eastAsia="Times New Roman"/>
        </w:rPr>
        <w:t xml:space="preserve">Convolutional neural networks extended to three dimensions are the standard way to learn directly from volumetric scans. Efficient multi-scale 3D CNNs were developed for brain-lesion segmentation (Kamnitsas et al., 2017), and the 3D U-Net demonstrated dense volumetric segmentation from sparse annotation (Çiçek et al., 2016). Residual connections, which make deep networks easier to optimise (He et al., 2016), are routinely carried over to the 3D setting, and squeeze-and-excitation blocks re-weight feature channels from global context at negligible cost (Hu et al., 2018). The spatial encoder of this project follows that tradition: a small 3D residual network with squeeze-and-excitation gates that reduces a 64 × 64 × 64 volume to a 4 × 4 × 4 grid of 128-dimensional features.</w:t>
      </w:r>
    </w:p>
    <w:p>
      <w:pPr>
        <w:pStyle w:val="BodyJ"/>
      </w:pPr>
      <w:r>
        <w:rPr>
          <w:rFonts w:ascii="Times New Roman" w:hAnsi="Times New Roman" w:cs="Times New Roman" w:eastAsia="Times New Roman"/>
        </w:rPr>
        <w:t xml:space="preserve">Volumetric pipelines depend on preprocessing. Brain extraction (skull-stripping) is a prerequisite for many analyses, and dedicated tools exist: HD-BET, a neural-network brain extractor for multi-sequence MRI (Isensee et al., 2019), and SynthStrip, a skull-stripping method designed to work across image types (Hoopes et al., 2022). The MONAI framework provides open-source, domain-specific transforms and training components for medical imaging (Cardoso et al., 2022), and nibabel provides access to NIfTI files and their orientation metadata (NiBabel Developers, n.d.). The present project uses nibabel and MONAI for loading, orientation, resampling and cropping, and replaces dedicated skull-stripping with a lightweight intensity-percentile mask or an Otsu threshold with morphological clean-up, both explicitly labelled placeholders (Section 3.7).</w:t>
      </w:r>
    </w:p>
    <w:p>
      <w:pPr>
        <w:pStyle w:val="Heading2"/>
      </w:pPr>
      <w:r>
        <w:rPr>
          <w:rFonts w:ascii="Times New Roman" w:hAnsi="Times New Roman" w:cs="Times New Roman" w:eastAsia="Times New Roman"/>
          <w:b/>
          <w:sz w:val="28"/>
        </w:rPr>
        <w:t>2.4  DEEP LEARNING FOR ONE-DIMENSIONAL ELECTROPHYSIOLOGICAL SIGNALS</w:t>
      </w:r>
    </w:p>
    <w:p>
      <w:pPr>
        <w:pStyle w:val="BodyJ"/>
      </w:pPr>
      <w:r>
        <w:rPr>
          <w:rFonts w:ascii="Times New Roman" w:hAnsi="Times New Roman" w:cs="Times New Roman" w:eastAsia="Times New Roman"/>
        </w:rPr>
        <w:t xml:space="preserve">One-dimensional convolutional networks learn local temporal patterns, such as the rise and fall of a waveform component, with learned filters; stacked strided convolutions then expand the receptive field. Before learning, evoked-potential recordings are conventionally conditioned to remove baseline drift, muscle (EMG) noise and mains interference. A Butterworth filter has a maximally flat pass-band (Butterworth, 1930), and a narrow IIR notch removes the mains frequency; applying either filter forward and backward over the record (as implemented by SciPy's sosfiltfilt and filtfilt, following Gustafsson, 1996) cancels the phase response so that waveform timing is unchanged (Oppenheim &amp; Schafer, 2010). This project adopts exactly this conditioning chain for the VEP and a multi-scale 1D CNN, with parallel convolution kernels of different lengths, as the temporal encoder. For the resting MEG and EEG recordings of the public cohorts no time-domain filtering is applied: each recording is reduced to its log power spectrum (Section 3.8).</w:t>
      </w:r>
    </w:p>
    <w:p>
      <w:pPr>
        <w:pStyle w:val="Heading2"/>
      </w:pPr>
      <w:r>
        <w:rPr>
          <w:rFonts w:ascii="Times New Roman" w:hAnsi="Times New Roman" w:cs="Times New Roman" w:eastAsia="Times New Roman"/>
          <w:b/>
          <w:sz w:val="28"/>
        </w:rPr>
        <w:t>2.5  MULTIMODAL DATA FUSION</w:t>
      </w:r>
    </w:p>
    <w:p>
      <w:pPr>
        <w:pStyle w:val="BodyJ"/>
      </w:pPr>
      <w:r>
        <w:rPr>
          <w:rFonts w:ascii="Times New Roman" w:hAnsi="Times New Roman" w:cs="Times New Roman" w:eastAsia="Times New Roman"/>
        </w:rPr>
        <w:t>Calhoun and Sui (2016) argued that combining brain-imaging modalities can reveal relationships invisible to any single modality because each modality carries complementary information. Surveys of multimodal machine learning (Baltrušaitis et al., 2019) and of deep multimodal learning (Ramachandram &amp; Taylor, 2017) distinguish where in the processing chain the modalities are combined. Table 2.2 summarises the three canonical strategies and the position of the present work.</w:t>
      </w:r>
    </w:p>
    <w:p>
      <w:pPr>
        <w:pStyle w:val="Caption"/>
        <w:keepNext/>
        <w:spacing w:before="160" w:after="80"/>
      </w:pPr>
      <w:bookmarkStart w:id="1003" w:name="_Ref_Table_2_2"/>
      <w:r>
        <w:rPr>
          <w:rFonts w:ascii="Times New Roman" w:hAnsi="Times New Roman" w:cs="Times New Roman" w:eastAsia="Times New Roman"/>
          <w:b/>
          <w:sz w:val="22"/>
        </w:rPr>
        <w:t xml:space="preserve">Table 2.2: </w:t>
      </w:r>
      <w:r>
        <w:rPr>
          <w:rFonts w:ascii="Times New Roman" w:hAnsi="Times New Roman" w:cs="Times New Roman" w:eastAsia="Times New Roman"/>
          <w:sz w:val="22"/>
        </w:rPr>
        <w:t>Canonical fusion strategies and the position of this project.</w:t>
      </w:r>
      <w:bookmarkEnd w:id="1003"/>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474"/>
        <w:gridCol w:w="2268"/>
        <w:gridCol w:w="1984"/>
        <w:gridCol w:w="2579"/>
      </w:tblGrid>
      <w:tr>
        <w:trPr>
          <w:cantSplit/>
          <w:tblHeader/>
        </w:trPr>
        <w:tc>
          <w:tcPr>
            <w:tcW w:type="dxa" w:w="1474"/>
            <w:shd w:val="clear" w:color="auto" w:fill="D9D9D9"/>
          </w:tcPr>
          <w:p>
            <w:pPr>
              <w:pStyle w:val="TableText"/>
              <w:keepNext/>
              <w:jc w:val="left"/>
            </w:pPr>
            <w:r>
              <w:rPr>
                <w:rFonts w:ascii="Times New Roman" w:hAnsi="Times New Roman" w:cs="Times New Roman" w:eastAsia="Times New Roman"/>
                <w:b/>
                <w:sz w:val="20"/>
              </w:rPr>
              <w:t>Strategy</w:t>
            </w:r>
          </w:p>
        </w:tc>
        <w:tc>
          <w:tcPr>
            <w:tcW w:type="dxa" w:w="2268"/>
            <w:shd w:val="clear" w:color="auto" w:fill="D9D9D9"/>
          </w:tcPr>
          <w:p>
            <w:pPr>
              <w:pStyle w:val="TableText"/>
              <w:keepNext/>
              <w:jc w:val="left"/>
            </w:pPr>
            <w:r>
              <w:rPr>
                <w:rFonts w:ascii="Times New Roman" w:hAnsi="Times New Roman" w:cs="Times New Roman" w:eastAsia="Times New Roman"/>
                <w:b/>
                <w:sz w:val="20"/>
              </w:rPr>
              <w:t>How modalities are combined</w:t>
            </w:r>
          </w:p>
        </w:tc>
        <w:tc>
          <w:tcPr>
            <w:tcW w:type="dxa" w:w="1984"/>
            <w:shd w:val="clear" w:color="auto" w:fill="D9D9D9"/>
          </w:tcPr>
          <w:p>
            <w:pPr>
              <w:pStyle w:val="TableText"/>
              <w:keepNext/>
              <w:jc w:val="left"/>
            </w:pPr>
            <w:r>
              <w:rPr>
                <w:rFonts w:ascii="Times New Roman" w:hAnsi="Times New Roman" w:cs="Times New Roman" w:eastAsia="Times New Roman"/>
                <w:b/>
                <w:sz w:val="20"/>
              </w:rPr>
              <w:t>Advantages</w:t>
            </w:r>
          </w:p>
        </w:tc>
        <w:tc>
          <w:tcPr>
            <w:tcW w:type="dxa" w:w="2580"/>
            <w:shd w:val="clear" w:color="auto" w:fill="D9D9D9"/>
          </w:tcPr>
          <w:p>
            <w:pPr>
              <w:pStyle w:val="TableText"/>
              <w:keepNext/>
              <w:jc w:val="left"/>
            </w:pPr>
            <w:r>
              <w:rPr>
                <w:rFonts w:ascii="Times New Roman" w:hAnsi="Times New Roman" w:cs="Times New Roman" w:eastAsia="Times New Roman"/>
                <w:b/>
                <w:sz w:val="20"/>
              </w:rPr>
              <w:t>Disadvantages for MRI + VEP</w:t>
            </w:r>
          </w:p>
        </w:tc>
      </w:tr>
      <w:tr>
        <w:trPr>
          <w:cantSplit/>
        </w:trPr>
        <w:tc>
          <w:tcPr>
            <w:tcW w:type="dxa" w:w="1474"/>
          </w:tcPr>
          <w:p>
            <w:pPr>
              <w:pStyle w:val="TableText"/>
              <w:keepNext/>
              <w:jc w:val="left"/>
            </w:pPr>
            <w:r>
              <w:rPr>
                <w:rFonts w:ascii="Times New Roman" w:hAnsi="Times New Roman" w:cs="Times New Roman" w:eastAsia="Times New Roman"/>
                <w:sz w:val="20"/>
              </w:rPr>
              <w:t>Early (input-level)</w:t>
            </w:r>
          </w:p>
        </w:tc>
        <w:tc>
          <w:tcPr>
            <w:tcW w:type="dxa" w:w="2268"/>
          </w:tcPr>
          <w:p>
            <w:pPr>
              <w:pStyle w:val="TableText"/>
              <w:keepNext/>
              <w:jc w:val="left"/>
            </w:pPr>
            <w:r>
              <w:rPr>
                <w:rFonts w:ascii="Times New Roman" w:hAnsi="Times New Roman" w:cs="Times New Roman" w:eastAsia="Times New Roman"/>
                <w:sz w:val="20"/>
              </w:rPr>
              <w:t>Raw or minimally processed inputs are joined before learning</w:t>
            </w:r>
          </w:p>
        </w:tc>
        <w:tc>
          <w:tcPr>
            <w:tcW w:type="dxa" w:w="1984"/>
          </w:tcPr>
          <w:p>
            <w:pPr>
              <w:pStyle w:val="TableText"/>
              <w:keepNext/>
              <w:jc w:val="left"/>
            </w:pPr>
            <w:r>
              <w:rPr>
                <w:rFonts w:ascii="Times New Roman" w:hAnsi="Times New Roman" w:cs="Times New Roman" w:eastAsia="Times New Roman"/>
                <w:sz w:val="20"/>
              </w:rPr>
              <w:t>Simple; allows low-level interaction</w:t>
            </w:r>
          </w:p>
        </w:tc>
        <w:tc>
          <w:tcPr>
            <w:tcW w:type="dxa" w:w="2580"/>
          </w:tcPr>
          <w:p>
            <w:pPr>
              <w:pStyle w:val="TableText"/>
              <w:keepNext/>
              <w:jc w:val="left"/>
            </w:pPr>
            <w:r>
              <w:rPr>
                <w:rFonts w:ascii="Times New Roman" w:hAnsi="Times New Roman" w:cs="Times New Roman" w:eastAsia="Times New Roman"/>
                <w:sz w:val="20"/>
              </w:rPr>
              <w:t>A 3D volume and a 1D waveform have no natural common input space; severe misalignment</w:t>
            </w:r>
          </w:p>
        </w:tc>
      </w:tr>
      <w:tr>
        <w:trPr>
          <w:cantSplit/>
        </w:trPr>
        <w:tc>
          <w:tcPr>
            <w:tcW w:type="dxa" w:w="1474"/>
          </w:tcPr>
          <w:p>
            <w:pPr>
              <w:pStyle w:val="TableText"/>
              <w:keepNext/>
              <w:jc w:val="left"/>
            </w:pPr>
            <w:r>
              <w:rPr>
                <w:rFonts w:ascii="Times New Roman" w:hAnsi="Times New Roman" w:cs="Times New Roman" w:eastAsia="Times New Roman"/>
                <w:sz w:val="20"/>
              </w:rPr>
              <w:t>Late (decision-level)</w:t>
            </w:r>
          </w:p>
        </w:tc>
        <w:tc>
          <w:tcPr>
            <w:tcW w:type="dxa" w:w="2268"/>
          </w:tcPr>
          <w:p>
            <w:pPr>
              <w:pStyle w:val="TableText"/>
              <w:keepNext/>
              <w:jc w:val="left"/>
            </w:pPr>
            <w:r>
              <w:rPr>
                <w:rFonts w:ascii="Times New Roman" w:hAnsi="Times New Roman" w:cs="Times New Roman" w:eastAsia="Times New Roman"/>
                <w:sz w:val="20"/>
              </w:rPr>
              <w:t>Unimodal predictions are averaged or voted</w:t>
            </w:r>
          </w:p>
        </w:tc>
        <w:tc>
          <w:tcPr>
            <w:tcW w:type="dxa" w:w="1984"/>
          </w:tcPr>
          <w:p>
            <w:pPr>
              <w:pStyle w:val="TableText"/>
              <w:keepNext/>
              <w:jc w:val="left"/>
            </w:pPr>
            <w:r>
              <w:rPr>
                <w:rFonts w:ascii="Times New Roman" w:hAnsi="Times New Roman" w:cs="Times New Roman" w:eastAsia="Times New Roman"/>
                <w:sz w:val="20"/>
              </w:rPr>
              <w:t>Modular; tolerant of a missing modality</w:t>
            </w:r>
          </w:p>
        </w:tc>
        <w:tc>
          <w:tcPr>
            <w:tcW w:type="dxa" w:w="2580"/>
          </w:tcPr>
          <w:p>
            <w:pPr>
              <w:pStyle w:val="TableText"/>
              <w:keepNext/>
              <w:jc w:val="left"/>
            </w:pPr>
            <w:r>
              <w:rPr>
                <w:rFonts w:ascii="Times New Roman" w:hAnsi="Times New Roman" w:cs="Times New Roman" w:eastAsia="Times New Roman"/>
                <w:sz w:val="20"/>
              </w:rPr>
              <w:t>No interaction between modalities before the decision; subtle cross-modal evidence is lost</w:t>
            </w:r>
          </w:p>
        </w:tc>
      </w:tr>
      <w:tr>
        <w:trPr>
          <w:cantSplit/>
        </w:trPr>
        <w:tc>
          <w:tcPr>
            <w:tcW w:type="dxa" w:w="1474"/>
          </w:tcPr>
          <w:p>
            <w:pPr>
              <w:pStyle w:val="TableText"/>
              <w:jc w:val="left"/>
            </w:pPr>
            <w:r>
              <w:rPr>
                <w:rFonts w:ascii="Times New Roman" w:hAnsi="Times New Roman" w:cs="Times New Roman" w:eastAsia="Times New Roman"/>
                <w:sz w:val="20"/>
              </w:rPr>
              <w:t>Intermediate (feature-level)</w:t>
            </w:r>
          </w:p>
        </w:tc>
        <w:tc>
          <w:tcPr>
            <w:tcW w:type="dxa" w:w="2268"/>
          </w:tcPr>
          <w:p>
            <w:pPr>
              <w:pStyle w:val="TableText"/>
              <w:jc w:val="left"/>
            </w:pPr>
            <w:r>
              <w:rPr>
                <w:rFonts w:ascii="Times New Roman" w:hAnsi="Times New Roman" w:cs="Times New Roman" w:eastAsia="Times New Roman"/>
                <w:sz w:val="20"/>
              </w:rPr>
              <w:t>Learned features are combined, by concatenation, gating or attention</w:t>
            </w:r>
          </w:p>
        </w:tc>
        <w:tc>
          <w:tcPr>
            <w:tcW w:type="dxa" w:w="1984"/>
          </w:tcPr>
          <w:p>
            <w:pPr>
              <w:pStyle w:val="TableText"/>
              <w:jc w:val="left"/>
            </w:pPr>
            <w:r>
              <w:rPr>
                <w:rFonts w:ascii="Times New Roman" w:hAnsi="Times New Roman" w:cs="Times New Roman" w:eastAsia="Times New Roman"/>
                <w:sz w:val="20"/>
              </w:rPr>
              <w:t>Learns task-specific interactions</w:t>
            </w:r>
          </w:p>
        </w:tc>
        <w:tc>
          <w:tcPr>
            <w:tcW w:type="dxa" w:w="2580"/>
          </w:tcPr>
          <w:p>
            <w:pPr>
              <w:pStyle w:val="TableText"/>
              <w:jc w:val="left"/>
            </w:pPr>
            <w:r>
              <w:rPr>
                <w:rFonts w:ascii="Times New Roman" w:hAnsi="Times New Roman" w:cs="Times New Roman" w:eastAsia="Times New Roman"/>
                <w:sz w:val="20"/>
              </w:rPr>
              <w:t>Concatenation weights all features equally; attention is needed to express relevance</w:t>
            </w:r>
          </w:p>
        </w:tc>
      </w:tr>
      <w:tr>
        <w:trPr>
          <w:cantSplit/>
        </w:trPr>
        <w:tc>
          <w:tcPr>
            <w:tcW w:type="dxa" w:w="1474"/>
          </w:tcPr>
          <w:p>
            <w:pPr>
              <w:pStyle w:val="TableText"/>
              <w:jc w:val="left"/>
            </w:pPr>
            <w:r>
              <w:rPr>
                <w:rFonts w:ascii="Times New Roman" w:hAnsi="Times New Roman" w:cs="Times New Roman" w:eastAsia="Times New Roman"/>
                <w:b/>
                <w:sz w:val="20"/>
              </w:rPr>
              <w:t>This project</w:t>
            </w:r>
          </w:p>
        </w:tc>
        <w:tc>
          <w:tcPr>
            <w:tcW w:type="dxa" w:w="2268"/>
          </w:tcPr>
          <w:p>
            <w:pPr>
              <w:pStyle w:val="TableText"/>
              <w:jc w:val="left"/>
            </w:pPr>
            <w:r>
              <w:rPr>
                <w:rFonts w:ascii="Times New Roman" w:hAnsi="Times New Roman" w:cs="Times New Roman" w:eastAsia="Times New Roman"/>
                <w:sz w:val="20"/>
              </w:rPr>
              <w:t xml:space="preserve">Intermediate fusion by gated bidirectional cross-attention (each stream queries the other), compared with concatenation, element-wise sum and unimodal baselines, plus auxiliary unimodal heads</w:t>
            </w:r>
          </w:p>
        </w:tc>
        <w:tc>
          <w:tcPr>
            <w:tcW w:type="dxa" w:w="1984"/>
          </w:tcPr>
          <w:p>
            <w:pPr>
              <w:pStyle w:val="TableText"/>
              <w:jc w:val="left"/>
            </w:pPr>
            <w:r>
              <w:rPr>
                <w:rFonts w:ascii="Times New Roman" w:hAnsi="Times New Roman" w:cs="Times New Roman" w:eastAsia="Times New Roman"/>
                <w:sz w:val="20"/>
              </w:rPr>
              <w:t xml:space="preserve">Selective, inspectable interaction in both directions; unimodal supervision limits modality collapse</w:t>
            </w:r>
          </w:p>
        </w:tc>
        <w:tc>
          <w:tcPr>
            <w:tcW w:type="dxa" w:w="2580"/>
          </w:tcPr>
          <w:p>
            <w:pPr>
              <w:pStyle w:val="TableText"/>
              <w:jc w:val="left"/>
            </w:pPr>
            <w:r>
              <w:rPr>
                <w:rFonts w:ascii="Times New Roman" w:hAnsi="Times New Roman" w:cs="Times New Roman" w:eastAsia="Times New Roman"/>
                <w:sz w:val="20"/>
              </w:rPr>
              <w:t xml:space="preserve">Requires paired data; learned tokens are not calibrated anatomy or time; the benefit over simpler fusion has to be tested (Chapter 5)</w:t>
            </w:r>
          </w:p>
        </w:tc>
      </w:tr>
    </w:tbl>
    <w:p>
      <w:pPr>
        <w:spacing w:after="80" w:line="240" w:lineRule="auto"/>
      </w:pPr>
    </w:p>
    <w:p>
      <w:pPr>
        <w:pStyle w:val="BodyJ"/>
      </w:pPr>
      <w:r>
        <w:rPr>
          <w:rFonts w:ascii="Times New Roman" w:hAnsi="Times New Roman" w:cs="Times New Roman" w:eastAsia="Times New Roman"/>
          <w:b/>
        </w:rPr>
        <w:t xml:space="preserve">Cross-attention fusion in published studies.</w:t>
      </w:r>
      <w:r>
        <w:rPr>
          <w:rFonts w:ascii="Times New Roman" w:hAnsi="Times New Roman" w:cs="Times New Roman" w:eastAsia="Times New Roman"/>
        </w:rPr>
        <w:t xml:space="preserve"> Two recent studies apply cross-attention to multimodal medical data and are the closest published work; Table 2.4 summarises them. CAMF fuses structural and functional MRI for schizophrenia diagnosis with self- and cross-attention (Zhou et al., 2024). It was developed on 620 subjects pooled from three cohorts (COBRE, FBIRN and MPRC) and checked on an independent cohort (BSNIP, 442 subjects); the authors report an accuracy of 74.4% (67.9% on BSNIP) and that cross-attention with adaptive weights outperforms concatenation, element-wise sum and single-modality models. DRIFA-Net combines dual attention modules with iterative alignment and is evaluated on five public medical-imaging datasets (dermoscopy, cytology, CT and MRI) for classification with three to seven classes and for tumour segmentation, with accuracies of 95.6% to 99.7% on the four classification datasets; the authors report that both attention modules are better than either alone (Dhar et al., 2025). Both studies tend to report one headline number per dataset, which makes it difficult to see when, and how much, the attention mechanism contributes. Their results are quoted for context only: the tasks, data and modalities differ from those of this project, so the figures are not comparable with the results of this report.</w:t>
      </w:r>
    </w:p>
    <w:p>
      <w:pPr>
        <w:pStyle w:val="Heading2"/>
      </w:pPr>
      <w:r>
        <w:rPr>
          <w:rFonts w:ascii="Times New Roman" w:hAnsi="Times New Roman" w:cs="Times New Roman" w:eastAsia="Times New Roman"/>
          <w:b/>
          <w:sz w:val="28"/>
        </w:rPr>
        <w:t>2.6  ATTENTION AND CROSS-ATTENTION</w:t>
      </w:r>
    </w:p>
    <w:p>
      <w:pPr>
        <w:pStyle w:val="BodyJ"/>
      </w:pPr>
      <w:r>
        <w:rPr>
          <w:rFonts w:ascii="Times New Roman" w:hAnsi="Times New Roman" w:cs="Times New Roman" w:eastAsia="Times New Roman"/>
        </w:rPr>
        <w:t xml:space="preserve">The Transformer replaced recurrence with scaled dot-product attention, in which queries are compared with keys and the resulting weights are used to average values (Vaswani et al., 2017). Attention is </w:t>
      </w:r>
      <w:r>
        <w:rPr>
          <w:rFonts w:ascii="Times New Roman" w:hAnsi="Times New Roman" w:cs="Times New Roman" w:eastAsia="Times New Roman"/>
          <w:i/>
        </w:rPr>
        <w:t>self</w:t>
      </w:r>
      <w:r>
        <w:rPr>
          <w:rFonts w:ascii="Times New Roman" w:hAnsi="Times New Roman" w:cs="Times New Roman" w:eastAsia="Times New Roman"/>
        </w:rPr>
        <w:t xml:space="preserve">-attention when queries, keys and values come from one sequence and </w:t>
      </w:r>
      <w:r>
        <w:rPr>
          <w:rFonts w:ascii="Times New Roman" w:hAnsi="Times New Roman" w:cs="Times New Roman" w:eastAsia="Times New Roman"/>
          <w:i/>
        </w:rPr>
        <w:t>cross</w:t>
      </w:r>
      <w:r>
        <w:rPr>
          <w:rFonts w:ascii="Times New Roman" w:hAnsi="Times New Roman" w:cs="Times New Roman" w:eastAsia="Times New Roman"/>
        </w:rPr>
        <w:t>-attention when the queries come from one sequence and the keys and values from another. Vision Transformers showed that images can be treated as sequences of patch tokens (Dosovitskiy et al., 2021), which is the same device used here to turn a volume into 64 spatial tokens. Cross-modal attention has been used to relate modalities that are not time-aligned: the multimodal transformer lets one modality attend to another without requiring explicit alignment (Tsai et al., 2019), and ViLBERT uses co-attentional layers to exchange information between visual and linguistic streams (Lu et al., 2019).</w:t>
      </w:r>
    </w:p>
    <w:p>
      <w:pPr>
        <w:pStyle w:val="BodyJ"/>
      </w:pPr>
      <w:r>
        <w:rPr>
          <w:rFonts w:ascii="Times New Roman" w:hAnsi="Times New Roman" w:cs="Times New Roman" w:eastAsia="Times New Roman"/>
        </w:rPr>
        <w:t xml:space="preserve">The central design choice of this project follows from that line of work. Rather than flattening and concatenating the two modalities, the streams are allowed to query each other. In the original design each spatial token was a query that asks which temporal tokens are relevant to it; the final design is bidirectional, so that each temporal token also queries the spatial tokens, and learned gates set how much each direction contributes. In both directions the softmax yields an attention matrix that can be inspected. Because the published evidence that cross-attention beats simpler fusion is limited to specific tasks (Zhou et al., 2024), the benefit is tested here against concatenation, element-wise sum and unimodal baselines (Chapters 3 to 5) and not assumed.</w:t>
      </w:r>
    </w:p>
    <w:p>
      <w:pPr>
        <w:pStyle w:val="BodyJ"/>
      </w:pPr>
      <w:r>
        <w:rPr>
          <w:rFonts w:ascii="Times New Roman" w:hAnsi="Times New Roman" w:cs="Times New Roman" w:eastAsia="Times New Roman"/>
        </w:rPr>
        <w:t xml:space="preserve">Two normalisation layers that appear in the model are also drawn from the literature: batch normalisation in the convolutional encoders (Ioffe &amp; Szegedy, 2015) and layer normalisation in the fusion block (Ba et al., 2016). The optimiser is AdamW, a variant of Adam (Kingma &amp; Ba, 2015) with decoupled weight decay.</w:t>
      </w:r>
    </w:p>
    <w:p>
      <w:pPr>
        <w:pStyle w:val="Heading2"/>
      </w:pPr>
      <w:r>
        <w:rPr>
          <w:rFonts w:ascii="Times New Roman" w:hAnsi="Times New Roman" w:cs="Times New Roman" w:eastAsia="Times New Roman"/>
          <w:b/>
          <w:sz w:val="28"/>
        </w:rPr>
        <w:t>2.7  EXPLAINABILITY</w:t>
      </w:r>
    </w:p>
    <w:p>
      <w:pPr>
        <w:pStyle w:val="BodyJ"/>
      </w:pPr>
      <w:r>
        <w:rPr>
          <w:rFonts w:ascii="Times New Roman" w:hAnsi="Times New Roman" w:cs="Times New Roman" w:eastAsia="Times New Roman"/>
        </w:rPr>
        <w:t>Gradient-weighted class activation mapping (Grad-CAM) uses the gradients of a class score with respect to the activations of a convolutional layer to produce a coarse localisation map (Selvaraju et al., 2017). The project applies the same idea in three dimensions, starting the back-propagation from the fused logit so that the map reflects the multimodal decision.</w:t>
      </w:r>
    </w:p>
    <w:p>
      <w:pPr>
        <w:pStyle w:val="BodyJ"/>
      </w:pPr>
      <w:r>
        <w:rPr>
          <w:rFonts w:ascii="Times New Roman" w:hAnsi="Times New Roman" w:cs="Times New Roman" w:eastAsia="Times New Roman"/>
        </w:rPr>
        <w:t>The literature also warns against over-interpreting explanation artefacts. Attention weights are not automatically faithful explanations of a model's output (Jain &amp; Wallace, 2019), although whether they can serve as explanations depends on how that question is defined and tested (Wiegreffe &amp; Pinter, 2019). Saliency methods can also produce visually plausible maps that are insensitive to the model's learned parameters, which motivates sanity checks such as randomising weights (Adebayo et al., 2018). These cautions shape how the outputs of this project are described: as inspection aids, not as clinical evidence.</w:t>
      </w:r>
    </w:p>
    <w:p>
      <w:pPr>
        <w:pStyle w:val="Heading2"/>
      </w:pPr>
      <w:r>
        <w:rPr>
          <w:rFonts w:ascii="Times New Roman" w:hAnsi="Times New Roman" w:cs="Times New Roman" w:eastAsia="Times New Roman"/>
          <w:b/>
          <w:sz w:val="28"/>
        </w:rPr>
        <w:t>2.8  PUBLIC DATA RESOURCES AND THE LABELLING GAP</w:t>
      </w:r>
    </w:p>
    <w:p>
      <w:pPr>
        <w:pStyle w:val="BodyJ"/>
      </w:pPr>
      <w:r>
        <w:rPr>
          <w:rFonts w:ascii="Times New Roman" w:hAnsi="Times New Roman" w:cs="Times New Roman" w:eastAsia="Times New Roman"/>
        </w:rPr>
        <w:t>Several public repositories were identified in the project blueprint as sources of structural and functional neuroimaging and of electrophysiology: OpenNeuro datasets (the project lists ds003787 and ds004496) (Gong et al., 2023; Himmelberg et al., 2026), the Human Connectome Project including its 7 T retinotopy data (Van Essen et al., 2013; Benson et al., 2018), the OASIS-3 database (LaMontagne et al., 2019), the MNE-Python sample dataset (Gramfort et al., 2013) and PhysioNet (Goldberger et al., 2000). They are valuable for developing preprocessing and for retinotopic mapping of the visual cortex, but, as the project blueprint itself notes, none of them provides the Healthy / Glaucoma / Optic Neuritis-CVI diagnosis labels that this model targets. A labelled, paired clinical cohort, or a clinical partner to label a subset, is still needed before real training is possible. This labelling gap is the reason for the synthetic data generator described in Section 3.5.</w:t>
      </w:r>
    </w:p>
    <w:p>
      <w:pPr>
        <w:pStyle w:val="BodyJ"/>
      </w:pPr>
      <w:r>
        <w:rPr>
          <w:rFonts w:ascii="Times New Roman" w:hAnsi="Times New Roman" w:cs="Times New Roman" w:eastAsia="Times New Roman"/>
        </w:rPr>
        <w:t>Because the labelling gap cannot be closed with public data, the project also searched for public cohorts that pair a T1-weighted MRI with a resting electrophysiological recording and have a patient group and a control group, so that the whole pipeline could at least be tested on real data. Two OpenNeuro datasets met these conditions: ds003568, major depressive disorder versus healthy adolescents with MEG (Liuzzi et al., 2023), and ds007181, zoster-associated neuralgia versus healthy controls with polysomnographic EEG (Li et al., 2026). Neither contains VEPs or eye disease; they are described in Section 3.4.2.</w:t>
      </w:r>
    </w:p>
    <w:p>
      <w:pPr>
        <w:pStyle w:val="Heading2"/>
      </w:pPr>
      <w:r>
        <w:rPr>
          <w:rFonts w:ascii="Times New Roman" w:hAnsi="Times New Roman" w:cs="Times New Roman" w:eastAsia="Times New Roman"/>
          <w:b/>
          <w:sz w:val="28"/>
        </w:rPr>
        <w:t>2.9  RESEARCH GAP AND POSITION OF THIS PROJECT</w:t>
      </w:r>
    </w:p>
    <w:p>
      <w:pPr>
        <w:pStyle w:val="BodyJ"/>
      </w:pPr>
      <w:r>
        <w:rPr>
          <w:rFonts w:ascii="Times New Roman" w:hAnsi="Times New Roman" w:cs="Times New Roman" w:eastAsia="Times New Roman"/>
        </w:rPr>
        <w:t xml:space="preserve">The literature reviewed above establishes the ingredients: complementary information in MRI and VEP, 3D and 1D convolutional encoders, cross-modal attention and Grad-CAM. Published cross-attention fusion studies (Zhou et al., 2024; Dhar et al., 2025) report that attention-based fusion outperforms simpler alternatives on their own tasks, but they combine imaging data, rely on datasets with diagnostic labels, and tend to report a single headline accuracy, so it is hard to tell when fusion is responsible for a gain. To our knowledge no published study fuses MRI with an electrophysiological signal for visual-pathway disorders, and no public dataset with paired MRI, VEP and these diagnoses exists. The project therefore takes the following position. First, it provides a transparent, tested, configuration-driven pipeline that connects the ingredients for the pairing of 3D structural MRI and a 1D electrophysiological signal. Second, it asks the question that the published studies leave open, namely when cross-attention fusion helps compared with concatenation, element-wise sum and unimodal models, by means of a controlled synthetic benchmark. Third, it tests the pipeline candidly on public real cohorts, with leave-one-cohort-out training and permutation tests. It does not claim a new learning algorithm, and no clinical performance claim is made.</w:t>
      </w:r>
    </w:p>
    <w:p>
      <w:pPr>
        <w:pStyle w:val="Caption"/>
        <w:keepNext/>
        <w:spacing w:before="160" w:after="80"/>
      </w:pPr>
      <w:bookmarkStart w:id="1004" w:name="_Ref_Table_2_3"/>
      <w:r>
        <w:rPr>
          <w:rFonts w:ascii="Times New Roman" w:hAnsi="Times New Roman" w:cs="Times New Roman" w:eastAsia="Times New Roman"/>
          <w:b/>
          <w:sz w:val="22"/>
        </w:rPr>
        <w:t xml:space="preserve">Table 2.3: </w:t>
      </w:r>
      <w:r>
        <w:rPr>
          <w:rFonts w:ascii="Times New Roman" w:hAnsi="Times New Roman" w:cs="Times New Roman" w:eastAsia="Times New Roman"/>
          <w:sz w:val="22"/>
        </w:rPr>
        <w:t>Key references and where each is used in the project.</w:t>
      </w:r>
      <w:bookmarkEnd w:id="1004"/>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38"/>
        <w:gridCol w:w="2608"/>
        <w:gridCol w:w="3260"/>
      </w:tblGrid>
      <w:tr>
        <w:trPr>
          <w:cantSplit/>
          <w:tblHeader/>
        </w:trPr>
        <w:tc>
          <w:tcPr>
            <w:tcW w:type="dxa" w:w="2438"/>
            <w:shd w:val="clear" w:color="auto" w:fill="D9D9D9"/>
          </w:tcPr>
          <w:p>
            <w:pPr>
              <w:pStyle w:val="TableText"/>
              <w:keepNext/>
              <w:jc w:val="left"/>
            </w:pPr>
            <w:r>
              <w:rPr>
                <w:rFonts w:ascii="Times New Roman" w:hAnsi="Times New Roman" w:cs="Times New Roman" w:eastAsia="Times New Roman"/>
                <w:b/>
                <w:sz w:val="20"/>
              </w:rPr>
              <w:t>Reference</w:t>
            </w:r>
          </w:p>
        </w:tc>
        <w:tc>
          <w:tcPr>
            <w:tcW w:type="dxa" w:w="2608"/>
            <w:shd w:val="clear" w:color="auto" w:fill="D9D9D9"/>
          </w:tcPr>
          <w:p>
            <w:pPr>
              <w:pStyle w:val="TableText"/>
              <w:keepNext/>
              <w:jc w:val="left"/>
            </w:pPr>
            <w:r>
              <w:rPr>
                <w:rFonts w:ascii="Times New Roman" w:hAnsi="Times New Roman" w:cs="Times New Roman" w:eastAsia="Times New Roman"/>
                <w:b/>
                <w:sz w:val="20"/>
              </w:rPr>
              <w:t>Contribution</w:t>
            </w:r>
          </w:p>
        </w:tc>
        <w:tc>
          <w:tcPr>
            <w:tcW w:type="dxa" w:w="3260"/>
            <w:shd w:val="clear" w:color="auto" w:fill="D9D9D9"/>
          </w:tcPr>
          <w:p>
            <w:pPr>
              <w:pStyle w:val="TableText"/>
              <w:keepNext/>
              <w:jc w:val="left"/>
            </w:pPr>
            <w:r>
              <w:rPr>
                <w:rFonts w:ascii="Times New Roman" w:hAnsi="Times New Roman" w:cs="Times New Roman" w:eastAsia="Times New Roman"/>
                <w:b/>
                <w:sz w:val="20"/>
              </w:rPr>
              <w:t>Use in this project</w:t>
            </w:r>
          </w:p>
        </w:tc>
      </w:tr>
      <w:tr>
        <w:trPr>
          <w:cantSplit/>
        </w:trPr>
        <w:tc>
          <w:tcPr>
            <w:tcW w:type="dxa" w:w="2438"/>
          </w:tcPr>
          <w:p>
            <w:pPr>
              <w:pStyle w:val="TableText"/>
              <w:keepNext/>
              <w:jc w:val="left"/>
            </w:pPr>
            <w:r>
              <w:rPr>
                <w:rFonts w:ascii="Times New Roman" w:hAnsi="Times New Roman" w:cs="Times New Roman" w:eastAsia="Times New Roman"/>
                <w:sz w:val="20"/>
              </w:rPr>
              <w:t>Vaswani et al. (2017)</w:t>
            </w:r>
          </w:p>
        </w:tc>
        <w:tc>
          <w:tcPr>
            <w:tcW w:type="dxa" w:w="2608"/>
          </w:tcPr>
          <w:p>
            <w:pPr>
              <w:pStyle w:val="TableText"/>
              <w:keepNext/>
              <w:jc w:val="left"/>
            </w:pPr>
            <w:r>
              <w:rPr>
                <w:rFonts w:ascii="Times New Roman" w:hAnsi="Times New Roman" w:cs="Times New Roman" w:eastAsia="Times New Roman"/>
                <w:sz w:val="20"/>
              </w:rPr>
              <w:t>Scaled dot-product and multi-head attention</w:t>
            </w:r>
          </w:p>
        </w:tc>
        <w:tc>
          <w:tcPr>
            <w:tcW w:type="dxa" w:w="3260"/>
          </w:tcPr>
          <w:p>
            <w:pPr>
              <w:pStyle w:val="TableText"/>
              <w:keepNext/>
              <w:jc w:val="left"/>
            </w:pPr>
            <w:r>
              <w:rPr>
                <w:rFonts w:ascii="Times New Roman" w:hAnsi="Times New Roman" w:cs="Times New Roman" w:eastAsia="Times New Roman"/>
                <w:sz w:val="20"/>
              </w:rPr>
              <w:t>Cross-attention fusion module (Section 4.4)</w:t>
            </w:r>
          </w:p>
        </w:tc>
      </w:tr>
      <w:tr>
        <w:trPr>
          <w:cantSplit/>
        </w:trPr>
        <w:tc>
          <w:tcPr>
            <w:tcW w:type="dxa" w:w="2438"/>
          </w:tcPr>
          <w:p>
            <w:pPr>
              <w:pStyle w:val="TableText"/>
              <w:keepNext/>
              <w:jc w:val="left"/>
            </w:pPr>
            <w:r>
              <w:rPr>
                <w:rFonts w:ascii="Times New Roman" w:hAnsi="Times New Roman" w:cs="Times New Roman" w:eastAsia="Times New Roman"/>
                <w:sz w:val="20"/>
              </w:rPr>
              <w:t>He et al. (2016)</w:t>
            </w:r>
          </w:p>
        </w:tc>
        <w:tc>
          <w:tcPr>
            <w:tcW w:type="dxa" w:w="2608"/>
          </w:tcPr>
          <w:p>
            <w:pPr>
              <w:pStyle w:val="TableText"/>
              <w:keepNext/>
              <w:jc w:val="left"/>
            </w:pPr>
            <w:r>
              <w:rPr>
                <w:rFonts w:ascii="Times New Roman" w:hAnsi="Times New Roman" w:cs="Times New Roman" w:eastAsia="Times New Roman"/>
                <w:sz w:val="20"/>
              </w:rPr>
              <w:t>Residual learning</w:t>
            </w:r>
          </w:p>
        </w:tc>
        <w:tc>
          <w:tcPr>
            <w:tcW w:type="dxa" w:w="3260"/>
          </w:tcPr>
          <w:p>
            <w:pPr>
              <w:pStyle w:val="TableText"/>
              <w:keepNext/>
              <w:jc w:val="left"/>
            </w:pPr>
            <w:r>
              <w:rPr>
                <w:rFonts w:ascii="Times New Roman" w:hAnsi="Times New Roman" w:cs="Times New Roman" w:eastAsia="Times New Roman"/>
                <w:sz w:val="20"/>
              </w:rPr>
              <w:t>3D residual blocks of the spatial encoder (Section 4.2)</w:t>
            </w:r>
          </w:p>
        </w:tc>
      </w:tr>
      <w:tr>
        <w:trPr>
          <w:cantSplit/>
        </w:trPr>
        <w:tc>
          <w:tcPr>
            <w:tcW w:type="dxa" w:w="2438"/>
          </w:tcPr>
          <w:p>
            <w:pPr>
              <w:pStyle w:val="TableText"/>
              <w:jc w:val="left"/>
            </w:pPr>
            <w:r>
              <w:rPr>
                <w:rFonts w:ascii="Times New Roman" w:hAnsi="Times New Roman" w:cs="Times New Roman" w:eastAsia="Times New Roman"/>
                <w:sz w:val="20"/>
              </w:rPr>
              <w:t>Selvaraju et al. (2017)</w:t>
            </w:r>
          </w:p>
        </w:tc>
        <w:tc>
          <w:tcPr>
            <w:tcW w:type="dxa" w:w="2608"/>
          </w:tcPr>
          <w:p>
            <w:pPr>
              <w:pStyle w:val="TableText"/>
              <w:jc w:val="left"/>
            </w:pPr>
            <w:r>
              <w:rPr>
                <w:rFonts w:ascii="Times New Roman" w:hAnsi="Times New Roman" w:cs="Times New Roman" w:eastAsia="Times New Roman"/>
                <w:sz w:val="20"/>
              </w:rPr>
              <w:t>Grad-CAM</w:t>
            </w:r>
          </w:p>
        </w:tc>
        <w:tc>
          <w:tcPr>
            <w:tcW w:type="dxa" w:w="3260"/>
          </w:tcPr>
          <w:p>
            <w:pPr>
              <w:pStyle w:val="TableText"/>
              <w:jc w:val="left"/>
            </w:pPr>
            <w:r>
              <w:rPr>
                <w:rFonts w:ascii="Times New Roman" w:hAnsi="Times New Roman" w:cs="Times New Roman" w:eastAsia="Times New Roman"/>
                <w:sz w:val="20"/>
              </w:rPr>
              <w:t>3D Grad-CAM on the fused logit (Section 4.7)</w:t>
            </w:r>
          </w:p>
        </w:tc>
      </w:tr>
      <w:tr>
        <w:trPr>
          <w:cantSplit/>
        </w:trPr>
        <w:tc>
          <w:tcPr>
            <w:tcW w:type="dxa" w:w="2438"/>
          </w:tcPr>
          <w:p>
            <w:pPr>
              <w:pStyle w:val="TableText"/>
              <w:jc w:val="left"/>
            </w:pPr>
            <w:r>
              <w:rPr>
                <w:rFonts w:ascii="Times New Roman" w:hAnsi="Times New Roman" w:cs="Times New Roman" w:eastAsia="Times New Roman"/>
                <w:sz w:val="20"/>
              </w:rPr>
              <w:t>Odom et al. (2016)</w:t>
            </w:r>
          </w:p>
        </w:tc>
        <w:tc>
          <w:tcPr>
            <w:tcW w:type="dxa" w:w="2608"/>
          </w:tcPr>
          <w:p>
            <w:pPr>
              <w:pStyle w:val="TableText"/>
              <w:jc w:val="left"/>
            </w:pPr>
            <w:r>
              <w:rPr>
                <w:rFonts w:ascii="Times New Roman" w:hAnsi="Times New Roman" w:cs="Times New Roman" w:eastAsia="Times New Roman"/>
                <w:sz w:val="20"/>
              </w:rPr>
              <w:t>ISCEV standard for clinical VEP</w:t>
            </w:r>
          </w:p>
        </w:tc>
        <w:tc>
          <w:tcPr>
            <w:tcW w:type="dxa" w:w="3260"/>
          </w:tcPr>
          <w:p>
            <w:pPr>
              <w:pStyle w:val="TableText"/>
              <w:jc w:val="left"/>
            </w:pPr>
            <w:r>
              <w:rPr>
                <w:rFonts w:ascii="Times New Roman" w:hAnsi="Times New Roman" w:cs="Times New Roman" w:eastAsia="Times New Roman"/>
                <w:sz w:val="20"/>
              </w:rPr>
              <w:t>P100 as the timing landmark; epoch and filter choices (Section 3.8)</w:t>
            </w:r>
          </w:p>
        </w:tc>
      </w:tr>
      <w:tr>
        <w:trPr>
          <w:cantSplit/>
        </w:trPr>
        <w:tc>
          <w:tcPr>
            <w:tcW w:type="dxa" w:w="2438"/>
          </w:tcPr>
          <w:p>
            <w:pPr>
              <w:pStyle w:val="TableText"/>
              <w:jc w:val="left"/>
            </w:pPr>
            <w:r>
              <w:rPr>
                <w:rFonts w:ascii="Times New Roman" w:hAnsi="Times New Roman" w:cs="Times New Roman" w:eastAsia="Times New Roman"/>
                <w:sz w:val="20"/>
              </w:rPr>
              <w:t>Butterworth (1930); Gustafsson (1996)</w:t>
            </w:r>
          </w:p>
        </w:tc>
        <w:tc>
          <w:tcPr>
            <w:tcW w:type="dxa" w:w="2608"/>
          </w:tcPr>
          <w:p>
            <w:pPr>
              <w:pStyle w:val="TableText"/>
              <w:jc w:val="left"/>
            </w:pPr>
            <w:r>
              <w:rPr>
                <w:rFonts w:ascii="Times New Roman" w:hAnsi="Times New Roman" w:cs="Times New Roman" w:eastAsia="Times New Roman"/>
                <w:sz w:val="20"/>
              </w:rPr>
              <w:t>Maximally flat filter; forward-backward filtering</w:t>
            </w:r>
          </w:p>
        </w:tc>
        <w:tc>
          <w:tcPr>
            <w:tcW w:type="dxa" w:w="3260"/>
          </w:tcPr>
          <w:p>
            <w:pPr>
              <w:pStyle w:val="TableText"/>
              <w:jc w:val="left"/>
            </w:pPr>
            <w:r>
              <w:rPr>
                <w:rFonts w:ascii="Times New Roman" w:hAnsi="Times New Roman" w:cs="Times New Roman" w:eastAsia="Times New Roman"/>
                <w:sz w:val="20"/>
              </w:rPr>
              <w:t>Zero-phase 1–100 Hz band-pass (Section 3.8)</w:t>
            </w:r>
          </w:p>
        </w:tc>
      </w:tr>
      <w:tr>
        <w:trPr>
          <w:cantSplit/>
        </w:trPr>
        <w:tc>
          <w:tcPr>
            <w:tcW w:type="dxa" w:w="2438"/>
          </w:tcPr>
          <w:p>
            <w:pPr>
              <w:pStyle w:val="TableText"/>
              <w:jc w:val="left"/>
            </w:pPr>
            <w:r>
              <w:rPr>
                <w:rFonts w:ascii="Times New Roman" w:hAnsi="Times New Roman" w:cs="Times New Roman" w:eastAsia="Times New Roman"/>
                <w:sz w:val="20"/>
              </w:rPr>
              <w:t>Cardoso et al. (2022)</w:t>
            </w:r>
          </w:p>
        </w:tc>
        <w:tc>
          <w:tcPr>
            <w:tcW w:type="dxa" w:w="2608"/>
          </w:tcPr>
          <w:p>
            <w:pPr>
              <w:pStyle w:val="TableText"/>
              <w:jc w:val="left"/>
            </w:pPr>
            <w:r>
              <w:rPr>
                <w:rFonts w:ascii="Times New Roman" w:hAnsi="Times New Roman" w:cs="Times New Roman" w:eastAsia="Times New Roman"/>
                <w:sz w:val="20"/>
              </w:rPr>
              <w:t>MONAI medical imaging framework</w:t>
            </w:r>
          </w:p>
        </w:tc>
        <w:tc>
          <w:tcPr>
            <w:tcW w:type="dxa" w:w="3260"/>
          </w:tcPr>
          <w:p>
            <w:pPr>
              <w:pStyle w:val="TableText"/>
              <w:jc w:val="left"/>
            </w:pPr>
            <w:r>
              <w:rPr>
                <w:rFonts w:ascii="Times New Roman" w:hAnsi="Times New Roman" w:cs="Times New Roman" w:eastAsia="Times New Roman"/>
                <w:sz w:val="20"/>
              </w:rPr>
              <w:t>Resize, ScaleIntensity, ResizeWithPadOrCrop (Section 3.7)</w:t>
            </w:r>
          </w:p>
        </w:tc>
      </w:tr>
      <w:tr>
        <w:trPr>
          <w:cantSplit/>
        </w:trPr>
        <w:tc>
          <w:tcPr>
            <w:tcW w:type="dxa" w:w="2438"/>
          </w:tcPr>
          <w:p>
            <w:pPr>
              <w:pStyle w:val="TableText"/>
              <w:jc w:val="left"/>
            </w:pPr>
            <w:r>
              <w:rPr>
                <w:rFonts w:ascii="Times New Roman" w:hAnsi="Times New Roman" w:cs="Times New Roman" w:eastAsia="Times New Roman"/>
                <w:sz w:val="20"/>
              </w:rPr>
              <w:t>Paszke et al. (2019)</w:t>
            </w:r>
          </w:p>
        </w:tc>
        <w:tc>
          <w:tcPr>
            <w:tcW w:type="dxa" w:w="2608"/>
          </w:tcPr>
          <w:p>
            <w:pPr>
              <w:pStyle w:val="TableText"/>
              <w:jc w:val="left"/>
            </w:pPr>
            <w:r>
              <w:rPr>
                <w:rFonts w:ascii="Times New Roman" w:hAnsi="Times New Roman" w:cs="Times New Roman" w:eastAsia="Times New Roman"/>
                <w:sz w:val="20"/>
              </w:rPr>
              <w:t>PyTorch</w:t>
            </w:r>
          </w:p>
        </w:tc>
        <w:tc>
          <w:tcPr>
            <w:tcW w:type="dxa" w:w="3260"/>
          </w:tcPr>
          <w:p>
            <w:pPr>
              <w:pStyle w:val="TableText"/>
              <w:jc w:val="left"/>
            </w:pPr>
            <w:r>
              <w:rPr>
                <w:rFonts w:ascii="Times New Roman" w:hAnsi="Times New Roman" w:cs="Times New Roman" w:eastAsia="Times New Roman"/>
                <w:sz w:val="20"/>
              </w:rPr>
              <w:t>All neural-network modules and training</w:t>
            </w:r>
          </w:p>
        </w:tc>
      </w:tr>
      <w:tr>
        <w:trPr>
          <w:cantSplit/>
        </w:trPr>
        <w:tc>
          <w:tcPr>
            <w:tcW w:type="dxa" w:w="2438"/>
          </w:tcPr>
          <w:p>
            <w:pPr>
              <w:pStyle w:val="TableText"/>
              <w:jc w:val="left"/>
            </w:pPr>
            <w:r>
              <w:rPr>
                <w:rFonts w:ascii="Times New Roman" w:hAnsi="Times New Roman" w:cs="Times New Roman" w:eastAsia="Times New Roman"/>
                <w:sz w:val="20"/>
              </w:rPr>
              <w:t>Kingma &amp; Ba (2015)</w:t>
            </w:r>
          </w:p>
        </w:tc>
        <w:tc>
          <w:tcPr>
            <w:tcW w:type="dxa" w:w="2608"/>
          </w:tcPr>
          <w:p>
            <w:pPr>
              <w:pStyle w:val="TableText"/>
              <w:jc w:val="left"/>
            </w:pPr>
            <w:r>
              <w:rPr>
                <w:rFonts w:ascii="Times New Roman" w:hAnsi="Times New Roman" w:cs="Times New Roman" w:eastAsia="Times New Roman"/>
                <w:sz w:val="20"/>
              </w:rPr>
              <w:t xml:space="preserve">Adam optimiser (AdamW is its decoupled-weight-decay variant)</w:t>
            </w:r>
          </w:p>
        </w:tc>
        <w:tc>
          <w:tcPr>
            <w:tcW w:type="dxa" w:w="3260"/>
          </w:tcPr>
          <w:p>
            <w:pPr>
              <w:pStyle w:val="TableText"/>
              <w:jc w:val="left"/>
            </w:pPr>
            <w:r>
              <w:rPr>
                <w:rFonts w:ascii="Times New Roman" w:hAnsi="Times New Roman" w:cs="Times New Roman" w:eastAsia="Times New Roman"/>
                <w:sz w:val="20"/>
              </w:rPr>
              <w:t xml:space="preserve">Training loop (Section 4.6)</w:t>
            </w:r>
          </w:p>
        </w:tc>
      </w:tr>
      <w:tr>
        <w:trPr>
          <w:cantSplit/>
        </w:trPr>
        <w:tc>
          <w:tcPr>
            <w:tcW w:type="dxa" w:w="2438"/>
          </w:tcPr>
          <w:p>
            <w:pPr>
              <w:pStyle w:val="TableText"/>
              <w:jc w:val="left"/>
            </w:pPr>
            <w:r>
              <w:rPr>
                <w:rFonts w:ascii="Times New Roman" w:hAnsi="Times New Roman" w:cs="Times New Roman" w:eastAsia="Times New Roman"/>
                <w:sz w:val="20"/>
              </w:rPr>
              <w:t>Jain &amp; Wallace (2019); Adebayo et al. (2018)</w:t>
            </w:r>
          </w:p>
        </w:tc>
        <w:tc>
          <w:tcPr>
            <w:tcW w:type="dxa" w:w="2608"/>
          </w:tcPr>
          <w:p>
            <w:pPr>
              <w:pStyle w:val="TableText"/>
              <w:jc w:val="left"/>
            </w:pPr>
            <w:r>
              <w:rPr>
                <w:rFonts w:ascii="Times New Roman" w:hAnsi="Times New Roman" w:cs="Times New Roman" w:eastAsia="Times New Roman"/>
                <w:sz w:val="20"/>
              </w:rPr>
              <w:t>Limits of attention and saliency as explanations</w:t>
            </w:r>
          </w:p>
        </w:tc>
        <w:tc>
          <w:tcPr>
            <w:tcW w:type="dxa" w:w="3260"/>
          </w:tcPr>
          <w:p>
            <w:pPr>
              <w:pStyle w:val="TableText"/>
              <w:jc w:val="left"/>
            </w:pPr>
            <w:r>
              <w:rPr>
                <w:rFonts w:ascii="Times New Roman" w:hAnsi="Times New Roman" w:cs="Times New Roman" w:eastAsia="Times New Roman"/>
                <w:sz w:val="20"/>
              </w:rPr>
              <w:t>Interpretation of explainability outputs (Chapter 6)</w:t>
            </w:r>
          </w:p>
        </w:tc>
      </w:tr>
      <w:tr>
        <w:trPr>
          <w:cantSplit/>
        </w:trPr>
        <w:tc>
          <w:tcPr>
            <w:tcW w:type="dxa" w:w="2438"/>
          </w:tcPr>
          <w:p>
            <w:pPr>
              <w:pStyle w:val="TableText"/>
              <w:jc w:val="left"/>
            </w:pPr>
            <w:r>
              <w:rPr>
                <w:rFonts w:ascii="Times New Roman" w:hAnsi="Times New Roman" w:cs="Times New Roman" w:eastAsia="Times New Roman"/>
                <w:sz w:val="20"/>
              </w:rPr>
              <w:t xml:space="preserve">Zhou et al. (2024)</w:t>
            </w:r>
          </w:p>
        </w:tc>
        <w:tc>
          <w:tcPr>
            <w:tcW w:type="dxa" w:w="2608"/>
          </w:tcPr>
          <w:p>
            <w:pPr>
              <w:pStyle w:val="TableText"/>
              <w:jc w:val="left"/>
            </w:pPr>
            <w:r>
              <w:rPr>
                <w:rFonts w:ascii="Times New Roman" w:hAnsi="Times New Roman" w:cs="Times New Roman" w:eastAsia="Times New Roman"/>
                <w:sz w:val="20"/>
              </w:rPr>
              <w:t xml:space="preserve">CAMF: cross-attentive fusion of sMRI and fMRI for schizophrenia; cross-attention reported to beat concatenation and sum</w:t>
            </w:r>
          </w:p>
        </w:tc>
        <w:tc>
          <w:tcPr>
            <w:tcW w:type="dxa" w:w="3260"/>
          </w:tcPr>
          <w:p>
            <w:pPr>
              <w:pStyle w:val="TableText"/>
              <w:jc w:val="left"/>
            </w:pPr>
            <w:r>
              <w:rPr>
                <w:rFonts w:ascii="Times New Roman" w:hAnsi="Times New Roman" w:cs="Times New Roman" w:eastAsia="Times New Roman"/>
                <w:sz w:val="20"/>
              </w:rPr>
              <w:t xml:space="preserve">Fusion baselines and comparison design (Sections 3.9 and 4.4)</w:t>
            </w:r>
          </w:p>
        </w:tc>
      </w:tr>
      <w:tr>
        <w:trPr>
          <w:cantSplit/>
        </w:trPr>
        <w:tc>
          <w:tcPr>
            <w:tcW w:type="dxa" w:w="2438"/>
          </w:tcPr>
          <w:p>
            <w:pPr>
              <w:pStyle w:val="TableText"/>
              <w:jc w:val="left"/>
            </w:pPr>
            <w:r>
              <w:rPr>
                <w:rFonts w:ascii="Times New Roman" w:hAnsi="Times New Roman" w:cs="Times New Roman" w:eastAsia="Times New Roman"/>
                <w:sz w:val="20"/>
              </w:rPr>
              <w:t xml:space="preserve">Dhar et al. (2025)</w:t>
            </w:r>
          </w:p>
        </w:tc>
        <w:tc>
          <w:tcPr>
            <w:tcW w:type="dxa" w:w="2608"/>
          </w:tcPr>
          <w:p>
            <w:pPr>
              <w:pStyle w:val="TableText"/>
              <w:jc w:val="left"/>
            </w:pPr>
            <w:r>
              <w:rPr>
                <w:rFonts w:ascii="Times New Roman" w:hAnsi="Times New Roman" w:cs="Times New Roman" w:eastAsia="Times New Roman"/>
                <w:sz w:val="20"/>
              </w:rPr>
              <w:t xml:space="preserve">DRIFA-Net: dual-attention multimodal fusion on five public medical-imaging datasets</w:t>
            </w:r>
          </w:p>
        </w:tc>
        <w:tc>
          <w:tcPr>
            <w:tcW w:type="dxa" w:w="3260"/>
          </w:tcPr>
          <w:p>
            <w:pPr>
              <w:pStyle w:val="TableText"/>
              <w:jc w:val="left"/>
            </w:pPr>
            <w:r>
              <w:rPr>
                <w:rFonts w:ascii="Times New Roman" w:hAnsi="Times New Roman" w:cs="Times New Roman" w:eastAsia="Times New Roman"/>
                <w:sz w:val="20"/>
              </w:rPr>
              <w:t xml:space="preserve">Related work and context for the benchmark (Section 2.5)</w:t>
            </w:r>
          </w:p>
        </w:tc>
      </w:tr>
      <w:tr>
        <w:trPr>
          <w:cantSplit/>
        </w:trPr>
        <w:tc>
          <w:tcPr>
            <w:tcW w:type="dxa" w:w="2438"/>
          </w:tcPr>
          <w:p>
            <w:pPr>
              <w:pStyle w:val="TableText"/>
              <w:jc w:val="left"/>
            </w:pPr>
            <w:r>
              <w:rPr>
                <w:rFonts w:ascii="Times New Roman" w:hAnsi="Times New Roman" w:cs="Times New Roman" w:eastAsia="Times New Roman"/>
                <w:sz w:val="20"/>
              </w:rPr>
              <w:t xml:space="preserve">Hu et al. (2018)</w:t>
            </w:r>
          </w:p>
        </w:tc>
        <w:tc>
          <w:tcPr>
            <w:tcW w:type="dxa" w:w="2608"/>
          </w:tcPr>
          <w:p>
            <w:pPr>
              <w:pStyle w:val="TableText"/>
              <w:jc w:val="left"/>
            </w:pPr>
            <w:r>
              <w:rPr>
                <w:rFonts w:ascii="Times New Roman" w:hAnsi="Times New Roman" w:cs="Times New Roman" w:eastAsia="Times New Roman"/>
                <w:sz w:val="20"/>
              </w:rPr>
              <w:t xml:space="preserve">Squeeze-and-excitation networks</w:t>
            </w:r>
          </w:p>
        </w:tc>
        <w:tc>
          <w:tcPr>
            <w:tcW w:type="dxa" w:w="3260"/>
          </w:tcPr>
          <w:p>
            <w:pPr>
              <w:pStyle w:val="TableText"/>
              <w:jc w:val="left"/>
            </w:pPr>
            <w:r>
              <w:rPr>
                <w:rFonts w:ascii="Times New Roman" w:hAnsi="Times New Roman" w:cs="Times New Roman" w:eastAsia="Times New Roman"/>
                <w:sz w:val="20"/>
              </w:rPr>
              <w:t xml:space="preserve">Channel recalibration in the 3D residual blocks (Section 4.2)</w:t>
            </w:r>
          </w:p>
        </w:tc>
      </w:tr>
      <w:tr>
        <w:trPr>
          <w:cantSplit/>
        </w:trPr>
        <w:tc>
          <w:tcPr>
            <w:tcW w:type="dxa" w:w="2438"/>
          </w:tcPr>
          <w:p>
            <w:pPr>
              <w:pStyle w:val="TableText"/>
              <w:jc w:val="left"/>
            </w:pPr>
            <w:r>
              <w:rPr>
                <w:rFonts w:ascii="Times New Roman" w:hAnsi="Times New Roman" w:cs="Times New Roman" w:eastAsia="Times New Roman"/>
                <w:sz w:val="20"/>
              </w:rPr>
              <w:t>Liuzzi et al. (2023); Li et al. (2026)</w:t>
            </w:r>
          </w:p>
        </w:tc>
        <w:tc>
          <w:tcPr>
            <w:tcW w:type="dxa" w:w="2608"/>
          </w:tcPr>
          <w:p>
            <w:pPr>
              <w:pStyle w:val="TableText"/>
              <w:jc w:val="left"/>
            </w:pPr>
            <w:r>
              <w:rPr>
                <w:rFonts w:ascii="Times New Roman" w:hAnsi="Times New Roman" w:cs="Times New Roman" w:eastAsia="Times New Roman"/>
                <w:sz w:val="20"/>
              </w:rPr>
              <w:t xml:space="preserve">OpenNeuro ds003568 (MDD, MEG) and ds007181 (zoster-associated neuralgia, PSG EEG)</w:t>
            </w:r>
          </w:p>
        </w:tc>
        <w:tc>
          <w:tcPr>
            <w:tcW w:type="dxa" w:w="3260"/>
          </w:tcPr>
          <w:p>
            <w:pPr>
              <w:pStyle w:val="TableText"/>
              <w:jc w:val="left"/>
            </w:pPr>
            <w:r>
              <w:rPr>
                <w:rFonts w:ascii="Times New Roman" w:hAnsi="Times New Roman" w:cs="Times New Roman" w:eastAsia="Times New Roman"/>
                <w:sz w:val="20"/>
              </w:rPr>
              <w:t xml:space="preserve">The two real cohorts of Study B (Section 3.4.2)</w:t>
            </w:r>
          </w:p>
        </w:tc>
      </w:tr>
    </w:tbl>
    <w:p>
      <w:pPr>
        <w:spacing w:after="80" w:line="240" w:lineRule="auto"/>
      </w:pPr>
    </w:p>
    <w:p>
      <w:pPr>
        <w:pStyle w:val="Caption"/>
        <w:keepNext/>
        <w:spacing w:before="160" w:after="80"/>
      </w:pPr>
      <w:bookmarkStart w:id="1005" w:name="_Ref_Table_2_4"/>
      <w:r>
        <w:rPr>
          <w:rFonts w:ascii="Times New Roman" w:hAnsi="Times New Roman" w:cs="Times New Roman" w:eastAsia="Times New Roman"/>
          <w:b/>
          <w:sz w:val="22"/>
        </w:rPr>
        <w:t xml:space="preserve">Table 2.4: </w:t>
      </w:r>
      <w:r>
        <w:rPr>
          <w:rFonts w:ascii="Times New Roman" w:hAnsi="Times New Roman" w:cs="Times New Roman" w:eastAsia="Times New Roman"/>
          <w:sz w:val="22"/>
        </w:rPr>
        <w:t xml:space="preserve">Published cross-attention fusion studies versus this work. The numbers are those reported by the authors on their own data; they are not comparable with the results of this report (different tasks, modalities and data).</w:t>
      </w:r>
      <w:bookmarkEnd w:id="1005"/>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250"/>
        <w:gridCol w:w="1400"/>
        <w:gridCol w:w="2000"/>
        <w:gridCol w:w="1400"/>
        <w:gridCol w:w="2256"/>
      </w:tblGrid>
      <w:tr>
        <w:trPr>
          <w:cantSplit/>
          <w:tblHeader/>
        </w:trPr>
        <w:tc>
          <w:tcPr>
            <w:tcW w:type="dxa" w:w="1250"/>
            <w:shd w:val="clear" w:color="auto" w:fill="D9D9D9"/>
          </w:tcPr>
          <w:p>
            <w:pPr>
              <w:pStyle w:val="TableText"/>
              <w:keepNext/>
              <w:jc w:val="left"/>
            </w:pPr>
            <w:r>
              <w:rPr>
                <w:rFonts w:ascii="Times New Roman" w:hAnsi="Times New Roman" w:cs="Times New Roman" w:eastAsia="Times New Roman"/>
                <w:b/>
                <w:sz w:val="20"/>
              </w:rPr>
              <w:t xml:space="preserve">Study</w:t>
            </w:r>
          </w:p>
        </w:tc>
        <w:tc>
          <w:tcPr>
            <w:tcW w:type="dxa" w:w="1400"/>
            <w:shd w:val="clear" w:color="auto" w:fill="D9D9D9"/>
          </w:tcPr>
          <w:p>
            <w:pPr>
              <w:pStyle w:val="TableText"/>
              <w:keepNext/>
              <w:jc w:val="left"/>
            </w:pPr>
            <w:r>
              <w:rPr>
                <w:rFonts w:ascii="Times New Roman" w:hAnsi="Times New Roman" w:cs="Times New Roman" w:eastAsia="Times New Roman"/>
                <w:b/>
                <w:sz w:val="20"/>
              </w:rPr>
              <w:t xml:space="preserve">Modalities</w:t>
            </w:r>
          </w:p>
        </w:tc>
        <w:tc>
          <w:tcPr>
            <w:tcW w:type="dxa" w:w="2000"/>
            <w:shd w:val="clear" w:color="auto" w:fill="D9D9D9"/>
          </w:tcPr>
          <w:p>
            <w:pPr>
              <w:pStyle w:val="TableText"/>
              <w:keepNext/>
              <w:jc w:val="left"/>
            </w:pPr>
            <w:r>
              <w:rPr>
                <w:rFonts w:ascii="Times New Roman" w:hAnsi="Times New Roman" w:cs="Times New Roman" w:eastAsia="Times New Roman"/>
                <w:b/>
                <w:sz w:val="20"/>
              </w:rPr>
              <w:t xml:space="preserve">Data (size)</w:t>
            </w:r>
          </w:p>
        </w:tc>
        <w:tc>
          <w:tcPr>
            <w:tcW w:type="dxa" w:w="1400"/>
            <w:shd w:val="clear" w:color="auto" w:fill="D9D9D9"/>
          </w:tcPr>
          <w:p>
            <w:pPr>
              <w:pStyle w:val="TableText"/>
              <w:keepNext/>
              <w:jc w:val="left"/>
            </w:pPr>
            <w:r>
              <w:rPr>
                <w:rFonts w:ascii="Times New Roman" w:hAnsi="Times New Roman" w:cs="Times New Roman" w:eastAsia="Times New Roman"/>
                <w:b/>
                <w:sz w:val="20"/>
              </w:rPr>
              <w:t xml:space="preserve">Task</w:t>
            </w:r>
          </w:p>
        </w:tc>
        <w:tc>
          <w:tcPr>
            <w:tcW w:type="dxa" w:w="2256"/>
            <w:shd w:val="clear" w:color="auto" w:fill="D9D9D9"/>
          </w:tcPr>
          <w:p>
            <w:pPr>
              <w:pStyle w:val="TableText"/>
              <w:keepNext/>
              <w:jc w:val="left"/>
            </w:pPr>
            <w:r>
              <w:rPr>
                <w:rFonts w:ascii="Times New Roman" w:hAnsi="Times New Roman" w:cs="Times New Roman" w:eastAsia="Times New Roman"/>
                <w:b/>
                <w:sz w:val="20"/>
              </w:rPr>
              <w:t xml:space="preserve">Reported result</w:t>
            </w:r>
          </w:p>
        </w:tc>
      </w:tr>
      <w:tr>
        <w:trPr>
          <w:cantSplit/>
        </w:trPr>
        <w:tc>
          <w:tcPr>
            <w:tcW w:type="dxa" w:w="1250"/>
          </w:tcPr>
          <w:p>
            <w:pPr>
              <w:pStyle w:val="TableText"/>
              <w:keepNext/>
              <w:jc w:val="left"/>
            </w:pPr>
            <w:r>
              <w:rPr>
                <w:rFonts w:ascii="Times New Roman" w:hAnsi="Times New Roman" w:cs="Times New Roman" w:eastAsia="Times New Roman"/>
                <w:sz w:val="20"/>
              </w:rPr>
              <w:t xml:space="preserve">CAMF (Zhou et al., 2024)</w:t>
            </w:r>
          </w:p>
        </w:tc>
        <w:tc>
          <w:tcPr>
            <w:tcW w:type="dxa" w:w="1400"/>
          </w:tcPr>
          <w:p>
            <w:pPr>
              <w:pStyle w:val="TableText"/>
              <w:keepNext/>
              <w:jc w:val="left"/>
            </w:pPr>
            <w:r>
              <w:rPr>
                <w:rFonts w:ascii="Times New Roman" w:hAnsi="Times New Roman" w:cs="Times New Roman" w:eastAsia="Times New Roman"/>
                <w:sz w:val="20"/>
              </w:rPr>
              <w:t xml:space="preserve">sMRI + fMRI (both 3D imaging)</w:t>
            </w:r>
          </w:p>
        </w:tc>
        <w:tc>
          <w:tcPr>
            <w:tcW w:type="dxa" w:w="2000"/>
          </w:tcPr>
          <w:p>
            <w:pPr>
              <w:pStyle w:val="TableText"/>
              <w:keepNext/>
              <w:jc w:val="left"/>
            </w:pPr>
            <w:r>
              <w:rPr>
                <w:rFonts w:ascii="Times New Roman" w:hAnsi="Times New Roman" w:cs="Times New Roman" w:eastAsia="Times New Roman"/>
                <w:sz w:val="20"/>
              </w:rPr>
              <w:t xml:space="preserve">COBRE + FBIRN + MPRC (620 subjects); BSNIP (442) as independent test</w:t>
            </w:r>
          </w:p>
        </w:tc>
        <w:tc>
          <w:tcPr>
            <w:tcW w:type="dxa" w:w="1400"/>
          </w:tcPr>
          <w:p>
            <w:pPr>
              <w:pStyle w:val="TableText"/>
              <w:keepNext/>
              <w:jc w:val="left"/>
            </w:pPr>
            <w:r>
              <w:rPr>
                <w:rFonts w:ascii="Times New Roman" w:hAnsi="Times New Roman" w:cs="Times New Roman" w:eastAsia="Times New Roman"/>
                <w:sz w:val="20"/>
              </w:rPr>
              <w:t xml:space="preserve">Schizophrenia vs control</w:t>
            </w:r>
          </w:p>
        </w:tc>
        <w:tc>
          <w:tcPr>
            <w:tcW w:type="dxa" w:w="2256"/>
          </w:tcPr>
          <w:p>
            <w:pPr>
              <w:pStyle w:val="TableText"/>
              <w:keepNext/>
              <w:jc w:val="left"/>
            </w:pPr>
            <w:r>
              <w:rPr>
                <w:rFonts w:ascii="Times New Roman" w:hAnsi="Times New Roman" w:cs="Times New Roman" w:eastAsia="Times New Roman"/>
                <w:sz w:val="20"/>
              </w:rPr>
              <w:t xml:space="preserve">Accuracy 74.4%, F1 0.705, MCC 0.491 (BSNIP: 67.9%, 0.684, 0.361); cross-attention better than concatenation, sum and single modality</w:t>
            </w:r>
          </w:p>
        </w:tc>
      </w:tr>
      <w:tr>
        <w:trPr>
          <w:cantSplit/>
        </w:trPr>
        <w:tc>
          <w:tcPr>
            <w:tcW w:type="dxa" w:w="1250"/>
          </w:tcPr>
          <w:p>
            <w:pPr>
              <w:pStyle w:val="TableText"/>
              <w:keepNext/>
              <w:jc w:val="left"/>
            </w:pPr>
            <w:r>
              <w:rPr>
                <w:rFonts w:ascii="Times New Roman" w:hAnsi="Times New Roman" w:cs="Times New Roman" w:eastAsia="Times New Roman"/>
                <w:sz w:val="20"/>
              </w:rPr>
              <w:t xml:space="preserve">DRIFA-Net (Dhar et al., 2025)</w:t>
            </w:r>
          </w:p>
        </w:tc>
        <w:tc>
          <w:tcPr>
            <w:tcW w:type="dxa" w:w="1400"/>
          </w:tcPr>
          <w:p>
            <w:pPr>
              <w:pStyle w:val="TableText"/>
              <w:keepNext/>
              <w:jc w:val="left"/>
            </w:pPr>
            <w:r>
              <w:rPr>
                <w:rFonts w:ascii="Times New Roman" w:hAnsi="Times New Roman" w:cs="Times New Roman" w:eastAsia="Times New Roman"/>
                <w:sz w:val="20"/>
              </w:rPr>
              <w:t xml:space="preserve">Dermoscopy, cytology, CT, MRI slices; BraTS MRI</w:t>
            </w:r>
          </w:p>
        </w:tc>
        <w:tc>
          <w:tcPr>
            <w:tcW w:type="dxa" w:w="2000"/>
          </w:tcPr>
          <w:p>
            <w:pPr>
              <w:pStyle w:val="TableText"/>
              <w:keepNext/>
              <w:jc w:val="left"/>
            </w:pPr>
            <w:r>
              <w:rPr>
                <w:rFonts w:ascii="Times New Roman" w:hAnsi="Times New Roman" w:cs="Times New Roman" w:eastAsia="Times New Roman"/>
                <w:sz w:val="20"/>
              </w:rPr>
              <w:t xml:space="preserve">HAM10000 (10,015), SIPaKMeD (4,049), brain-tumour MRI (7,023), IQ-OTHNCCD (1,098), BraTS2020 (369)</w:t>
            </w:r>
          </w:p>
        </w:tc>
        <w:tc>
          <w:tcPr>
            <w:tcW w:type="dxa" w:w="1400"/>
          </w:tcPr>
          <w:p>
            <w:pPr>
              <w:pStyle w:val="TableText"/>
              <w:keepNext/>
              <w:jc w:val="left"/>
            </w:pPr>
            <w:r>
              <w:rPr>
                <w:rFonts w:ascii="Times New Roman" w:hAnsi="Times New Roman" w:cs="Times New Roman" w:eastAsia="Times New Roman"/>
                <w:sz w:val="20"/>
              </w:rPr>
              <w:t xml:space="preserve">3 to 7-class classification; segmentation</w:t>
            </w:r>
          </w:p>
        </w:tc>
        <w:tc>
          <w:tcPr>
            <w:tcW w:type="dxa" w:w="2256"/>
          </w:tcPr>
          <w:p>
            <w:pPr>
              <w:pStyle w:val="TableText"/>
              <w:keepNext/>
              <w:jc w:val="left"/>
            </w:pPr>
            <w:r>
              <w:rPr>
                <w:rFonts w:ascii="Times New Roman" w:hAnsi="Times New Roman" w:cs="Times New Roman" w:eastAsia="Times New Roman"/>
                <w:sz w:val="20"/>
              </w:rPr>
              <w:t xml:space="preserve">Accuracy 95.6–99.7% (D1–D4); both attention modules better than either alone</w:t>
            </w:r>
          </w:p>
        </w:tc>
      </w:tr>
      <w:tr>
        <w:trPr>
          <w:cantSplit/>
        </w:trPr>
        <w:tc>
          <w:tcPr>
            <w:tcW w:type="dxa" w:w="1250"/>
          </w:tcPr>
          <w:p>
            <w:pPr>
              <w:pStyle w:val="TableText"/>
              <w:jc w:val="left"/>
            </w:pPr>
            <w:r>
              <w:rPr>
                <w:rFonts w:ascii="Times New Roman" w:hAnsi="Times New Roman" w:cs="Times New Roman" w:eastAsia="Times New Roman"/>
                <w:b/>
                <w:sz w:val="20"/>
              </w:rPr>
              <w:t xml:space="preserve">This work</w:t>
            </w:r>
          </w:p>
        </w:tc>
        <w:tc>
          <w:tcPr>
            <w:tcW w:type="dxa" w:w="1400"/>
          </w:tcPr>
          <w:p>
            <w:pPr>
              <w:pStyle w:val="TableText"/>
              <w:jc w:val="left"/>
            </w:pPr>
            <w:r>
              <w:rPr>
                <w:rFonts w:ascii="Times New Roman" w:hAnsi="Times New Roman" w:cs="Times New Roman" w:eastAsia="Times New Roman"/>
                <w:sz w:val="20"/>
              </w:rPr>
              <w:t xml:space="preserve">3D T1w MRI + 1D electrophysiology (heterogeneous)</w:t>
            </w:r>
          </w:p>
        </w:tc>
        <w:tc>
          <w:tcPr>
            <w:tcW w:type="dxa" w:w="2000"/>
          </w:tcPr>
          <w:p>
            <w:pPr>
              <w:pStyle w:val="TableText"/>
              <w:jc w:val="left"/>
            </w:pPr>
            <w:r>
              <w:rPr>
                <w:rFonts w:ascii="Times New Roman" w:hAnsi="Times New Roman" w:cs="Times New Roman" w:eastAsia="Times New Roman"/>
                <w:sz w:val="20"/>
              </w:rPr>
              <w:t xml:space="preserve">Controlled synthetic benchmark; two OpenNeuro cohorts (95 subjects)</w:t>
            </w:r>
          </w:p>
        </w:tc>
        <w:tc>
          <w:tcPr>
            <w:tcW w:type="dxa" w:w="1400"/>
          </w:tcPr>
          <w:p>
            <w:pPr>
              <w:pStyle w:val="TableText"/>
              <w:jc w:val="left"/>
            </w:pPr>
            <w:r>
              <w:rPr>
                <w:rFonts w:ascii="Times New Roman" w:hAnsi="Times New Roman" w:cs="Times New Roman" w:eastAsia="Times New Roman"/>
                <w:sz w:val="20"/>
              </w:rPr>
              <w:t xml:space="preserve">3-class (synthetic); control vs patient (real)</w:t>
            </w:r>
          </w:p>
        </w:tc>
        <w:tc>
          <w:tcPr>
            <w:tcW w:type="dxa" w:w="2256"/>
          </w:tcPr>
          <w:p>
            <w:pPr>
              <w:pStyle w:val="TableText"/>
              <w:jc w:val="left"/>
            </w:pPr>
            <w:r>
              <w:rPr>
                <w:rFonts w:ascii="Times New Roman" w:hAnsi="Times New Roman" w:cs="Times New Roman" w:eastAsia="Times New Roman"/>
                <w:sz w:val="20"/>
              </w:rPr>
              <w:t xml:space="preserve">See Chapter 5</w:t>
            </w:r>
          </w:p>
        </w:tc>
      </w:tr>
    </w:tbl>
    <w:p>
      <w:pPr>
        <w:spacing w:after="80" w:line="240" w:lineRule="auto"/>
      </w:pPr>
    </w:p>
    <w:p>
      <w:pPr>
        <w:pStyle w:val="Heading1"/>
      </w:pPr>
      <w:r>
        <w:rPr>
          <w:rFonts w:ascii="Times New Roman" w:hAnsi="Times New Roman" w:cs="Times New Roman" w:eastAsia="Times New Roman"/>
          <w:b/>
          <w:sz w:val="24"/>
        </w:rPr>
        <w:t>CHAPTER 3</w:t>
        <w:br/>
      </w:r>
      <w:r>
        <w:rPr>
          <w:rFonts w:ascii="Times New Roman" w:hAnsi="Times New Roman" w:cs="Times New Roman" w:eastAsia="Times New Roman"/>
          <w:b/>
          <w:sz w:val="32"/>
        </w:rPr>
        <w:t>METHODOLOGY</w:t>
      </w:r>
    </w:p>
    <w:p>
      <w:pPr>
        <w:pStyle w:val="Heading2"/>
      </w:pPr>
      <w:r>
        <w:rPr>
          <w:rFonts w:ascii="Times New Roman" w:hAnsi="Times New Roman" w:cs="Times New Roman" w:eastAsia="Times New Roman"/>
          <w:b/>
          <w:sz w:val="28"/>
        </w:rPr>
        <w:t>3.1  OVERVIEW OF THE APPROACH</w:t>
      </w:r>
    </w:p>
    <w:p>
      <w:pPr>
        <w:pStyle w:val="BodyJ"/>
        <w:keepNext/>
      </w:pPr>
      <w:r>
        <w:rPr>
          <w:rFonts w:ascii="Times New Roman" w:hAnsi="Times New Roman" w:cs="Times New Roman" w:eastAsia="Times New Roman"/>
        </w:rPr>
        <w:t xml:space="preserve">The project follows an iterative engineering methodology in which the interfaces are fixed first and each stage is then implemented and tested against them. Because no labelled clinical data were available, the methodology deliberately separates software correctness (which can be established now) from clinical validity (which cannot), and it separates a controlled synthetic benchmark from a test of the pipeline on real public cohorts. The work proceeded in the following steps.</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Define the shape contract.</w:t>
      </w:r>
      <w:r>
        <w:rPr>
          <w:rFonts w:ascii="Times New Roman" w:hAnsi="Times New Roman" w:cs="Times New Roman" w:eastAsia="Times New Roman"/>
        </w:rPr>
        <w:t xml:space="preserve"> All tensor shapes, sampling parameters and hyper-parameters are fixed in a single configuration module before any model code is written (Section 4.8).</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Specify the data interface.</w:t>
      </w:r>
      <w:r>
        <w:rPr>
          <w:rFonts w:ascii="Times New Roman" w:hAnsi="Times New Roman" w:cs="Times New Roman" w:eastAsia="Times New Roman"/>
        </w:rPr>
        <w:t xml:space="preserve"> A manifest of paired records (subject, MRI path, VEP path, sampling rate, label) drives a PyTorch dataset that returns standardised tensors (Section 3.6).</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 xml:space="preserve">Implement preprocessing.</w:t>
      </w:r>
      <w:r>
        <w:rPr>
          <w:rFonts w:ascii="Times New Roman" w:hAnsi="Times New Roman" w:cs="Times New Roman" w:eastAsia="Times New Roman"/>
        </w:rPr>
        <w:t xml:space="preserve"> MRI standardisation and VEP conditioning (or, for resting recordings, spectrum extraction) are implemented as separate, validated, side-effect-free functions (Sections 3.7 and 3.8).</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 xml:space="preserve">Generate class-conditioned synthetic data.</w:t>
      </w:r>
      <w:r>
        <w:rPr>
          <w:rFonts w:ascii="Times New Roman" w:hAnsi="Times New Roman" w:cs="Times New Roman" w:eastAsia="Times New Roman"/>
        </w:rPr>
        <w:t xml:space="preserve"> Because labelled data are missing, synthetic volumes and waveforms with the same interface as real data are produced, with controls for how informative each modality is, so that the entire pipeline can be exercised (Section 3.5).</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 xml:space="preserve">Build the model.</w:t>
      </w:r>
      <w:r>
        <w:rPr>
          <w:rFonts w:ascii="Times New Roman" w:hAnsi="Times New Roman" w:cs="Times New Roman" w:eastAsia="Times New Roman"/>
        </w:rPr>
        <w:t xml:space="preserve"> A 3D residual spatial encoder with squeeze-and-excitation, a multi-scale 1D temporal encoder, gated bidirectional cross-attention with attention pooling and three classification heads are implemented, together with concatenation, element-wise sum and unimodal baselines (Chapter 4).</w:t>
      </w:r>
    </w:p>
    <w:p>
      <w:pPr>
        <w:spacing w:after="60"/>
        <w:ind w:left="567" w:hanging="454"/>
        <w:jc w:val="both"/>
      </w:pPr>
      <w:r>
        <w:rPr>
          <w:rFonts w:ascii="Times New Roman" w:hAnsi="Times New Roman" w:cs="Times New Roman" w:eastAsia="Times New Roman"/>
        </w:rPr>
        <w:t xml:space="preserve">6.  </w:t>
      </w:r>
      <w:r>
        <w:rPr>
          <w:rFonts w:ascii="Times New Roman" w:hAnsi="Times New Roman" w:cs="Times New Roman" w:eastAsia="Times New Roman"/>
          <w:b/>
        </w:rPr>
        <w:t xml:space="preserve">Train with multi-task supervision.</w:t>
      </w:r>
      <w:r>
        <w:rPr>
          <w:rFonts w:ascii="Times New Roman" w:hAnsi="Times New Roman" w:cs="Times New Roman" w:eastAsia="Times New Roman"/>
        </w:rPr>
        <w:t xml:space="preserve"> A fused loss and two auxiliary unimodal losses are optimised jointly with AdamW, a warm-up and cosine schedule and early stopping (Section 4.6).</w:t>
      </w:r>
    </w:p>
    <w:p>
      <w:pPr>
        <w:spacing w:after="60"/>
        <w:ind w:left="567" w:hanging="454"/>
        <w:jc w:val="both"/>
      </w:pPr>
      <w:r>
        <w:rPr>
          <w:rFonts w:ascii="Times New Roman" w:hAnsi="Times New Roman" w:cs="Times New Roman" w:eastAsia="Times New Roman"/>
        </w:rPr>
        <w:t xml:space="preserve">7.  </w:t>
      </w:r>
      <w:r>
        <w:rPr>
          <w:rFonts w:ascii="Times New Roman" w:hAnsi="Times New Roman" w:cs="Times New Roman" w:eastAsia="Times New Roman"/>
          <w:b/>
        </w:rPr>
        <w:t>Add explainability.</w:t>
      </w:r>
      <w:r>
        <w:rPr>
          <w:rFonts w:ascii="Times New Roman" w:hAnsi="Times New Roman" w:cs="Times New Roman" w:eastAsia="Times New Roman"/>
        </w:rPr>
        <w:t xml:space="preserve"> 3D Grad-CAM and the cross-attention heatmap are generated from the trained model (Section 4.7).</w:t>
      </w:r>
    </w:p>
    <w:p>
      <w:pPr>
        <w:spacing w:after="60"/>
        <w:ind w:left="567" w:hanging="454"/>
        <w:jc w:val="both"/>
      </w:pPr>
      <w:r>
        <w:rPr>
          <w:rFonts w:ascii="Times New Roman" w:hAnsi="Times New Roman" w:cs="Times New Roman" w:eastAsia="Times New Roman"/>
        </w:rPr>
        <w:t xml:space="preserve">8.  </w:t>
      </w:r>
      <w:r>
        <w:rPr>
          <w:rFonts w:ascii="Times New Roman" w:hAnsi="Times New Roman" w:cs="Times New Roman" w:eastAsia="Times New Roman"/>
          <w:b/>
        </w:rPr>
        <w:t xml:space="preserve">Verify.</w:t>
      </w:r>
      <w:r>
        <w:rPr>
          <w:rFonts w:ascii="Times New Roman" w:hAnsi="Times New Roman" w:cs="Times New Roman" w:eastAsia="Times New Roman"/>
        </w:rPr>
        <w:t xml:space="preserve"> A unit and integration test suite (340 tests), plus measurements on the synthetic data, establish what the prototype does and does not demonstrate (Section 3.9 and Chapter 5).</w:t>
      </w:r>
    </w:p>
    <w:p>
      <w:pPr>
        <w:spacing w:after="60"/>
        <w:ind w:left="567" w:hanging="454"/>
        <w:jc w:val="both"/>
      </w:pPr>
      <w:r>
        <w:rPr>
          <w:rFonts w:ascii="Times New Roman" w:hAnsi="Times New Roman" w:cs="Times New Roman" w:eastAsia="Times New Roman"/>
        </w:rPr>
        <w:t xml:space="preserve">9.  </w:t>
      </w:r>
      <w:r>
        <w:rPr>
          <w:rFonts w:ascii="Times New Roman" w:hAnsi="Times New Roman" w:cs="Times New Roman" w:eastAsia="Times New Roman"/>
          <w:b/>
        </w:rPr>
        <w:t xml:space="preserve">Evaluate.</w:t>
      </w:r>
      <w:r>
        <w:rPr>
          <w:rFonts w:ascii="Times New Roman" w:hAnsi="Times New Roman" w:cs="Times New Roman" w:eastAsia="Times New Roman"/>
        </w:rPr>
        <w:t xml:space="preserve"> Study A, a controlled synthetic benchmark, asks when cross-attention fusion helps; Study B runs the pipeline on two public real cohorts with pooled and leave-one-cohort-out training, repeated cross-validation and permutation tests (Section 3.9).</w:t>
      </w:r>
    </w:p>
    <w:p>
      <w:pPr>
        <w:keepNext/>
        <w:spacing w:before="120" w:after="40" w:line="240" w:lineRule="auto"/>
        <w:jc w:val="center"/>
      </w:pPr>
      <w:r>
        <w:drawing>
          <wp:inline xmlns:a="http://schemas.openxmlformats.org/drawingml/2006/main" xmlns:pic="http://schemas.openxmlformats.org/drawingml/2006/picture">
            <wp:extent cx="5112000" cy="3226059"/>
            <wp:docPr id="6" name="Picture 6"/>
            <wp:cNvGraphicFramePr>
              <a:graphicFrameLocks noChangeAspect="1"/>
            </wp:cNvGraphicFramePr>
            <a:graphic>
              <a:graphicData uri="http://schemas.openxmlformats.org/drawingml/2006/picture">
                <pic:pic>
                  <pic:nvPicPr>
                    <pic:cNvPr id="0" name="fig_pipeline.png"/>
                    <pic:cNvPicPr/>
                  </pic:nvPicPr>
                  <pic:blipFill>
                    <a:blip r:embed="rId16"/>
                    <a:stretch>
                      <a:fillRect/>
                    </a:stretch>
                  </pic:blipFill>
                  <pic:spPr>
                    <a:xfrm>
                      <a:off x="0" y="0"/>
                      <a:ext cx="5112000" cy="3226059"/>
                    </a:xfrm>
                    <a:prstGeom prst="rect"/>
                  </pic:spPr>
                </pic:pic>
              </a:graphicData>
            </a:graphic>
          </wp:inline>
        </w:drawing>
      </w:r>
    </w:p>
    <w:p>
      <w:pPr>
        <w:pStyle w:val="Caption"/>
      </w:pPr>
      <w:bookmarkStart w:id="1006" w:name="_Ref_Figure_3_1"/>
      <w:r>
        <w:rPr>
          <w:rFonts w:ascii="Times New Roman" w:hAnsi="Times New Roman" w:cs="Times New Roman" w:eastAsia="Times New Roman"/>
          <w:b/>
          <w:sz w:val="22"/>
        </w:rPr>
        <w:t xml:space="preserve">Figure 3.1: </w:t>
      </w:r>
      <w:r>
        <w:rPr>
          <w:rFonts w:ascii="Times New Roman" w:hAnsi="Times New Roman" w:cs="Times New Roman" w:eastAsia="Times New Roman"/>
          <w:sz w:val="22"/>
        </w:rPr>
        <w:t>End-to-end data flow of the proposed framework (final v2/v3 design). Each token stream queries the other through gated bidirectional cross-attention; a learned attention pool feeds the fused head and two auxiliary heads read the unimodal tokens. Dashed arrows: explainability outputs.</w:t>
      </w:r>
      <w:r>
        <w:rPr>
          <w:rFonts w:ascii="Times New Roman" w:hAnsi="Times New Roman" w:cs="Times New Roman" w:eastAsia="Times New Roman"/>
          <w:sz w:val="22"/>
        </w:rPr>
      </w:r>
      <w:bookmarkEnd w:id="1006"/>
    </w:p>
    <w:p>
      <w:pPr>
        <w:pStyle w:val="BodyJ"/>
      </w:pPr>
      <w:r>
        <w:rPr>
          <w:rFonts w:ascii="Times New Roman" w:hAnsi="Times New Roman" w:cs="Times New Roman" w:eastAsia="Times New Roman"/>
        </w:rPr>
        <w:t xml:space="preserve">At the default configuration a paired sample moves through the tensor contract of Table 3.1. The batch dimension </w:t>
      </w:r>
      <w:r>
        <w:rPr>
          <w:rFonts w:ascii="Times New Roman" w:hAnsi="Times New Roman" w:cs="Times New Roman" w:eastAsia="Times New Roman"/>
          <w:i/>
        </w:rPr>
        <w:t>B</w:t>
      </w:r>
      <w:r>
        <w:rPr>
          <w:rFonts w:ascii="Times New Roman" w:hAnsi="Times New Roman" w:cs="Times New Roman" w:eastAsia="Times New Roman"/>
        </w:rPr>
        <w:t xml:space="preserve"> is added by the data loader; the channel dimension is part of each sample.</w:t>
      </w:r>
    </w:p>
    <w:p>
      <w:pPr>
        <w:pStyle w:val="Caption"/>
        <w:keepNext/>
        <w:spacing w:before="160" w:after="80"/>
      </w:pPr>
      <w:bookmarkStart w:id="1007" w:name="_Ref_Table_3_1"/>
      <w:r>
        <w:rPr>
          <w:rFonts w:ascii="Times New Roman" w:hAnsi="Times New Roman" w:cs="Times New Roman" w:eastAsia="Times New Roman"/>
          <w:b/>
          <w:sz w:val="22"/>
        </w:rPr>
        <w:t xml:space="preserve">Table 3.1: </w:t>
      </w:r>
      <w:r>
        <w:rPr>
          <w:rFonts w:ascii="Times New Roman" w:hAnsi="Times New Roman" w:cs="Times New Roman" w:eastAsia="Times New Roman"/>
          <w:sz w:val="22"/>
        </w:rPr>
        <w:t>Tensor contract at the default configuration.</w:t>
      </w:r>
      <w:bookmarkEnd w:id="1007"/>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211"/>
        <w:gridCol w:w="3487"/>
        <w:gridCol w:w="2608"/>
      </w:tblGrid>
      <w:tr>
        <w:trPr>
          <w:cantSplit/>
          <w:tblHeader/>
        </w:trPr>
        <w:tc>
          <w:tcPr>
            <w:tcW w:type="dxa" w:w="2211"/>
            <w:shd w:val="clear" w:color="auto" w:fill="D9D9D9"/>
          </w:tcPr>
          <w:p>
            <w:pPr>
              <w:pStyle w:val="TableText"/>
              <w:keepNext/>
              <w:jc w:val="left"/>
            </w:pPr>
            <w:r>
              <w:rPr>
                <w:rFonts w:ascii="Times New Roman" w:hAnsi="Times New Roman" w:cs="Times New Roman" w:eastAsia="Times New Roman"/>
                <w:b/>
                <w:sz w:val="21"/>
              </w:rPr>
              <w:t>Stage</w:t>
            </w:r>
          </w:p>
        </w:tc>
        <w:tc>
          <w:tcPr>
            <w:tcW w:type="dxa" w:w="3487"/>
            <w:shd w:val="clear" w:color="auto" w:fill="D9D9D9"/>
          </w:tcPr>
          <w:p>
            <w:pPr>
              <w:pStyle w:val="TableText"/>
              <w:keepNext/>
              <w:jc w:val="left"/>
            </w:pPr>
            <w:r>
              <w:rPr>
                <w:rFonts w:ascii="Times New Roman" w:hAnsi="Times New Roman" w:cs="Times New Roman" w:eastAsia="Times New Roman"/>
                <w:b/>
                <w:sz w:val="21"/>
              </w:rPr>
              <w:t>MRI stream</w:t>
            </w:r>
          </w:p>
        </w:tc>
        <w:tc>
          <w:tcPr>
            <w:tcW w:type="dxa" w:w="2608"/>
            <w:shd w:val="clear" w:color="auto" w:fill="D9D9D9"/>
          </w:tcPr>
          <w:p>
            <w:pPr>
              <w:pStyle w:val="TableText"/>
              <w:keepNext/>
              <w:jc w:val="left"/>
            </w:pPr>
            <w:r>
              <w:rPr>
                <w:rFonts w:ascii="Times New Roman" w:hAnsi="Times New Roman" w:cs="Times New Roman" w:eastAsia="Times New Roman"/>
                <w:b/>
                <w:sz w:val="21"/>
              </w:rPr>
              <w:t>VEP stream</w:t>
            </w:r>
          </w:p>
        </w:tc>
      </w:tr>
      <w:tr>
        <w:trPr>
          <w:cantSplit/>
        </w:trPr>
        <w:tc>
          <w:tcPr>
            <w:tcW w:type="dxa" w:w="2211"/>
          </w:tcPr>
          <w:p>
            <w:pPr>
              <w:pStyle w:val="TableText"/>
              <w:keepNext/>
              <w:jc w:val="left"/>
            </w:pPr>
            <w:r>
              <w:rPr>
                <w:rFonts w:ascii="Times New Roman" w:hAnsi="Times New Roman" w:cs="Times New Roman" w:eastAsia="Times New Roman"/>
                <w:sz w:val="21"/>
              </w:rPr>
              <w:t>Raw / loaded</w:t>
            </w:r>
          </w:p>
        </w:tc>
        <w:tc>
          <w:tcPr>
            <w:tcW w:type="dxa" w:w="3487"/>
          </w:tcPr>
          <w:p>
            <w:pPr>
              <w:pStyle w:val="TableText"/>
              <w:keepNext/>
              <w:jc w:val="left"/>
            </w:pPr>
            <w:r>
              <w:rPr>
                <w:rFonts w:ascii="Times New Roman" w:hAnsi="Times New Roman" w:cs="Times New Roman" w:eastAsia="Times New Roman"/>
                <w:sz w:val="21"/>
              </w:rPr>
              <w:t>3D array from NIfTI</w:t>
            </w:r>
          </w:p>
        </w:tc>
        <w:tc>
          <w:tcPr>
            <w:tcW w:type="dxa" w:w="2608"/>
          </w:tcPr>
          <w:p>
            <w:pPr>
              <w:pStyle w:val="TableText"/>
              <w:keepNext/>
              <w:jc w:val="left"/>
            </w:pPr>
            <w:r>
              <w:rPr>
                <w:rFonts w:ascii="Times New Roman" w:hAnsi="Times New Roman" w:cs="Times New Roman" w:eastAsia="Times New Roman"/>
                <w:sz w:val="21"/>
              </w:rPr>
              <w:t xml:space="preserve">1D numeric waveform (VEP), or a log power spectrum for resting recordings</w:t>
            </w:r>
          </w:p>
        </w:tc>
      </w:tr>
      <w:tr>
        <w:trPr>
          <w:cantSplit/>
        </w:trPr>
        <w:tc>
          <w:tcPr>
            <w:tcW w:type="dxa" w:w="2211"/>
          </w:tcPr>
          <w:p>
            <w:pPr>
              <w:pStyle w:val="TableText"/>
              <w:keepNext/>
              <w:jc w:val="left"/>
            </w:pPr>
            <w:r>
              <w:rPr>
                <w:rFonts w:ascii="Times New Roman" w:hAnsi="Times New Roman" w:cs="Times New Roman" w:eastAsia="Times New Roman"/>
                <w:sz w:val="21"/>
              </w:rPr>
              <w:t>After preprocessing</w:t>
            </w:r>
          </w:p>
        </w:tc>
        <w:tc>
          <w:tcPr>
            <w:tcW w:type="dxa" w:w="3487"/>
          </w:tcPr>
          <w:p>
            <w:pPr>
              <w:pStyle w:val="TableText"/>
              <w:keepNext/>
              <w:jc w:val="left"/>
            </w:pPr>
            <w:r>
              <w:rPr>
                <w:rFonts w:ascii="Times New Roman" w:hAnsi="Times New Roman" w:cs="Times New Roman" w:eastAsia="Times New Roman"/>
                <w:sz w:val="21"/>
              </w:rPr>
              <w:t xml:space="preserve">(1, 64, 64, 64); (1, 32, 32, 32) in Study A and the cross-validation study</w:t>
            </w:r>
          </w:p>
        </w:tc>
        <w:tc>
          <w:tcPr>
            <w:tcW w:type="dxa" w:w="2608"/>
          </w:tcPr>
          <w:p>
            <w:pPr>
              <w:pStyle w:val="TableText"/>
              <w:keepNext/>
              <w:jc w:val="left"/>
            </w:pPr>
            <w:r>
              <w:rPr>
                <w:rFonts w:ascii="Times New Roman" w:hAnsi="Times New Roman" w:cs="Times New Roman" w:eastAsia="Times New Roman"/>
                <w:sz w:val="21"/>
              </w:rPr>
              <w:t>(1, 500)</w:t>
            </w:r>
          </w:p>
        </w:tc>
      </w:tr>
      <w:tr>
        <w:trPr>
          <w:cantSplit/>
        </w:trPr>
        <w:tc>
          <w:tcPr>
            <w:tcW w:type="dxa" w:w="2211"/>
          </w:tcPr>
          <w:p>
            <w:pPr>
              <w:pStyle w:val="TableText"/>
              <w:jc w:val="left"/>
            </w:pPr>
            <w:r>
              <w:rPr>
                <w:rFonts w:ascii="Times New Roman" w:hAnsi="Times New Roman" w:cs="Times New Roman" w:eastAsia="Times New Roman"/>
                <w:sz w:val="21"/>
              </w:rPr>
              <w:t>Encoder output (tokens)</w:t>
            </w:r>
          </w:p>
        </w:tc>
        <w:tc>
          <w:tcPr>
            <w:tcW w:type="dxa" w:w="3487"/>
          </w:tcPr>
          <w:p>
            <w:pPr>
              <w:pStyle w:val="TableText"/>
              <w:jc w:val="left"/>
            </w:pPr>
            <w:r>
              <w:rPr>
                <w:rFonts w:ascii="Times New Roman" w:hAnsi="Times New Roman" w:cs="Times New Roman" w:eastAsia="Times New Roman"/>
                <w:sz w:val="21"/>
              </w:rPr>
              <w:t>(B, 64, 128)</w:t>
            </w:r>
          </w:p>
        </w:tc>
        <w:tc>
          <w:tcPr>
            <w:tcW w:type="dxa" w:w="2608"/>
          </w:tcPr>
          <w:p>
            <w:pPr>
              <w:pStyle w:val="TableText"/>
              <w:jc w:val="left"/>
            </w:pPr>
            <w:r>
              <w:rPr>
                <w:rFonts w:ascii="Times New Roman" w:hAnsi="Times New Roman" w:cs="Times New Roman" w:eastAsia="Times New Roman"/>
                <w:sz w:val="21"/>
              </w:rPr>
              <w:t>(B, 16, 128)</w:t>
            </w:r>
          </w:p>
        </w:tc>
      </w:tr>
      <w:tr>
        <w:trPr>
          <w:cantSplit/>
        </w:trPr>
        <w:tc>
          <w:tcPr>
            <w:tcW w:type="dxa" w:w="2211"/>
          </w:tcPr>
          <w:p>
            <w:pPr>
              <w:pStyle w:val="TableText"/>
              <w:jc w:val="left"/>
            </w:pPr>
            <w:r>
              <w:rPr>
                <w:rFonts w:ascii="Times New Roman" w:hAnsi="Times New Roman" w:cs="Times New Roman" w:eastAsia="Times New Roman"/>
                <w:sz w:val="21"/>
              </w:rPr>
              <w:t>Cross-attention weights</w:t>
            </w:r>
          </w:p>
        </w:tc>
        <w:tc>
          <w:tcPr>
            <w:tcW w:type="dxa" w:w="3487"/>
          </w:tcPr>
          <w:p>
            <w:pPr>
              <w:pStyle w:val="TableText"/>
              <w:jc w:val="left"/>
            </w:pPr>
            <w:r>
              <w:rPr>
                <w:rFonts w:ascii="Times New Roman" w:hAnsi="Times New Roman" w:cs="Times New Roman" w:eastAsia="Times New Roman"/>
                <w:sz w:val="21"/>
              </w:rPr>
              <w:t xml:space="preserve">(B, 4, 64, 16) forward (spatial queries, temporal keys) and (B, 4, 16, 64) backward (temporal queries, spatial keys): 4 heads</w:t>
            </w:r>
          </w:p>
        </w:tc>
        <w:tc>
          <w:tcPr>
            <w:tcW w:type="dxa" w:w="2608"/>
          </w:tcPr>
          <w:p>
            <w:pPr>
              <w:pStyle w:val="TableText"/>
              <w:jc w:val="left"/>
            </w:pPr>
          </w:p>
        </w:tc>
      </w:tr>
      <w:tr>
        <w:trPr>
          <w:cantSplit/>
        </w:trPr>
        <w:tc>
          <w:tcPr>
            <w:tcW w:type="dxa" w:w="2211"/>
          </w:tcPr>
          <w:p>
            <w:pPr>
              <w:pStyle w:val="TableText"/>
              <w:jc w:val="left"/>
            </w:pPr>
            <w:r>
              <w:rPr>
                <w:rFonts w:ascii="Times New Roman" w:hAnsi="Times New Roman" w:cs="Times New Roman" w:eastAsia="Times New Roman"/>
                <w:sz w:val="21"/>
              </w:rPr>
              <w:t>Fused tokens</w:t>
            </w:r>
          </w:p>
        </w:tc>
        <w:tc>
          <w:tcPr>
            <w:tcW w:type="dxa" w:w="3487"/>
          </w:tcPr>
          <w:p>
            <w:pPr>
              <w:pStyle w:val="TableText"/>
              <w:jc w:val="left"/>
            </w:pPr>
            <w:r>
              <w:rPr>
                <w:rFonts w:ascii="Times New Roman" w:hAnsi="Times New Roman" w:cs="Times New Roman" w:eastAsia="Times New Roman"/>
                <w:sz w:val="21"/>
              </w:rPr>
              <w:t xml:space="preserve">(B, 64, 128), pooled by a learned attention pool to (B, 128)</w:t>
            </w:r>
          </w:p>
        </w:tc>
        <w:tc>
          <w:tcPr>
            <w:tcW w:type="dxa" w:w="2608"/>
          </w:tcPr>
          <w:p>
            <w:pPr>
              <w:pStyle w:val="TableText"/>
              <w:jc w:val="left"/>
            </w:pPr>
            <w:r>
              <w:rPr>
                <w:rFonts w:ascii="Times New Roman" w:hAnsi="Times New Roman" w:cs="Times New Roman" w:eastAsia="Times New Roman"/>
                <w:sz w:val="21"/>
              </w:rPr>
              <w:t xml:space="preserve">(B, 16, 128) updated temporal tokens (not read by the head)</w:t>
            </w:r>
          </w:p>
        </w:tc>
      </w:tr>
      <w:tr>
        <w:trPr>
          <w:cantSplit/>
        </w:trPr>
        <w:tc>
          <w:tcPr>
            <w:tcW w:type="dxa" w:w="2211"/>
          </w:tcPr>
          <w:p>
            <w:pPr>
              <w:pStyle w:val="TableText"/>
              <w:jc w:val="left"/>
            </w:pPr>
            <w:r>
              <w:rPr>
                <w:rFonts w:ascii="Times New Roman" w:hAnsi="Times New Roman" w:cs="Times New Roman" w:eastAsia="Times New Roman"/>
                <w:sz w:val="21"/>
              </w:rPr>
              <w:t>Logits</w:t>
            </w:r>
          </w:p>
        </w:tc>
        <w:tc>
          <w:tcPr>
            <w:tcW w:type="dxa" w:w="3487"/>
          </w:tcPr>
          <w:p>
            <w:pPr>
              <w:pStyle w:val="TableText"/>
              <w:jc w:val="left"/>
            </w:pPr>
            <w:r>
              <w:rPr>
                <w:rFonts w:ascii="Times New Roman" w:hAnsi="Times New Roman" w:cs="Times New Roman" w:eastAsia="Times New Roman"/>
                <w:sz w:val="21"/>
              </w:rPr>
              <w:t xml:space="preserve">Fused (B, C); spatial auxiliary (B, C)</w:t>
            </w:r>
          </w:p>
        </w:tc>
        <w:tc>
          <w:tcPr>
            <w:tcW w:type="dxa" w:w="2608"/>
          </w:tcPr>
          <w:p>
            <w:pPr>
              <w:pStyle w:val="TableText"/>
              <w:jc w:val="left"/>
            </w:pPr>
            <w:r>
              <w:rPr>
                <w:rFonts w:ascii="Times New Roman" w:hAnsi="Times New Roman" w:cs="Times New Roman" w:eastAsia="Times New Roman"/>
                <w:sz w:val="21"/>
              </w:rPr>
              <w:t xml:space="preserve">Temporal auxiliary (B, C); C = 3 (synthetic) or 2 (real cohorts)</w:t>
            </w:r>
          </w:p>
        </w:tc>
      </w:tr>
    </w:tbl>
    <w:p>
      <w:pPr>
        <w:spacing w:after="80" w:line="240" w:lineRule="auto"/>
      </w:pPr>
    </w:p>
    <w:p>
      <w:pPr>
        <w:pStyle w:val="Heading2"/>
      </w:pPr>
      <w:r>
        <w:rPr>
          <w:rFonts w:ascii="Times New Roman" w:hAnsi="Times New Roman" w:cs="Times New Roman" w:eastAsia="Times New Roman"/>
          <w:b/>
          <w:sz w:val="28"/>
        </w:rPr>
        <w:t>3.2  DESIGN PRINCIPLES</w:t>
      </w:r>
    </w:p>
    <w:p>
      <w:pPr>
        <w:pStyle w:val="ListBullet"/>
      </w:pPr>
      <w:r>
        <w:rPr>
          <w:rFonts w:ascii="Times New Roman" w:hAnsi="Times New Roman" w:cs="Times New Roman" w:eastAsia="Times New Roman"/>
          <w:b/>
        </w:rPr>
        <w:t>Single source of truth.</w:t>
      </w:r>
      <w:r>
        <w:rPr>
          <w:rFonts w:ascii="Times New Roman" w:hAnsi="Times New Roman" w:cs="Times New Roman" w:eastAsia="Times New Roman"/>
        </w:rPr>
        <w:t xml:space="preserve"> Every shape and hyper-parameter lives in frozen dataclasses in </w:t>
      </w:r>
      <w:r>
        <w:rPr>
          <w:rFonts w:ascii="Courier New" w:hAnsi="Courier New" w:cs="Courier New" w:eastAsia="Courier New"/>
          <w:i w:val="0"/>
          <w:sz w:val="22"/>
        </w:rPr>
        <w:t>src/config.py</w:t>
      </w:r>
      <w:r>
        <w:rPr>
          <w:rFonts w:ascii="Times New Roman" w:hAnsi="Times New Roman" w:cs="Times New Roman" w:eastAsia="Times New Roman"/>
        </w:rPr>
        <w:t>; the preprocessing stream, both encoders, the fusion module and the training loop read from it, so they cannot silently disagree.</w:t>
      </w:r>
    </w:p>
    <w:p>
      <w:pPr>
        <w:pStyle w:val="ListBullet"/>
      </w:pPr>
      <w:r>
        <w:rPr>
          <w:rFonts w:ascii="Times New Roman" w:hAnsi="Times New Roman" w:cs="Times New Roman" w:eastAsia="Times New Roman"/>
          <w:b/>
        </w:rPr>
        <w:t>Fail loudly on invalid input.</w:t>
      </w:r>
      <w:r>
        <w:rPr>
          <w:rFonts w:ascii="Times New Roman" w:hAnsi="Times New Roman" w:cs="Times New Roman" w:eastAsia="Times New Roman"/>
        </w:rPr>
        <w:t xml:space="preserve"> Preprocessing functions validate dimensionality, finiteness, sampling limits (for example, a band-pass upper edge above the Nyquist frequency is rejected) and signal length, and raise explicit errors.</w:t>
      </w:r>
    </w:p>
    <w:p>
      <w:pPr>
        <w:pStyle w:val="ListBullet"/>
      </w:pPr>
      <w:r>
        <w:rPr>
          <w:rFonts w:ascii="Times New Roman" w:hAnsi="Times New Roman" w:cs="Times New Roman" w:eastAsia="Times New Roman"/>
          <w:b/>
        </w:rPr>
        <w:t>Same interface for real and synthetic data.</w:t>
      </w:r>
      <w:r>
        <w:rPr>
          <w:rFonts w:ascii="Times New Roman" w:hAnsi="Times New Roman" w:cs="Times New Roman" w:eastAsia="Times New Roman"/>
        </w:rPr>
        <w:t xml:space="preserve"> The synthetic generator writes real NIfTI and CSV files and a manifest, so the exact code path that a clinical cohort would use is tested.</w:t>
      </w:r>
    </w:p>
    <w:p>
      <w:pPr>
        <w:pStyle w:val="ListBullet"/>
      </w:pPr>
      <w:r>
        <w:rPr>
          <w:rFonts w:ascii="Times New Roman" w:hAnsi="Times New Roman" w:cs="Times New Roman" w:eastAsia="Times New Roman"/>
          <w:b/>
        </w:rPr>
        <w:t>Replaceable placeholders.</w:t>
      </w:r>
      <w:r>
        <w:rPr>
          <w:rFonts w:ascii="Times New Roman" w:hAnsi="Times New Roman" w:cs="Times New Roman" w:eastAsia="Times New Roman"/>
        </w:rPr>
        <w:t xml:space="preserve"> Components known to be prototype-grade, notably the foreground mask, are isolated behind one function so a validated tool can be substituted without changing anything downstream.</w:t>
      </w:r>
    </w:p>
    <w:p>
      <w:pPr>
        <w:pStyle w:val="ListBullet"/>
      </w:pPr>
      <w:r>
        <w:rPr>
          <w:rFonts w:ascii="Times New Roman" w:hAnsi="Times New Roman" w:cs="Times New Roman" w:eastAsia="Times New Roman"/>
          <w:b/>
        </w:rPr>
        <w:t xml:space="preserve">Test every module and the whole system.</w:t>
      </w:r>
      <w:r>
        <w:rPr>
          <w:rFonts w:ascii="Times New Roman" w:hAnsi="Times New Roman" w:cs="Times New Roman" w:eastAsia="Times New Roman"/>
        </w:rPr>
        <w:t xml:space="preserve"> Each module has unit tests (340 tests in all); three integration suites test the raw-file-to-optimiser-step path, the training loop and the v2 training pipeline.</w:t>
      </w:r>
    </w:p>
    <w:p>
      <w:pPr>
        <w:pStyle w:val="ListBullet"/>
      </w:pPr>
      <w:r>
        <w:rPr>
          <w:rFonts w:ascii="Times New Roman" w:hAnsi="Times New Roman" w:cs="Times New Roman" w:eastAsia="Times New Roman"/>
          <w:b/>
        </w:rPr>
        <w:t xml:space="preserve">Reproducible by construction.</w:t>
      </w:r>
      <w:r>
        <w:rPr>
          <w:rFonts w:ascii="Times New Roman" w:hAnsi="Times New Roman" w:cs="Times New Roman" w:eastAsia="Times New Roman"/>
        </w:rPr>
        <w:t xml:space="preserve"> One constant seed (42; repeat </w:t>
      </w:r>
      <w:r>
        <w:rPr>
          <w:rFonts w:ascii="Times New Roman" w:hAnsi="Times New Roman" w:cs="Times New Roman" w:eastAsia="Times New Roman"/>
          <w:i/>
        </w:rPr>
        <w:t xml:space="preserve">k</w:t>
      </w:r>
      <w:r>
        <w:rPr>
          <w:rFonts w:ascii="Times New Roman" w:hAnsi="Times New Roman" w:cs="Times New Roman" w:eastAsia="Times New Roman"/>
        </w:rPr>
        <w:t xml:space="preserve"> uses 42 + </w:t>
      </w:r>
      <w:r>
        <w:rPr>
          <w:rFonts w:ascii="Times New Roman" w:hAnsi="Times New Roman" w:cs="Times New Roman" w:eastAsia="Times New Roman"/>
          <w:i/>
        </w:rPr>
        <w:t xml:space="preserve">k</w:t>
      </w:r>
      <w:r>
        <w:rPr>
          <w:rFonts w:ascii="Times New Roman" w:hAnsi="Times New Roman" w:cs="Times New Roman" w:eastAsia="Times New Roman"/>
        </w:rPr>
        <w:t xml:space="preserve">), deterministic algorithms, matrix-product adaptive pooling that is deterministic on CUDA, an environment snapshot recorded with each run, and one resumable script for download, preprocessing, training, validation and testing.</w:t>
      </w:r>
    </w:p>
    <w:p>
      <w:pPr>
        <w:pStyle w:val="Heading2"/>
      </w:pPr>
      <w:r>
        <w:rPr>
          <w:rFonts w:ascii="Times New Roman" w:hAnsi="Times New Roman" w:cs="Times New Roman" w:eastAsia="Times New Roman"/>
          <w:b/>
          <w:sz w:val="28"/>
        </w:rPr>
        <w:t>3.3  TOOLS AND ENVIRONMENT</w:t>
      </w:r>
    </w:p>
    <w:p>
      <w:pPr>
        <w:pStyle w:val="Caption"/>
        <w:keepNext/>
        <w:spacing w:before="160" w:after="80"/>
      </w:pPr>
      <w:bookmarkStart w:id="1008" w:name="_Ref_Table_3_2"/>
      <w:r>
        <w:rPr>
          <w:rFonts w:ascii="Times New Roman" w:hAnsi="Times New Roman" w:cs="Times New Roman" w:eastAsia="Times New Roman"/>
          <w:b/>
          <w:sz w:val="22"/>
        </w:rPr>
        <w:t xml:space="preserve">Table 3.2: </w:t>
      </w:r>
      <w:r>
        <w:rPr>
          <w:rFonts w:ascii="Times New Roman" w:hAnsi="Times New Roman" w:cs="Times New Roman" w:eastAsia="Times New Roman"/>
          <w:sz w:val="22"/>
        </w:rPr>
        <w:t xml:space="preserve">Software stack. nilearn is listed in requirements.txt but is not imported by the current source or tests.</w:t>
      </w:r>
      <w:bookmarkEnd w:id="1008"/>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061"/>
        <w:gridCol w:w="5244"/>
      </w:tblGrid>
      <w:tr>
        <w:trPr>
          <w:cantSplit/>
          <w:tblHeader/>
        </w:trPr>
        <w:tc>
          <w:tcPr>
            <w:tcW w:type="dxa" w:w="3061"/>
            <w:shd w:val="clear" w:color="auto" w:fill="D9D9D9"/>
          </w:tcPr>
          <w:p>
            <w:pPr>
              <w:pStyle w:val="TableText"/>
              <w:keepNext/>
              <w:jc w:val="left"/>
            </w:pPr>
            <w:r>
              <w:rPr>
                <w:rFonts w:ascii="Times New Roman" w:hAnsi="Times New Roman" w:cs="Times New Roman" w:eastAsia="Times New Roman"/>
                <w:b/>
                <w:sz w:val="21"/>
              </w:rPr>
              <w:t>Component</w:t>
            </w:r>
          </w:p>
        </w:tc>
        <w:tc>
          <w:tcPr>
            <w:tcW w:type="dxa" w:w="5244"/>
            <w:shd w:val="clear" w:color="auto" w:fill="D9D9D9"/>
          </w:tcPr>
          <w:p>
            <w:pPr>
              <w:pStyle w:val="TableText"/>
              <w:keepNext/>
              <w:jc w:val="left"/>
            </w:pPr>
            <w:r>
              <w:rPr>
                <w:rFonts w:ascii="Times New Roman" w:hAnsi="Times New Roman" w:cs="Times New Roman" w:eastAsia="Times New Roman"/>
                <w:b/>
                <w:sz w:val="21"/>
              </w:rPr>
              <w:t>Role in the project</w:t>
            </w:r>
          </w:p>
        </w:tc>
      </w:tr>
      <w:tr>
        <w:trPr>
          <w:cantSplit/>
        </w:trPr>
        <w:tc>
          <w:tcPr>
            <w:tcW w:type="dxa" w:w="3061"/>
          </w:tcPr>
          <w:p>
            <w:pPr>
              <w:pStyle w:val="TableText"/>
              <w:keepNext/>
              <w:jc w:val="left"/>
            </w:pPr>
            <w:r>
              <w:rPr>
                <w:rFonts w:ascii="Times New Roman" w:hAnsi="Times New Roman" w:cs="Times New Roman" w:eastAsia="Times New Roman"/>
                <w:sz w:val="21"/>
              </w:rPr>
              <w:t>Python 3</w:t>
            </w:r>
          </w:p>
        </w:tc>
        <w:tc>
          <w:tcPr>
            <w:tcW w:type="dxa" w:w="5244"/>
          </w:tcPr>
          <w:p>
            <w:pPr>
              <w:pStyle w:val="TableText"/>
              <w:keepNext/>
              <w:jc w:val="left"/>
            </w:pPr>
            <w:r>
              <w:rPr>
                <w:rFonts w:ascii="Times New Roman" w:hAnsi="Times New Roman" w:cs="Times New Roman" w:eastAsia="Times New Roman"/>
                <w:sz w:val="21"/>
              </w:rPr>
              <w:t xml:space="preserve">Implementation language: Python 3.12 (Ubuntu 22.04 on WSL2) and 3.14 (macOS); the version is recorded in each run's environment snapshot</w:t>
            </w:r>
          </w:p>
        </w:tc>
      </w:tr>
      <w:tr>
        <w:trPr>
          <w:cantSplit/>
        </w:trPr>
        <w:tc>
          <w:tcPr>
            <w:tcW w:type="dxa" w:w="3061"/>
          </w:tcPr>
          <w:p>
            <w:pPr>
              <w:pStyle w:val="TableText"/>
              <w:keepNext/>
              <w:jc w:val="left"/>
            </w:pPr>
            <w:r>
              <w:rPr>
                <w:rFonts w:ascii="Times New Roman" w:hAnsi="Times New Roman" w:cs="Times New Roman" w:eastAsia="Times New Roman"/>
                <w:sz w:val="21"/>
              </w:rPr>
              <w:t>PyTorch (Paszke et al., 2019)</w:t>
            </w:r>
          </w:p>
        </w:tc>
        <w:tc>
          <w:tcPr>
            <w:tcW w:type="dxa" w:w="5244"/>
          </w:tcPr>
          <w:p>
            <w:pPr>
              <w:pStyle w:val="TableText"/>
              <w:keepNext/>
              <w:jc w:val="left"/>
            </w:pPr>
            <w:r>
              <w:rPr>
                <w:rFonts w:ascii="Times New Roman" w:hAnsi="Times New Roman" w:cs="Times New Roman" w:eastAsia="Times New Roman"/>
                <w:sz w:val="21"/>
              </w:rPr>
              <w:t xml:space="preserve">Tensors, neural-network modules, automatic differentiation, optimisation, data loading; the device is chosen automatically (CUDA, Apple MPS or CPU), with mixed precision on CUDA and deterministic algorithms requested</w:t>
            </w:r>
          </w:p>
        </w:tc>
      </w:tr>
      <w:tr>
        <w:trPr>
          <w:cantSplit/>
        </w:trPr>
        <w:tc>
          <w:tcPr>
            <w:tcW w:type="dxa" w:w="3061"/>
          </w:tcPr>
          <w:p>
            <w:pPr>
              <w:pStyle w:val="TableText"/>
              <w:jc w:val="left"/>
            </w:pPr>
            <w:r>
              <w:rPr>
                <w:rFonts w:ascii="Times New Roman" w:hAnsi="Times New Roman" w:cs="Times New Roman" w:eastAsia="Times New Roman"/>
                <w:sz w:val="21"/>
              </w:rPr>
              <w:t>MONAI (Cardoso et al., 2022)</w:t>
            </w:r>
          </w:p>
        </w:tc>
        <w:tc>
          <w:tcPr>
            <w:tcW w:type="dxa" w:w="5244"/>
          </w:tcPr>
          <w:p>
            <w:pPr>
              <w:pStyle w:val="TableText"/>
              <w:jc w:val="left"/>
            </w:pPr>
            <w:r>
              <w:rPr>
                <w:rFonts w:ascii="Courier New" w:hAnsi="Courier New" w:cs="Courier New" w:eastAsia="Courier New"/>
                <w:i w:val="0"/>
                <w:sz w:val="20"/>
              </w:rPr>
              <w:t>Resize</w:t>
            </w:r>
            <w:r>
              <w:rPr>
                <w:rFonts w:ascii="Times New Roman" w:hAnsi="Times New Roman" w:cs="Times New Roman" w:eastAsia="Times New Roman"/>
                <w:sz w:val="21"/>
              </w:rPr>
              <w:t xml:space="preserve"> (trilinear), </w:t>
            </w:r>
            <w:r>
              <w:rPr>
                <w:rFonts w:ascii="Courier New" w:hAnsi="Courier New" w:cs="Courier New" w:eastAsia="Courier New"/>
                <w:i w:val="0"/>
                <w:sz w:val="20"/>
              </w:rPr>
              <w:t>ScaleIntensity</w:t>
            </w:r>
            <w:r>
              <w:rPr>
                <w:rFonts w:ascii="Times New Roman" w:hAnsi="Times New Roman" w:cs="Times New Roman" w:eastAsia="Times New Roman"/>
                <w:sz w:val="21"/>
              </w:rPr>
              <w:t xml:space="preserve">, </w:t>
            </w:r>
            <w:r>
              <w:rPr>
                <w:rFonts w:ascii="Courier New" w:hAnsi="Courier New" w:cs="Courier New" w:eastAsia="Courier New"/>
                <w:i w:val="0"/>
                <w:sz w:val="20"/>
              </w:rPr>
              <w:t>ResizeWithPadOrCrop</w:t>
            </w:r>
            <w:r>
              <w:rPr>
                <w:rFonts w:ascii="Times New Roman" w:hAnsi="Times New Roman" w:cs="Times New Roman" w:eastAsia="Times New Roman"/>
                <w:sz w:val="21"/>
              </w:rPr>
              <w:t xml:space="preserve"> for the MRI stream</w:t>
            </w:r>
          </w:p>
        </w:tc>
      </w:tr>
      <w:tr>
        <w:trPr>
          <w:cantSplit/>
        </w:trPr>
        <w:tc>
          <w:tcPr>
            <w:tcW w:type="dxa" w:w="3061"/>
          </w:tcPr>
          <w:p>
            <w:pPr>
              <w:pStyle w:val="TableText"/>
              <w:jc w:val="left"/>
            </w:pPr>
            <w:r>
              <w:rPr>
                <w:rFonts w:ascii="Times New Roman" w:hAnsi="Times New Roman" w:cs="Times New Roman" w:eastAsia="Times New Roman"/>
                <w:sz w:val="21"/>
              </w:rPr>
              <w:t>NiBabel (NiBabel Developers, n.d.)</w:t>
            </w:r>
          </w:p>
        </w:tc>
        <w:tc>
          <w:tcPr>
            <w:tcW w:type="dxa" w:w="5244"/>
          </w:tcPr>
          <w:p>
            <w:pPr>
              <w:pStyle w:val="TableText"/>
              <w:jc w:val="left"/>
            </w:pPr>
            <w:r>
              <w:rPr>
                <w:rFonts w:ascii="Times New Roman" w:hAnsi="Times New Roman" w:cs="Times New Roman" w:eastAsia="Times New Roman"/>
                <w:sz w:val="21"/>
              </w:rPr>
              <w:t>NIfTI reading and writing; reorientation to the closest canonical (RAS) frame</w:t>
            </w:r>
          </w:p>
        </w:tc>
      </w:tr>
      <w:tr>
        <w:trPr>
          <w:cantSplit/>
        </w:trPr>
        <w:tc>
          <w:tcPr>
            <w:tcW w:type="dxa" w:w="3061"/>
          </w:tcPr>
          <w:p>
            <w:pPr>
              <w:pStyle w:val="TableText"/>
              <w:jc w:val="left"/>
            </w:pPr>
            <w:r>
              <w:rPr>
                <w:rFonts w:ascii="Times New Roman" w:hAnsi="Times New Roman" w:cs="Times New Roman" w:eastAsia="Times New Roman"/>
                <w:sz w:val="21"/>
              </w:rPr>
              <w:t>SciPy (Virtanen et al., 2020)</w:t>
            </w:r>
          </w:p>
        </w:tc>
        <w:tc>
          <w:tcPr>
            <w:tcW w:type="dxa" w:w="5244"/>
          </w:tcPr>
          <w:p>
            <w:pPr>
              <w:pStyle w:val="TableText"/>
              <w:jc w:val="left"/>
            </w:pPr>
            <w:r>
              <w:rPr>
                <w:rFonts w:ascii="Courier New" w:hAnsi="Courier New" w:cs="Courier New" w:eastAsia="Courier New"/>
                <w:i w:val="0"/>
                <w:sz w:val="20"/>
              </w:rPr>
              <w:t>butter</w:t>
            </w:r>
            <w:r>
              <w:rPr>
                <w:rFonts w:ascii="Times New Roman" w:hAnsi="Times New Roman" w:cs="Times New Roman" w:eastAsia="Times New Roman"/>
                <w:sz w:val="21"/>
              </w:rPr>
              <w:t xml:space="preserve">, </w:t>
            </w:r>
            <w:r>
              <w:rPr>
                <w:rFonts w:ascii="Courier New" w:hAnsi="Courier New" w:cs="Courier New" w:eastAsia="Courier New"/>
                <w:i w:val="0"/>
                <w:sz w:val="20"/>
              </w:rPr>
              <w:t>sosfiltfilt</w:t>
            </w:r>
            <w:r>
              <w:rPr>
                <w:rFonts w:ascii="Times New Roman" w:hAnsi="Times New Roman" w:cs="Times New Roman" w:eastAsia="Times New Roman"/>
                <w:sz w:val="21"/>
              </w:rPr>
              <w:t xml:space="preserve">, </w:t>
            </w:r>
            <w:r>
              <w:rPr>
                <w:rFonts w:ascii="Courier New" w:hAnsi="Courier New" w:cs="Courier New" w:eastAsia="Courier New"/>
                <w:i w:val="0"/>
                <w:sz w:val="20"/>
              </w:rPr>
              <w:t>iirnotch</w:t>
            </w:r>
            <w:r>
              <w:rPr>
                <w:rFonts w:ascii="Times New Roman" w:hAnsi="Times New Roman" w:cs="Times New Roman" w:eastAsia="Times New Roman"/>
                <w:sz w:val="21"/>
              </w:rPr>
              <w:t xml:space="preserve">, </w:t>
            </w:r>
            <w:r>
              <w:rPr>
                <w:rFonts w:ascii="Courier New" w:hAnsi="Courier New" w:cs="Courier New" w:eastAsia="Courier New"/>
                <w:i w:val="0"/>
                <w:sz w:val="20"/>
              </w:rPr>
              <w:t>filtfilt</w:t>
            </w:r>
            <w:r>
              <w:rPr>
                <w:rFonts w:ascii="Times New Roman" w:hAnsi="Times New Roman" w:cs="Times New Roman" w:eastAsia="Times New Roman"/>
                <w:sz w:val="21"/>
              </w:rPr>
              <w:t xml:space="preserve"> for VEP conditioning</w:t>
            </w:r>
          </w:p>
        </w:tc>
      </w:tr>
      <w:tr>
        <w:trPr>
          <w:cantSplit/>
        </w:trPr>
        <w:tc>
          <w:tcPr>
            <w:tcW w:type="dxa" w:w="3061"/>
          </w:tcPr>
          <w:p>
            <w:pPr>
              <w:pStyle w:val="TableText"/>
              <w:jc w:val="left"/>
            </w:pPr>
            <w:r>
              <w:rPr>
                <w:rFonts w:ascii="Times New Roman" w:hAnsi="Times New Roman" w:cs="Times New Roman" w:eastAsia="Times New Roman"/>
                <w:sz w:val="21"/>
              </w:rPr>
              <w:t>NumPy (Harris et al., 2020)</w:t>
            </w:r>
          </w:p>
        </w:tc>
        <w:tc>
          <w:tcPr>
            <w:tcW w:type="dxa" w:w="5244"/>
          </w:tcPr>
          <w:p>
            <w:pPr>
              <w:pStyle w:val="TableText"/>
              <w:jc w:val="left"/>
            </w:pPr>
            <w:r>
              <w:rPr>
                <w:rFonts w:ascii="Times New Roman" w:hAnsi="Times New Roman" w:cs="Times New Roman" w:eastAsia="Times New Roman"/>
                <w:sz w:val="21"/>
              </w:rPr>
              <w:t>Array computation; synthetic data generation</w:t>
            </w:r>
          </w:p>
        </w:tc>
      </w:tr>
      <w:tr>
        <w:trPr>
          <w:cantSplit/>
        </w:trPr>
        <w:tc>
          <w:tcPr>
            <w:tcW w:type="dxa" w:w="3061"/>
          </w:tcPr>
          <w:p>
            <w:pPr>
              <w:pStyle w:val="TableText"/>
              <w:jc w:val="left"/>
            </w:pPr>
            <w:r>
              <w:rPr>
                <w:rFonts w:ascii="Times New Roman" w:hAnsi="Times New Roman" w:cs="Times New Roman" w:eastAsia="Times New Roman"/>
                <w:sz w:val="21"/>
              </w:rPr>
              <w:t>Matplotlib (Hunter, 2007)</w:t>
            </w:r>
          </w:p>
        </w:tc>
        <w:tc>
          <w:tcPr>
            <w:tcW w:type="dxa" w:w="5244"/>
          </w:tcPr>
          <w:p>
            <w:pPr>
              <w:pStyle w:val="TableText"/>
              <w:jc w:val="left"/>
            </w:pPr>
            <w:r>
              <w:rPr>
                <w:rFonts w:ascii="Times New Roman" w:hAnsi="Times New Roman" w:cs="Times New Roman" w:eastAsia="Times New Roman"/>
                <w:sz w:val="21"/>
              </w:rPr>
              <w:t>Grad-CAM slice overlays and the attention heatmap</w:t>
            </w:r>
          </w:p>
        </w:tc>
      </w:tr>
      <w:tr>
        <w:trPr>
          <w:cantSplit/>
        </w:trPr>
        <w:tc>
          <w:tcPr>
            <w:tcW w:type="dxa" w:w="3061"/>
          </w:tcPr>
          <w:p>
            <w:pPr>
              <w:pStyle w:val="TableText"/>
              <w:jc w:val="left"/>
            </w:pPr>
            <w:r>
              <w:rPr>
                <w:rFonts w:ascii="Times New Roman" w:hAnsi="Times New Roman" w:cs="Times New Roman" w:eastAsia="Times New Roman"/>
                <w:sz w:val="21"/>
              </w:rPr>
              <w:t>pytest, pytest-cov</w:t>
            </w:r>
          </w:p>
        </w:tc>
        <w:tc>
          <w:tcPr>
            <w:tcW w:type="dxa" w:w="5244"/>
          </w:tcPr>
          <w:p>
            <w:pPr>
              <w:pStyle w:val="TableText"/>
              <w:jc w:val="left"/>
            </w:pPr>
            <w:r>
              <w:rPr>
                <w:rFonts w:ascii="Times New Roman" w:hAnsi="Times New Roman" w:cs="Times New Roman" w:eastAsia="Times New Roman"/>
                <w:sz w:val="21"/>
              </w:rPr>
              <w:t>Unit and integration tests and coverage measurement</w:t>
            </w:r>
          </w:p>
        </w:tc>
      </w:tr>
      <w:tr>
        <w:trPr>
          <w:cantSplit/>
        </w:trPr>
        <w:tc>
          <w:tcPr>
            <w:tcW w:type="dxa" w:w="3061"/>
          </w:tcPr>
          <w:p>
            <w:pPr>
              <w:pStyle w:val="TableText"/>
              <w:jc w:val="left"/>
            </w:pPr>
            <w:r>
              <w:rPr>
                <w:rFonts w:ascii="Times New Roman" w:hAnsi="Times New Roman" w:cs="Times New Roman" w:eastAsia="Times New Roman"/>
                <w:sz w:val="21"/>
              </w:rPr>
              <w:t xml:space="preserve">MNE-Python (Gramfort et al., 2013), scikit-learn (Pedregosa et al., 2011)</w:t>
            </w:r>
          </w:p>
        </w:tc>
        <w:tc>
          <w:tcPr>
            <w:tcW w:type="dxa" w:w="5244"/>
          </w:tcPr>
          <w:p>
            <w:pPr>
              <w:pStyle w:val="TableText"/>
              <w:jc w:val="left"/>
            </w:pPr>
            <w:r>
              <w:rPr>
                <w:rFonts w:ascii="Times New Roman" w:hAnsi="Times New Roman" w:cs="Times New Roman" w:eastAsia="Times New Roman"/>
                <w:sz w:val="21"/>
              </w:rPr>
              <w:t xml:space="preserve">MNE-Python reads the CTF MEG and EDF polysomnography files; scikit-learn provides the classical baselines, cross-validation, bootstrap and permutation tests. (nilearn is listed as a dependency but not used.)</w:t>
            </w:r>
          </w:p>
        </w:tc>
      </w:tr>
    </w:tbl>
    <w:p>
      <w:pPr>
        <w:spacing w:after="80" w:line="240" w:lineRule="auto"/>
      </w:pPr>
    </w:p>
    <w:p>
      <w:pPr>
        <w:pStyle w:val="BodyJ"/>
      </w:pPr>
      <w:r>
        <w:rPr>
          <w:rFonts w:ascii="Times New Roman" w:hAnsi="Times New Roman" w:cs="Times New Roman" w:eastAsia="Times New Roman"/>
        </w:rPr>
        <w:t xml:space="preserve">The source code is held in a Git repository (NeuroImaging). It now comprises about 5,700 lines of Python source in 26 modules (including the cohort loaders, the experiment runners and the deterministic pooling), 29 test files with about 3,700 lines of tests plus a shared fixtures file, a dataset downloader script and the </w:t>
      </w:r>
      <w:r>
        <w:rPr>
          <w:rFonts w:ascii="Courier New" w:hAnsi="Courier New" w:cs="Courier New" w:eastAsia="Courier New"/>
        </w:rPr>
        <w:t xml:space="preserve">run_all.sh</w:t>
      </w:r>
      <w:r>
        <w:rPr>
          <w:rFonts w:ascii="Times New Roman" w:hAnsi="Times New Roman" w:cs="Times New Roman" w:eastAsia="Times New Roman"/>
        </w:rPr>
        <w:t xml:space="preserve"> reproduction script. The original code base, on which the measurements of Sections 5.2 to 5.4 and the coverage figure of Section 5.6 were made, had 1,054 lines of source in twelve modules and 1,004 lines of tests in twelve test files.</w:t>
      </w:r>
    </w:p>
    <w:p>
      <w:pPr>
        <w:pStyle w:val="Heading2"/>
      </w:pPr>
      <w:r>
        <w:rPr>
          <w:rFonts w:ascii="Times New Roman" w:hAnsi="Times New Roman" w:cs="Times New Roman" w:eastAsia="Times New Roman"/>
          <w:b/>
          <w:sz w:val="28"/>
        </w:rPr>
        <w:t>3.4  DATA SOURCES</w:t>
      </w:r>
    </w:p>
    <w:p>
      <w:pPr>
        <w:pStyle w:val="Heading3"/>
      </w:pPr>
      <w:r>
        <w:rPr>
          <w:rFonts w:ascii="Times New Roman" w:hAnsi="Times New Roman" w:cs="Times New Roman" w:eastAsia="Times New Roman"/>
          <w:b/>
          <w:sz w:val="24"/>
        </w:rPr>
        <w:t xml:space="preserve">3.4.1  PUBLIC RESOURCES SURVEYED</w:t>
      </w:r>
    </w:p>
    <w:p>
      <w:pPr>
        <w:pStyle w:val="BodyJ"/>
      </w:pPr>
      <w:r>
        <w:rPr>
          <w:rFonts w:ascii="Times New Roman" w:hAnsi="Times New Roman" w:cs="Times New Roman" w:eastAsia="Times New Roman"/>
        </w:rPr>
        <w:t>The project blueprint identifies the public repositories in Table 3.3. They are useful for developing and testing preprocessing, and for retinotopic mapping of visual cortex, but none carries the diagnostic labels required for supervised training.</w:t>
      </w:r>
    </w:p>
    <w:p>
      <w:pPr>
        <w:pStyle w:val="Caption"/>
        <w:keepNext/>
        <w:spacing w:before="160" w:after="80"/>
      </w:pPr>
      <w:bookmarkStart w:id="1009" w:name="_Ref_Table_3_3"/>
      <w:r>
        <w:rPr>
          <w:rFonts w:ascii="Times New Roman" w:hAnsi="Times New Roman" w:cs="Times New Roman" w:eastAsia="Times New Roman"/>
          <w:b/>
          <w:sz w:val="22"/>
        </w:rPr>
        <w:t xml:space="preserve">Table 3.3: </w:t>
      </w:r>
      <w:r>
        <w:rPr>
          <w:rFonts w:ascii="Times New Roman" w:hAnsi="Times New Roman" w:cs="Times New Roman" w:eastAsia="Times New Roman"/>
          <w:sz w:val="22"/>
        </w:rPr>
        <w:t>Public data resources identified in the project blueprint (descriptions as stated there; not independently re-verified for this report).</w:t>
      </w:r>
      <w:bookmarkEnd w:id="1009"/>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474"/>
        <w:gridCol w:w="3515"/>
        <w:gridCol w:w="3316"/>
      </w:tblGrid>
      <w:tr>
        <w:trPr>
          <w:cantSplit/>
          <w:tblHeader/>
        </w:trPr>
        <w:tc>
          <w:tcPr>
            <w:tcW w:type="dxa" w:w="1474"/>
            <w:shd w:val="clear" w:color="auto" w:fill="D9D9D9"/>
          </w:tcPr>
          <w:p>
            <w:pPr>
              <w:pStyle w:val="TableText"/>
              <w:keepNext/>
              <w:jc w:val="left"/>
            </w:pPr>
            <w:r>
              <w:rPr>
                <w:rFonts w:ascii="Times New Roman" w:hAnsi="Times New Roman" w:cs="Times New Roman" w:eastAsia="Times New Roman"/>
                <w:b/>
                <w:sz w:val="20"/>
              </w:rPr>
              <w:t>Modality</w:t>
            </w:r>
          </w:p>
        </w:tc>
        <w:tc>
          <w:tcPr>
            <w:tcW w:type="dxa" w:w="3515"/>
            <w:shd w:val="clear" w:color="auto" w:fill="D9D9D9"/>
          </w:tcPr>
          <w:p>
            <w:pPr>
              <w:pStyle w:val="TableText"/>
              <w:keepNext/>
              <w:jc w:val="left"/>
            </w:pPr>
            <w:r>
              <w:rPr>
                <w:rFonts w:ascii="Times New Roman" w:hAnsi="Times New Roman" w:cs="Times New Roman" w:eastAsia="Times New Roman"/>
                <w:b/>
                <w:sz w:val="20"/>
              </w:rPr>
              <w:t>Resource</w:t>
            </w:r>
          </w:p>
        </w:tc>
        <w:tc>
          <w:tcPr>
            <w:tcW w:type="dxa" w:w="3317"/>
            <w:shd w:val="clear" w:color="auto" w:fill="D9D9D9"/>
          </w:tcPr>
          <w:p>
            <w:pPr>
              <w:pStyle w:val="TableText"/>
              <w:keepNext/>
              <w:jc w:val="left"/>
            </w:pPr>
            <w:r>
              <w:rPr>
                <w:rFonts w:ascii="Times New Roman" w:hAnsi="Times New Roman" w:cs="Times New Roman" w:eastAsia="Times New Roman"/>
                <w:b/>
                <w:sz w:val="20"/>
              </w:rPr>
              <w:t>Stated utility</w:t>
            </w:r>
          </w:p>
        </w:tc>
      </w:tr>
      <w:tr>
        <w:trPr>
          <w:cantSplit/>
        </w:trPr>
        <w:tc>
          <w:tcPr>
            <w:tcW w:type="dxa" w:w="1474"/>
          </w:tcPr>
          <w:p>
            <w:pPr>
              <w:pStyle w:val="TableText"/>
              <w:keepNext/>
              <w:jc w:val="left"/>
            </w:pPr>
            <w:r>
              <w:rPr>
                <w:rFonts w:ascii="Times New Roman" w:hAnsi="Times New Roman" w:cs="Times New Roman" w:eastAsia="Times New Roman"/>
                <w:sz w:val="20"/>
              </w:rPr>
              <w:t>3D sMRI / fMRI</w:t>
            </w:r>
          </w:p>
        </w:tc>
        <w:tc>
          <w:tcPr>
            <w:tcW w:type="dxa" w:w="3515"/>
          </w:tcPr>
          <w:p>
            <w:pPr>
              <w:pStyle w:val="TableText"/>
              <w:keepNext/>
              <w:jc w:val="left"/>
            </w:pPr>
            <w:r>
              <w:rPr>
                <w:rFonts w:ascii="Times New Roman" w:hAnsi="Times New Roman" w:cs="Times New Roman" w:eastAsia="Times New Roman"/>
                <w:sz w:val="20"/>
              </w:rPr>
              <w:t>OpenNeuro ds004496</w:t>
            </w:r>
          </w:p>
        </w:tc>
        <w:tc>
          <w:tcPr>
            <w:tcW w:type="dxa" w:w="3317"/>
          </w:tcPr>
          <w:p>
            <w:pPr>
              <w:pStyle w:val="TableText"/>
              <w:keepNext/>
              <w:jc w:val="left"/>
            </w:pPr>
            <w:r>
              <w:rPr>
                <w:rFonts w:ascii="Times New Roman" w:hAnsi="Times New Roman" w:cs="Times New Roman" w:eastAsia="Times New Roman"/>
                <w:sz w:val="20"/>
              </w:rPr>
              <w:t>High-resolution visual cortex mapping under retinotopic stimulation</w:t>
            </w:r>
          </w:p>
        </w:tc>
      </w:tr>
      <w:tr>
        <w:trPr>
          <w:cantSplit/>
        </w:trPr>
        <w:tc>
          <w:tcPr>
            <w:tcW w:type="dxa" w:w="1474"/>
          </w:tcPr>
          <w:p>
            <w:pPr>
              <w:pStyle w:val="TableText"/>
              <w:keepNext/>
              <w:jc w:val="left"/>
            </w:pPr>
            <w:r>
              <w:rPr>
                <w:rFonts w:ascii="Times New Roman" w:hAnsi="Times New Roman" w:cs="Times New Roman" w:eastAsia="Times New Roman"/>
                <w:sz w:val="20"/>
              </w:rPr>
              <w:t>3D sMRI / fMRI</w:t>
            </w:r>
          </w:p>
        </w:tc>
        <w:tc>
          <w:tcPr>
            <w:tcW w:type="dxa" w:w="3515"/>
          </w:tcPr>
          <w:p>
            <w:pPr>
              <w:pStyle w:val="TableText"/>
              <w:keepNext/>
              <w:jc w:val="left"/>
            </w:pPr>
            <w:r>
              <w:rPr>
                <w:rFonts w:ascii="Times New Roman" w:hAnsi="Times New Roman" w:cs="Times New Roman" w:eastAsia="Times New Roman"/>
                <w:sz w:val="20"/>
              </w:rPr>
              <w:t>OpenNeuro ds003787</w:t>
            </w:r>
          </w:p>
        </w:tc>
        <w:tc>
          <w:tcPr>
            <w:tcW w:type="dxa" w:w="3317"/>
          </w:tcPr>
          <w:p>
            <w:pPr>
              <w:pStyle w:val="TableText"/>
              <w:keepNext/>
              <w:jc w:val="left"/>
            </w:pPr>
            <w:r>
              <w:rPr>
                <w:rFonts w:ascii="Times New Roman" w:hAnsi="Times New Roman" w:cs="Times New Roman" w:eastAsia="Times New Roman"/>
                <w:sz w:val="20"/>
              </w:rPr>
              <w:t>Multimodal structural and functional visual-pathway benchmarks</w:t>
            </w:r>
          </w:p>
        </w:tc>
      </w:tr>
      <w:tr>
        <w:trPr>
          <w:cantSplit/>
        </w:trPr>
        <w:tc>
          <w:tcPr>
            <w:tcW w:type="dxa" w:w="1474"/>
          </w:tcPr>
          <w:p>
            <w:pPr>
              <w:pStyle w:val="TableText"/>
              <w:jc w:val="left"/>
            </w:pPr>
            <w:r>
              <w:rPr>
                <w:rFonts w:ascii="Times New Roman" w:hAnsi="Times New Roman" w:cs="Times New Roman" w:eastAsia="Times New Roman"/>
                <w:sz w:val="20"/>
              </w:rPr>
              <w:t>3D sMRI / fMRI</w:t>
            </w:r>
          </w:p>
        </w:tc>
        <w:tc>
          <w:tcPr>
            <w:tcW w:type="dxa" w:w="3515"/>
          </w:tcPr>
          <w:p>
            <w:pPr>
              <w:pStyle w:val="TableText"/>
              <w:jc w:val="left"/>
            </w:pPr>
            <w:r>
              <w:rPr>
                <w:rFonts w:ascii="Times New Roman" w:hAnsi="Times New Roman" w:cs="Times New Roman" w:eastAsia="Times New Roman"/>
                <w:sz w:val="20"/>
              </w:rPr>
              <w:t>Human Connectome Project 7 T retinotopy (Van Essen et al., 2013; Benson et al., 2018)</w:t>
            </w:r>
          </w:p>
        </w:tc>
        <w:tc>
          <w:tcPr>
            <w:tcW w:type="dxa" w:w="3317"/>
          </w:tcPr>
          <w:p>
            <w:pPr>
              <w:pStyle w:val="TableText"/>
              <w:jc w:val="left"/>
            </w:pPr>
            <w:r>
              <w:rPr>
                <w:rFonts w:ascii="Times New Roman" w:hAnsi="Times New Roman" w:cs="Times New Roman" w:eastAsia="Times New Roman"/>
                <w:sz w:val="20"/>
              </w:rPr>
              <w:t>7 T structural and retinotopic functional scans of cortical visual areas V1, V2, V3</w:t>
            </w:r>
          </w:p>
        </w:tc>
      </w:tr>
      <w:tr>
        <w:trPr>
          <w:cantSplit/>
        </w:trPr>
        <w:tc>
          <w:tcPr>
            <w:tcW w:type="dxa" w:w="1474"/>
          </w:tcPr>
          <w:p>
            <w:pPr>
              <w:pStyle w:val="TableText"/>
              <w:jc w:val="left"/>
            </w:pPr>
            <w:r>
              <w:rPr>
                <w:rFonts w:ascii="Times New Roman" w:hAnsi="Times New Roman" w:cs="Times New Roman" w:eastAsia="Times New Roman"/>
                <w:sz w:val="20"/>
              </w:rPr>
              <w:t>3D sMRI</w:t>
            </w:r>
          </w:p>
        </w:tc>
        <w:tc>
          <w:tcPr>
            <w:tcW w:type="dxa" w:w="3515"/>
          </w:tcPr>
          <w:p>
            <w:pPr>
              <w:pStyle w:val="TableText"/>
              <w:jc w:val="left"/>
            </w:pPr>
            <w:r>
              <w:rPr>
                <w:rFonts w:ascii="Times New Roman" w:hAnsi="Times New Roman" w:cs="Times New Roman" w:eastAsia="Times New Roman"/>
                <w:sz w:val="20"/>
              </w:rPr>
              <w:t>OASIS (LaMontagne et al., 2019)</w:t>
            </w:r>
          </w:p>
        </w:tc>
        <w:tc>
          <w:tcPr>
            <w:tcW w:type="dxa" w:w="3317"/>
          </w:tcPr>
          <w:p>
            <w:pPr>
              <w:pStyle w:val="TableText"/>
              <w:jc w:val="left"/>
            </w:pPr>
            <w:r>
              <w:rPr>
                <w:rFonts w:ascii="Times New Roman" w:hAnsi="Times New Roman" w:cs="Times New Roman" w:eastAsia="Times New Roman"/>
                <w:sz w:val="20"/>
              </w:rPr>
              <w:t>Large-scale structural MRI for normalisation and grey-matter segmentation baselines</w:t>
            </w:r>
          </w:p>
        </w:tc>
      </w:tr>
      <w:tr>
        <w:trPr>
          <w:cantSplit/>
        </w:trPr>
        <w:tc>
          <w:tcPr>
            <w:tcW w:type="dxa" w:w="1474"/>
          </w:tcPr>
          <w:p>
            <w:pPr>
              <w:pStyle w:val="TableText"/>
              <w:jc w:val="left"/>
            </w:pPr>
            <w:r>
              <w:rPr>
                <w:rFonts w:ascii="Times New Roman" w:hAnsi="Times New Roman" w:cs="Times New Roman" w:eastAsia="Times New Roman"/>
                <w:sz w:val="20"/>
              </w:rPr>
              <w:t>1D VEP / EEG</w:t>
            </w:r>
          </w:p>
        </w:tc>
        <w:tc>
          <w:tcPr>
            <w:tcW w:type="dxa" w:w="3515"/>
          </w:tcPr>
          <w:p>
            <w:pPr>
              <w:pStyle w:val="TableText"/>
              <w:jc w:val="left"/>
            </w:pPr>
            <w:r>
              <w:rPr>
                <w:rFonts w:ascii="Times New Roman" w:hAnsi="Times New Roman" w:cs="Times New Roman" w:eastAsia="Times New Roman"/>
                <w:sz w:val="20"/>
              </w:rPr>
              <w:t>MNE-Python sample dataset (Gramfort et al., 2013)</w:t>
            </w:r>
          </w:p>
        </w:tc>
        <w:tc>
          <w:tcPr>
            <w:tcW w:type="dxa" w:w="3317"/>
          </w:tcPr>
          <w:p>
            <w:pPr>
              <w:pStyle w:val="TableText"/>
              <w:jc w:val="left"/>
            </w:pPr>
            <w:r>
              <w:rPr>
                <w:rFonts w:ascii="Times New Roman" w:hAnsi="Times New Roman" w:cs="Times New Roman" w:eastAsia="Times New Roman"/>
                <w:sz w:val="20"/>
              </w:rPr>
              <w:t>Visual and auditory stimulus responses on occipital sensors</w:t>
            </w:r>
          </w:p>
        </w:tc>
      </w:tr>
      <w:tr>
        <w:trPr>
          <w:cantSplit/>
        </w:trPr>
        <w:tc>
          <w:tcPr>
            <w:tcW w:type="dxa" w:w="1474"/>
          </w:tcPr>
          <w:p>
            <w:pPr>
              <w:pStyle w:val="TableText"/>
              <w:jc w:val="left"/>
            </w:pPr>
            <w:r>
              <w:rPr>
                <w:rFonts w:ascii="Times New Roman" w:hAnsi="Times New Roman" w:cs="Times New Roman" w:eastAsia="Times New Roman"/>
                <w:sz w:val="20"/>
              </w:rPr>
              <w:t>1D VEP / ERG</w:t>
            </w:r>
          </w:p>
        </w:tc>
        <w:tc>
          <w:tcPr>
            <w:tcW w:type="dxa" w:w="3515"/>
          </w:tcPr>
          <w:p>
            <w:pPr>
              <w:pStyle w:val="TableText"/>
              <w:jc w:val="left"/>
            </w:pPr>
            <w:r>
              <w:rPr>
                <w:rFonts w:ascii="Times New Roman" w:hAnsi="Times New Roman" w:cs="Times New Roman" w:eastAsia="Times New Roman"/>
                <w:sz w:val="20"/>
              </w:rPr>
              <w:t>PhysioNet (Goldberger et al., 2000)</w:t>
            </w:r>
          </w:p>
        </w:tc>
        <w:tc>
          <w:tcPr>
            <w:tcW w:type="dxa" w:w="3317"/>
          </w:tcPr>
          <w:p>
            <w:pPr>
              <w:pStyle w:val="TableText"/>
              <w:jc w:val="left"/>
            </w:pPr>
            <w:r>
              <w:rPr>
                <w:rFonts w:ascii="Times New Roman" w:hAnsi="Times New Roman" w:cs="Times New Roman" w:eastAsia="Times New Roman"/>
                <w:sz w:val="20"/>
              </w:rPr>
              <w:t>Standardised clinical electrophysiology recordings</w:t>
            </w:r>
          </w:p>
        </w:tc>
      </w:tr>
    </w:tbl>
    <w:p>
      <w:pPr>
        <w:spacing w:after="80" w:line="240" w:lineRule="auto"/>
      </w:pPr>
    </w:p>
    <w:p>
      <w:pPr>
        <w:pStyle w:val="BodyJ"/>
      </w:pPr>
      <w:r>
        <w:rPr>
          <w:rFonts w:ascii="Times New Roman" w:hAnsi="Times New Roman" w:cs="Times New Roman" w:eastAsia="Times New Roman"/>
          <w:b/>
        </w:rPr>
        <w:t>The labelling gap.</w:t>
      </w:r>
      <w:r>
        <w:rPr>
          <w:rFonts w:ascii="Times New Roman" w:hAnsi="Times New Roman" w:cs="Times New Roman" w:eastAsia="Times New Roman"/>
        </w:rPr>
        <w:t xml:space="preserve"> None of the resources in Table 3.3 ships Healthy / Glaucoma / Optic Neuritis-CVI diagnoses. Real training therefore requires a labelled, paired clinical cohort or a clinical partner able to label a subset. The data interface described in Section 3.6 is ready for such a cohort: a manifest with the columns </w:t>
      </w:r>
      <w:r>
        <w:rPr>
          <w:rFonts w:ascii="Courier New" w:hAnsi="Courier New" w:cs="Courier New" w:eastAsia="Courier New"/>
          <w:i w:val="0"/>
          <w:sz w:val="22"/>
        </w:rPr>
        <w:t>subject_id, mri_path, vep_path, fs, label</w:t>
      </w:r>
      <w:r>
        <w:rPr>
          <w:rFonts w:ascii="Times New Roman" w:hAnsi="Times New Roman" w:cs="Times New Roman" w:eastAsia="Times New Roman"/>
        </w:rPr>
        <w:t xml:space="preserve"> is all that is needed.</w:t>
      </w:r>
    </w:p>
    <w:p>
      <w:pPr>
        <w:pStyle w:val="Heading3"/>
      </w:pPr>
      <w:r>
        <w:rPr>
          <w:rFonts w:ascii="Times New Roman" w:hAnsi="Times New Roman" w:cs="Times New Roman" w:eastAsia="Times New Roman"/>
          <w:b/>
          <w:sz w:val="24"/>
        </w:rPr>
        <w:t xml:space="preserve">3.4.2  REAL COHORTS USED IN STUDY B</w:t>
      </w:r>
    </w:p>
    <w:p>
      <w:pPr>
        <w:pStyle w:val="BodyJ"/>
      </w:pPr>
      <w:r>
        <w:rPr>
          <w:rFonts w:ascii="Times New Roman" w:hAnsi="Times New Roman" w:cs="Times New Roman" w:eastAsia="Times New Roman"/>
        </w:rPr>
        <w:t>Because Table 3.3 contains no resource with diagnostic labels for the target conditions, the pipeline was also tested on the closest public data that could be found: OpenNeuro cohorts that provide a T1-weighted MRI, a resting electrophysiological recording, and a patient group and a control group. Two cohorts are used (Table 3.4). ds003568 is a study of major depressive disorder (MDD) in adolescents with healthy volunteers as controls; its recording is resting-state MEG acquired on a CTF system (Liuzzi et al., 2023). ds007181 contains zoster-associated neuralgia patients and healthy controls with a T1-weighted MRI, resting-state fMRI and whole-night polysomnographic (PSG) EEG, of which the T1-weighted scan and the EEG are used (Li et al., 2026).</w:t>
      </w:r>
    </w:p>
    <w:p>
      <w:pPr>
        <w:pStyle w:val="Caption"/>
        <w:keepNext/>
        <w:spacing w:before="160" w:after="80"/>
      </w:pPr>
      <w:bookmarkStart w:id="1010" w:name="_Ref_Table_3_4"/>
      <w:r>
        <w:rPr>
          <w:rFonts w:ascii="Times New Roman" w:hAnsi="Times New Roman" w:cs="Times New Roman" w:eastAsia="Times New Roman"/>
          <w:b/>
          <w:sz w:val="22"/>
        </w:rPr>
        <w:t xml:space="preserve">Table 3.4: </w:t>
      </w:r>
      <w:r>
        <w:rPr>
          <w:rFonts w:ascii="Times New Roman" w:hAnsi="Times New Roman" w:cs="Times New Roman" w:eastAsia="Times New Roman"/>
          <w:sz w:val="22"/>
        </w:rPr>
        <w:t xml:space="preserve">Real cohorts used in Study B (subjects with both a T1-weighted MRI and a usable recording).</w:t>
      </w:r>
      <w:bookmarkEnd w:id="1010"/>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100"/>
        <w:gridCol w:w="2500"/>
        <w:gridCol w:w="2100"/>
        <w:gridCol w:w="800"/>
        <w:gridCol w:w="800"/>
        <w:gridCol w:w="1006"/>
      </w:tblGrid>
      <w:tr>
        <w:trPr>
          <w:cantSplit/>
          <w:tblHeader/>
        </w:trPr>
        <w:tc>
          <w:tcPr>
            <w:tcW w:type="dxa" w:w="1100"/>
            <w:shd w:val="clear" w:color="auto" w:fill="D9D9D9"/>
          </w:tcPr>
          <w:p>
            <w:pPr>
              <w:pStyle w:val="TableText"/>
              <w:keepNext/>
              <w:jc w:val="left"/>
            </w:pPr>
            <w:r>
              <w:rPr>
                <w:rFonts w:ascii="Times New Roman" w:hAnsi="Times New Roman" w:cs="Times New Roman" w:eastAsia="Times New Roman"/>
                <w:b/>
                <w:sz w:val="20"/>
              </w:rPr>
              <w:t xml:space="preserve">Cohort</w:t>
            </w:r>
          </w:p>
        </w:tc>
        <w:tc>
          <w:tcPr>
            <w:tcW w:type="dxa" w:w="2500"/>
            <w:shd w:val="clear" w:color="auto" w:fill="D9D9D9"/>
          </w:tcPr>
          <w:p>
            <w:pPr>
              <w:pStyle w:val="TableText"/>
              <w:keepNext/>
              <w:jc w:val="left"/>
            </w:pPr>
            <w:r>
              <w:rPr>
                <w:rFonts w:ascii="Times New Roman" w:hAnsi="Times New Roman" w:cs="Times New Roman" w:eastAsia="Times New Roman"/>
                <w:b/>
                <w:sz w:val="20"/>
              </w:rPr>
              <w:t xml:space="preserve">Patients vs controls</w:t>
            </w:r>
          </w:p>
        </w:tc>
        <w:tc>
          <w:tcPr>
            <w:tcW w:type="dxa" w:w="2100"/>
            <w:shd w:val="clear" w:color="auto" w:fill="D9D9D9"/>
          </w:tcPr>
          <w:p>
            <w:pPr>
              <w:pStyle w:val="TableText"/>
              <w:keepNext/>
              <w:jc w:val="left"/>
            </w:pPr>
            <w:r>
              <w:rPr>
                <w:rFonts w:ascii="Times New Roman" w:hAnsi="Times New Roman" w:cs="Times New Roman" w:eastAsia="Times New Roman"/>
                <w:b/>
                <w:sz w:val="20"/>
              </w:rPr>
              <w:t xml:space="preserve">1-D signal</w:t>
            </w:r>
          </w:p>
        </w:tc>
        <w:tc>
          <w:tcPr>
            <w:tcW w:type="dxa" w:w="800"/>
            <w:shd w:val="clear" w:color="auto" w:fill="D9D9D9"/>
          </w:tcPr>
          <w:p>
            <w:pPr>
              <w:pStyle w:val="TableText"/>
              <w:keepNext/>
              <w:jc w:val="left"/>
            </w:pPr>
            <w:r>
              <w:rPr>
                <w:rFonts w:ascii="Times New Roman" w:hAnsi="Times New Roman" w:cs="Times New Roman" w:eastAsia="Times New Roman"/>
                <w:b/>
                <w:sz w:val="20"/>
              </w:rPr>
              <w:t xml:space="preserve">Controls</w:t>
            </w:r>
          </w:p>
        </w:tc>
        <w:tc>
          <w:tcPr>
            <w:tcW w:type="dxa" w:w="800"/>
            <w:shd w:val="clear" w:color="auto" w:fill="D9D9D9"/>
          </w:tcPr>
          <w:p>
            <w:pPr>
              <w:pStyle w:val="TableText"/>
              <w:keepNext/>
              <w:jc w:val="left"/>
            </w:pPr>
            <w:r>
              <w:rPr>
                <w:rFonts w:ascii="Times New Roman" w:hAnsi="Times New Roman" w:cs="Times New Roman" w:eastAsia="Times New Roman"/>
                <w:b/>
                <w:sz w:val="20"/>
              </w:rPr>
              <w:t xml:space="preserve">Patients</w:t>
            </w:r>
          </w:p>
        </w:tc>
        <w:tc>
          <w:tcPr>
            <w:tcW w:type="dxa" w:w="1006"/>
            <w:shd w:val="clear" w:color="auto" w:fill="D9D9D9"/>
          </w:tcPr>
          <w:p>
            <w:pPr>
              <w:pStyle w:val="TableText"/>
              <w:keepNext/>
              <w:jc w:val="left"/>
            </w:pPr>
            <w:r>
              <w:rPr>
                <w:rFonts w:ascii="Times New Roman" w:hAnsi="Times New Roman" w:cs="Times New Roman" w:eastAsia="Times New Roman"/>
                <w:b/>
                <w:sz w:val="20"/>
              </w:rPr>
              <w:t xml:space="preserve">Total</w:t>
            </w:r>
          </w:p>
        </w:tc>
      </w:tr>
      <w:tr>
        <w:trPr>
          <w:cantSplit/>
        </w:trPr>
        <w:tc>
          <w:tcPr>
            <w:tcW w:type="dxa" w:w="1100"/>
          </w:tcPr>
          <w:p>
            <w:pPr>
              <w:pStyle w:val="TableText"/>
              <w:keepNext/>
              <w:jc w:val="left"/>
            </w:pPr>
            <w:r>
              <w:rPr>
                <w:rFonts w:ascii="Times New Roman" w:hAnsi="Times New Roman" w:cs="Times New Roman" w:eastAsia="Times New Roman"/>
                <w:sz w:val="20"/>
              </w:rPr>
              <w:t xml:space="preserve">ds003568</w:t>
            </w:r>
          </w:p>
        </w:tc>
        <w:tc>
          <w:tcPr>
            <w:tcW w:type="dxa" w:w="2500"/>
          </w:tcPr>
          <w:p>
            <w:pPr>
              <w:pStyle w:val="TableText"/>
              <w:keepNext/>
              <w:jc w:val="left"/>
            </w:pPr>
            <w:r>
              <w:rPr>
                <w:rFonts w:ascii="Times New Roman" w:hAnsi="Times New Roman" w:cs="Times New Roman" w:eastAsia="Times New Roman"/>
                <w:sz w:val="20"/>
              </w:rPr>
              <w:t xml:space="preserve">MDD vs healthy adolescents</w:t>
            </w:r>
          </w:p>
        </w:tc>
        <w:tc>
          <w:tcPr>
            <w:tcW w:type="dxa" w:w="2100"/>
          </w:tcPr>
          <w:p>
            <w:pPr>
              <w:pStyle w:val="TableText"/>
              <w:keepNext/>
              <w:jc w:val="left"/>
            </w:pPr>
            <w:r>
              <w:rPr>
                <w:rFonts w:ascii="Times New Roman" w:hAnsi="Times New Roman" w:cs="Times New Roman" w:eastAsia="Times New Roman"/>
                <w:sz w:val="20"/>
              </w:rPr>
              <w:t xml:space="preserve">Resting-state MEG (CTF)</w:t>
            </w:r>
          </w:p>
        </w:tc>
        <w:tc>
          <w:tcPr>
            <w:tcW w:type="dxa" w:w="800"/>
          </w:tcPr>
          <w:p>
            <w:pPr>
              <w:pStyle w:val="TableText"/>
              <w:keepNext/>
              <w:jc w:val="left"/>
            </w:pPr>
            <w:r>
              <w:rPr>
                <w:rFonts w:ascii="Times New Roman" w:hAnsi="Times New Roman" w:cs="Times New Roman" w:eastAsia="Times New Roman"/>
                <w:sz w:val="20"/>
              </w:rPr>
              <w:t xml:space="preserve">18</w:t>
            </w:r>
          </w:p>
        </w:tc>
        <w:tc>
          <w:tcPr>
            <w:tcW w:type="dxa" w:w="800"/>
          </w:tcPr>
          <w:p>
            <w:pPr>
              <w:pStyle w:val="TableText"/>
              <w:keepNext/>
              <w:jc w:val="left"/>
            </w:pPr>
            <w:r>
              <w:rPr>
                <w:rFonts w:ascii="Times New Roman" w:hAnsi="Times New Roman" w:cs="Times New Roman" w:eastAsia="Times New Roman"/>
                <w:sz w:val="20"/>
              </w:rPr>
              <w:t xml:space="preserve">29</w:t>
            </w:r>
          </w:p>
        </w:tc>
        <w:tc>
          <w:tcPr>
            <w:tcW w:type="dxa" w:w="1006"/>
          </w:tcPr>
          <w:p>
            <w:pPr>
              <w:pStyle w:val="TableText"/>
              <w:keepNext/>
              <w:jc w:val="left"/>
            </w:pPr>
            <w:r>
              <w:rPr>
                <w:rFonts w:ascii="Times New Roman" w:hAnsi="Times New Roman" w:cs="Times New Roman" w:eastAsia="Times New Roman"/>
                <w:sz w:val="20"/>
              </w:rPr>
              <w:t xml:space="preserve">47</w:t>
            </w:r>
          </w:p>
        </w:tc>
      </w:tr>
      <w:tr>
        <w:trPr>
          <w:cantSplit/>
        </w:trPr>
        <w:tc>
          <w:tcPr>
            <w:tcW w:type="dxa" w:w="1100"/>
          </w:tcPr>
          <w:p>
            <w:pPr>
              <w:pStyle w:val="TableText"/>
              <w:keepNext/>
              <w:jc w:val="left"/>
            </w:pPr>
            <w:r>
              <w:rPr>
                <w:rFonts w:ascii="Times New Roman" w:hAnsi="Times New Roman" w:cs="Times New Roman" w:eastAsia="Times New Roman"/>
                <w:sz w:val="20"/>
              </w:rPr>
              <w:t xml:space="preserve">ds007181</w:t>
            </w:r>
          </w:p>
        </w:tc>
        <w:tc>
          <w:tcPr>
            <w:tcW w:type="dxa" w:w="2500"/>
          </w:tcPr>
          <w:p>
            <w:pPr>
              <w:pStyle w:val="TableText"/>
              <w:keepNext/>
              <w:jc w:val="left"/>
            </w:pPr>
            <w:r>
              <w:rPr>
                <w:rFonts w:ascii="Times New Roman" w:hAnsi="Times New Roman" w:cs="Times New Roman" w:eastAsia="Times New Roman"/>
                <w:sz w:val="20"/>
              </w:rPr>
              <w:t xml:space="preserve">Zoster-associated neuralgia vs healthy controls</w:t>
            </w:r>
          </w:p>
        </w:tc>
        <w:tc>
          <w:tcPr>
            <w:tcW w:type="dxa" w:w="2100"/>
          </w:tcPr>
          <w:p>
            <w:pPr>
              <w:pStyle w:val="TableText"/>
              <w:keepNext/>
              <w:jc w:val="left"/>
            </w:pPr>
            <w:r>
              <w:rPr>
                <w:rFonts w:ascii="Times New Roman" w:hAnsi="Times New Roman" w:cs="Times New Roman" w:eastAsia="Times New Roman"/>
                <w:sz w:val="20"/>
              </w:rPr>
              <w:t xml:space="preserve">Whole-night PSG EEG</w:t>
            </w:r>
          </w:p>
        </w:tc>
        <w:tc>
          <w:tcPr>
            <w:tcW w:type="dxa" w:w="800"/>
          </w:tcPr>
          <w:p>
            <w:pPr>
              <w:pStyle w:val="TableText"/>
              <w:keepNext/>
              <w:jc w:val="left"/>
            </w:pPr>
            <w:r>
              <w:rPr>
                <w:rFonts w:ascii="Times New Roman" w:hAnsi="Times New Roman" w:cs="Times New Roman" w:eastAsia="Times New Roman"/>
                <w:sz w:val="20"/>
              </w:rPr>
              <w:t xml:space="preserve">27</w:t>
            </w:r>
          </w:p>
        </w:tc>
        <w:tc>
          <w:tcPr>
            <w:tcW w:type="dxa" w:w="800"/>
          </w:tcPr>
          <w:p>
            <w:pPr>
              <w:pStyle w:val="TableText"/>
              <w:keepNext/>
              <w:jc w:val="left"/>
            </w:pPr>
            <w:r>
              <w:rPr>
                <w:rFonts w:ascii="Times New Roman" w:hAnsi="Times New Roman" w:cs="Times New Roman" w:eastAsia="Times New Roman"/>
                <w:sz w:val="20"/>
              </w:rPr>
              <w:t xml:space="preserve">21</w:t>
            </w:r>
          </w:p>
        </w:tc>
        <w:tc>
          <w:tcPr>
            <w:tcW w:type="dxa" w:w="1006"/>
          </w:tcPr>
          <w:p>
            <w:pPr>
              <w:pStyle w:val="TableText"/>
              <w:keepNext/>
              <w:jc w:val="left"/>
            </w:pPr>
            <w:r>
              <w:rPr>
                <w:rFonts w:ascii="Times New Roman" w:hAnsi="Times New Roman" w:cs="Times New Roman" w:eastAsia="Times New Roman"/>
                <w:sz w:val="20"/>
              </w:rPr>
              <w:t xml:space="preserve">48</w:t>
            </w:r>
          </w:p>
        </w:tc>
      </w:tr>
      <w:tr>
        <w:trPr>
          <w:cantSplit/>
        </w:trPr>
        <w:tc>
          <w:tcPr>
            <w:tcW w:type="dxa" w:w="1100"/>
          </w:tcPr>
          <w:p>
            <w:pPr>
              <w:pStyle w:val="TableText"/>
              <w:jc w:val="left"/>
            </w:pPr>
            <w:r>
              <w:rPr>
                <w:rFonts w:ascii="Times New Roman" w:hAnsi="Times New Roman" w:cs="Times New Roman" w:eastAsia="Times New Roman"/>
                <w:sz w:val="20"/>
              </w:rPr>
              <w:t xml:space="preserve">Total</w:t>
            </w:r>
          </w:p>
        </w:tc>
        <w:tc>
          <w:tcPr>
            <w:tcW w:type="dxa" w:w="2500"/>
          </w:tcPr>
          <w:p>
            <w:pPr>
              <w:pStyle w:val="TableText"/>
              <w:jc w:val="left"/>
            </w:pPr>
          </w:p>
        </w:tc>
        <w:tc>
          <w:tcPr>
            <w:tcW w:type="dxa" w:w="2100"/>
          </w:tcPr>
          <w:p>
            <w:pPr>
              <w:pStyle w:val="TableText"/>
              <w:jc w:val="left"/>
            </w:pPr>
          </w:p>
        </w:tc>
        <w:tc>
          <w:tcPr>
            <w:tcW w:type="dxa" w:w="800"/>
          </w:tcPr>
          <w:p>
            <w:pPr>
              <w:pStyle w:val="TableText"/>
              <w:jc w:val="left"/>
            </w:pPr>
            <w:r>
              <w:rPr>
                <w:rFonts w:ascii="Times New Roman" w:hAnsi="Times New Roman" w:cs="Times New Roman" w:eastAsia="Times New Roman"/>
                <w:sz w:val="20"/>
              </w:rPr>
              <w:t xml:space="preserve">45</w:t>
            </w:r>
          </w:p>
        </w:tc>
        <w:tc>
          <w:tcPr>
            <w:tcW w:type="dxa" w:w="800"/>
          </w:tcPr>
          <w:p>
            <w:pPr>
              <w:pStyle w:val="TableText"/>
              <w:jc w:val="left"/>
            </w:pPr>
            <w:r>
              <w:rPr>
                <w:rFonts w:ascii="Times New Roman" w:hAnsi="Times New Roman" w:cs="Times New Roman" w:eastAsia="Times New Roman"/>
                <w:sz w:val="20"/>
              </w:rPr>
              <w:t xml:space="preserve">50</w:t>
            </w:r>
          </w:p>
        </w:tc>
        <w:tc>
          <w:tcPr>
            <w:tcW w:type="dxa" w:w="1006"/>
          </w:tcPr>
          <w:p>
            <w:pPr>
              <w:pStyle w:val="TableText"/>
              <w:jc w:val="left"/>
            </w:pPr>
            <w:r>
              <w:rPr>
                <w:rFonts w:ascii="Times New Roman" w:hAnsi="Times New Roman" w:cs="Times New Roman" w:eastAsia="Times New Roman"/>
                <w:sz w:val="20"/>
              </w:rPr>
              <w:t xml:space="preserve">95</w:t>
            </w:r>
          </w:p>
        </w:tc>
      </w:tr>
    </w:tbl>
    <w:p>
      <w:pPr>
        <w:spacing w:after="80" w:line="240" w:lineRule="auto"/>
      </w:pPr>
    </w:p>
    <w:p>
      <w:pPr>
        <w:pStyle w:val="BodyJ"/>
      </w:pPr>
      <w:r>
        <w:rPr>
          <w:rFonts w:ascii="Times New Roman" w:hAnsi="Times New Roman" w:cs="Times New Roman" w:eastAsia="Times New Roman"/>
          <w:b/>
        </w:rPr>
        <w:t xml:space="preserve">Label and selection.</w:t>
      </w:r>
      <w:r>
        <w:rPr>
          <w:rFonts w:ascii="Times New Roman" w:hAnsi="Times New Roman" w:cs="Times New Roman" w:eastAsia="Times New Roman"/>
        </w:rPr>
        <w:t xml:space="preserve"> The label is pan-disorder: 0 for a control and 1 for a patient (MDD in ds003568, zoster-associated neuralgia in ds007181). What “patient” means therefore differs between the cohorts, which is a deliberate and important limitation of pooling them. Only subjects with both a T1-weighted scan and a usable recording are kept: 95 of the 117 listed subjects, namely 47 in ds003568 (18 controls, 29 MDD) and 48 in ds007181 (27 controls, 21 patients).</w:t>
      </w:r>
    </w:p>
    <w:p>
      <w:pPr>
        <w:pStyle w:val="BodyJ"/>
      </w:pPr>
      <w:r>
        <w:rPr>
          <w:rFonts w:ascii="Times New Roman" w:hAnsi="Times New Roman" w:cs="Times New Roman" w:eastAsia="Times New Roman"/>
          <w:b/>
        </w:rPr>
        <w:t xml:space="preserve">What these cohorts are not.</w:t>
      </w:r>
      <w:r>
        <w:rPr>
          <w:rFonts w:ascii="Times New Roman" w:hAnsi="Times New Roman" w:cs="Times New Roman" w:eastAsia="Times New Roman"/>
        </w:rPr>
        <w:t xml:space="preserve"> They are not eye-disease data, no VEP is available in them, and no claim about glaucoma or optic neuritis can follow from them. They serve to test, on real scans and real recordings, whether the pipeline runs end to end, whether any signal can be detected, and whether it transfers from one cohort to the other. The 1-D stream is the channel-averaged log power spectrum of the resting recording (Section 3.8).</w:t>
      </w:r>
    </w:p>
    <w:p>
      <w:pPr>
        <w:pStyle w:val="BodyJ"/>
      </w:pPr>
      <w:r>
        <w:rPr>
          <w:rFonts w:ascii="Times New Roman" w:hAnsi="Times New Roman" w:cs="Times New Roman" w:eastAsia="Times New Roman"/>
          <w:b/>
        </w:rPr>
        <w:t xml:space="preserve">Acquisition.</w:t>
      </w:r>
      <w:r>
        <w:rPr>
          <w:rFonts w:ascii="Times New Roman" w:hAnsi="Times New Roman" w:cs="Times New Roman" w:eastAsia="Times New Roman"/>
        </w:rPr>
        <w:t xml:space="preserve"> </w:t>
      </w:r>
      <w:r>
        <w:rPr>
          <w:rFonts w:ascii="Courier New" w:hAnsi="Courier New" w:cs="Courier New" w:eastAsia="Courier New"/>
        </w:rPr>
        <w:t xml:space="preserve">scripts/download_datasets.py</w:t>
      </w:r>
      <w:r>
        <w:rPr>
          <w:rFonts w:ascii="Times New Roman" w:hAnsi="Times New Roman" w:cs="Times New Roman" w:eastAsia="Times New Roman"/>
        </w:rPr>
        <w:t xml:space="preserve"> downloads only the files that the pipeline uses (the T1-weighted scan and the recording) in a deterministic order, with resumable transfers and a check of each file against the size reported by the server, and writes a manifest of every file (size and entity tag) so that two machines can compare what they downloaded. The core download is about 68 GB. </w:t>
      </w:r>
      <w:r>
        <w:rPr>
          <w:rFonts w:ascii="Courier New" w:hAnsi="Courier New" w:cs="Courier New" w:eastAsia="Courier New"/>
        </w:rPr>
        <w:t xml:space="preserve">python -m src.data.cohorts</w:t>
      </w:r>
      <w:r>
        <w:rPr>
          <w:rFonts w:ascii="Times New Roman" w:hAnsi="Times New Roman" w:cs="Times New Roman" w:eastAsia="Times New Roman"/>
        </w:rPr>
        <w:t xml:space="preserve"> then standardises each T1-weighted volume once (Section 3.7), caches it as a NumPy array, extracts the spectrum (Section 3.8) and writes a manifest in the same format as that of the synthetic dataset.</w:t>
      </w:r>
    </w:p>
    <w:p>
      <w:pPr>
        <w:pStyle w:val="Heading2"/>
      </w:pPr>
      <w:r>
        <w:rPr>
          <w:rFonts w:ascii="Times New Roman" w:hAnsi="Times New Roman" w:cs="Times New Roman" w:eastAsia="Times New Roman"/>
          <w:b/>
          <w:sz w:val="28"/>
        </w:rPr>
        <w:t>3.5  SYNTHETIC DATA GENERATION</w:t>
      </w:r>
    </w:p>
    <w:p>
      <w:pPr>
        <w:pStyle w:val="BodyJ"/>
      </w:pPr>
      <w:r>
        <w:rPr>
          <w:rFonts w:ascii="Times New Roman" w:hAnsi="Times New Roman" w:cs="Times New Roman" w:eastAsia="Times New Roman"/>
        </w:rPr>
        <w:t xml:space="preserve">To close the labelling gap for software development, </w:t>
      </w:r>
      <w:r>
        <w:rPr>
          <w:rFonts w:ascii="Courier New" w:hAnsi="Courier New" w:cs="Courier New" w:eastAsia="Courier New"/>
          <w:i w:val="0"/>
          <w:sz w:val="22"/>
        </w:rPr>
        <w:t>src/data/synthetic.py</w:t>
      </w:r>
      <w:r>
        <w:rPr>
          <w:rFonts w:ascii="Times New Roman" w:hAnsi="Times New Roman" w:cs="Times New Roman" w:eastAsia="Times New Roman"/>
        </w:rPr>
        <w:t xml:space="preserve"> generates class-conditioned MRI-like volumes and VEP-like waveforms. The conditioning is deliberately simple but structured so that a model can learn from it. The data are useful for software validation and for testing the learning loop; they are not evidence of clinical performance.</w:t>
      </w:r>
    </w:p>
    <w:p>
      <w:pPr>
        <w:pStyle w:val="BodyJ"/>
      </w:pPr>
      <w:r>
        <w:rPr>
          <w:rFonts w:ascii="Times New Roman" w:hAnsi="Times New Roman" w:cs="Times New Roman" w:eastAsia="Times New Roman"/>
        </w:rPr>
        <w:t xml:space="preserve">Two versions of the generator exist. Sections 3.5.1 to 3.5.3 describe the original generator, with which the signal-conditioning and mask measurements of Sections 5.2 and 5.3 were made. Section 3.5.4 describes the current generator, which draws lesion position and size and the VEP latency and amplitude at random for every sample and exposes controls for how informative each modality is; it is the generator of Study A (Section 3.9.1).</w:t>
      </w:r>
    </w:p>
    <w:p>
      <w:pPr>
        <w:pStyle w:val="Heading3"/>
      </w:pPr>
      <w:r>
        <w:rPr>
          <w:rFonts w:ascii="Times New Roman" w:hAnsi="Times New Roman" w:cs="Times New Roman" w:eastAsia="Times New Roman"/>
          <w:b/>
          <w:sz w:val="24"/>
        </w:rPr>
        <w:t>3.5.1  SYNTHETIC MRI VOLUMES (ORIGINAL GENERATOR)</w:t>
      </w:r>
    </w:p>
    <w:p>
      <w:pPr>
        <w:pStyle w:val="BodyJ"/>
      </w:pPr>
      <w:r>
        <w:rPr>
          <w:rFonts w:ascii="Times New Roman" w:hAnsi="Times New Roman" w:cs="Times New Roman" w:eastAsia="Times New Roman"/>
        </w:rPr>
        <w:t xml:space="preserve">A volume of shape (80, 96, 64) is drawn from a normal distribution with mean 100 and standard deviation 15, clipped at zero. Class conditioning is applied to one octant-like region: for </w:t>
      </w:r>
      <w:r>
        <w:rPr>
          <w:rFonts w:ascii="Times New Roman" w:hAnsi="Times New Roman" w:cs="Times New Roman" w:eastAsia="Times New Roman"/>
          <w:b/>
        </w:rPr>
        <w:t>Glaucoma</w:t>
      </w:r>
      <w:r>
        <w:rPr>
          <w:rFonts w:ascii="Times New Roman" w:hAnsi="Times New Roman" w:cs="Times New Roman" w:eastAsia="Times New Roman"/>
        </w:rPr>
        <w:t xml:space="preserve"> the intensities in the block with indices [D/2:, :H/2, :W/2] are multiplied by 0.4 (a proxy for atrophy), and for </w:t>
      </w:r>
      <w:r>
        <w:rPr>
          <w:rFonts w:ascii="Times New Roman" w:hAnsi="Times New Roman" w:cs="Times New Roman" w:eastAsia="Times New Roman"/>
          <w:b/>
        </w:rPr>
        <w:t>Optic Neuritis / CVI</w:t>
      </w:r>
      <w:r>
        <w:rPr>
          <w:rFonts w:ascii="Times New Roman" w:hAnsi="Times New Roman" w:cs="Times New Roman" w:eastAsia="Times New Roman"/>
        </w:rPr>
        <w:t xml:space="preserve"> the block [:D/2, H/2:, W/2:] is multiplied by 1.8 (a proxy for a hyperintense lesion). Healthy volumes are left unstructured. Figure 3.2 shows example axial slices.</w:t>
      </w:r>
    </w:p>
    <w:p>
      <w:pPr>
        <w:keepNext/>
        <w:spacing w:before="120" w:after="40" w:line="240" w:lineRule="auto"/>
        <w:jc w:val="center"/>
      </w:pPr>
      <w:r>
        <w:drawing>
          <wp:inline xmlns:a="http://schemas.openxmlformats.org/drawingml/2006/main" xmlns:pic="http://schemas.openxmlformats.org/drawingml/2006/picture">
            <wp:extent cx="4320000" cy="3317143"/>
            <wp:docPr id="7" name="Picture 7"/>
            <wp:cNvGraphicFramePr>
              <a:graphicFrameLocks noChangeAspect="1"/>
            </wp:cNvGraphicFramePr>
            <a:graphic>
              <a:graphicData uri="http://schemas.openxmlformats.org/drawingml/2006/picture">
                <pic:pic>
                  <pic:nvPicPr>
                    <pic:cNvPr id="0" name="fig_synthetic_mri.png"/>
                    <pic:cNvPicPr/>
                  </pic:nvPicPr>
                  <pic:blipFill>
                    <a:blip r:embed="rId15"/>
                    <a:stretch>
                      <a:fillRect/>
                    </a:stretch>
                  </pic:blipFill>
                  <pic:spPr>
                    <a:xfrm>
                      <a:off x="0" y="0"/>
                      <a:ext cx="4320000" cy="3317143"/>
                    </a:xfrm>
                    <a:prstGeom prst="rect"/>
                  </pic:spPr>
                </pic:pic>
              </a:graphicData>
            </a:graphic>
          </wp:inline>
        </w:drawing>
      </w:r>
    </w:p>
    <w:p>
      <w:pPr>
        <w:pStyle w:val="Caption"/>
      </w:pPr>
      <w:bookmarkStart w:id="1011" w:name="_Ref_Figure_3_2"/>
      <w:r>
        <w:rPr>
          <w:rFonts w:ascii="Times New Roman" w:hAnsi="Times New Roman" w:cs="Times New Roman" w:eastAsia="Times New Roman"/>
          <w:b/>
          <w:sz w:val="22"/>
        </w:rPr>
        <w:t xml:space="preserve">Figure 3.2: </w:t>
      </w:r>
      <w:r>
        <w:rPr>
          <w:rFonts w:ascii="Times New Roman" w:hAnsi="Times New Roman" w:cs="Times New Roman" w:eastAsia="Times New Roman"/>
          <w:sz w:val="22"/>
        </w:rPr>
        <w:t>Axial slices of synthetic MRI volumes from the original generator (seeded). Dashed boxes mark the class-specific region: lesion proxy (Optic neuritis / CVI, index 20) and atrophy proxy (Glaucoma, index 60).</w:t>
      </w:r>
      <w:bookmarkEnd w:id="1011"/>
    </w:p>
    <w:p>
      <w:pPr>
        <w:pStyle w:val="Heading3"/>
      </w:pPr>
      <w:r>
        <w:rPr>
          <w:rFonts w:ascii="Times New Roman" w:hAnsi="Times New Roman" w:cs="Times New Roman" w:eastAsia="Times New Roman"/>
          <w:b/>
          <w:sz w:val="24"/>
        </w:rPr>
        <w:t>3.5.2  SYNTHETIC VEP WAVEFORMS (ORIGINAL GENERATOR)</w:t>
      </w:r>
    </w:p>
    <w:p>
      <w:pPr>
        <w:pStyle w:val="BodyJ"/>
      </w:pPr>
      <w:r>
        <w:rPr>
          <w:rFonts w:ascii="Times New Roman" w:hAnsi="Times New Roman" w:cs="Times New Roman" w:eastAsia="Times New Roman"/>
        </w:rPr>
        <w:t>A waveform sampled at 250 Hz for 2 s (500 samples) is built from three Gaussian components that mimic the N75-P100-N145 complex, with latency τ and amplitude A that depend on the class (Table 3.5):</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r>
                  <m:t>s</m:t>
                </m:r>
                <m:r>
                  <m:t>(</m:t>
                </m:r>
                <m:r>
                  <m:t>t</m:t>
                </m:r>
                <m:r>
                  <m:t>)</m:t>
                </m:r>
                <m:r>
                  <m:t>=</m:t>
                </m:r>
                <m:r>
                  <m:t>A</m:t>
                </m:r>
                <m:r>
                  <m:t> </m:t>
                </m:r>
                <m:sSup>
                  <m:e>
                    <m:r>
                      <m:t>e</m:t>
                    </m:r>
                  </m:e>
                  <m:sup>
                    <m:r>
                      <m:t>−</m:t>
                    </m:r>
                    <m:f>
                      <m:fPr>
                        <m:type m:val="bar"/>
                      </m:fPr>
                      <m:num>
                        <m:r>
                          <m:t>(</m:t>
                        </m:r>
                        <m:r>
                          <m:t>t</m:t>
                        </m:r>
                        <m:r>
                          <m:t>−</m:t>
                        </m:r>
                        <m:r>
                          <m:t>τ</m:t>
                        </m:r>
                        <m:sSup>
                          <m:e>
                            <m:r>
                              <m:t>)</m:t>
                            </m:r>
                          </m:e>
                          <m:sup>
                            <m:r>
                              <m:t>2</m:t>
                            </m:r>
                          </m:sup>
                        </m:sSup>
                      </m:num>
                      <m:den>
                        <m:r>
                          <m:t>2</m:t>
                        </m:r>
                        <m:sSubSup>
                          <m:e>
                            <m:r>
                              <m:t>σ</m:t>
                            </m:r>
                          </m:e>
                          <m:sub>
                            <m:r>
                              <m:t>1</m:t>
                            </m:r>
                          </m:sub>
                          <m:sup>
                            <m:r>
                              <m:t>2</m:t>
                            </m:r>
                          </m:sup>
                        </m:sSubSup>
                      </m:den>
                    </m:f>
                  </m:sup>
                </m:sSup>
                <m:r>
                  <m:t>−</m:t>
                </m:r>
                <m:r>
                  <m:t>0.5</m:t>
                </m:r>
                <m:r>
                  <m:t> </m:t>
                </m:r>
                <m:r>
                  <m:t>A</m:t>
                </m:r>
                <m:r>
                  <m:t> </m:t>
                </m:r>
                <m:sSup>
                  <m:e>
                    <m:r>
                      <m:t>e</m:t>
                    </m:r>
                  </m:e>
                  <m:sup>
                    <m:r>
                      <m:t>−</m:t>
                    </m:r>
                    <m:f>
                      <m:fPr>
                        <m:type m:val="bar"/>
                      </m:fPr>
                      <m:num>
                        <m:r>
                          <m:t>(</m:t>
                        </m:r>
                        <m:r>
                          <m:t>t</m:t>
                        </m:r>
                        <m:r>
                          <m:t>−</m:t>
                        </m:r>
                        <m:r>
                          <m:t>τ</m:t>
                        </m:r>
                        <m:r>
                          <m:t>+</m:t>
                        </m:r>
                        <m:r>
                          <m:t>0.025</m:t>
                        </m:r>
                        <m:sSup>
                          <m:e>
                            <m:r>
                              <m:t>)</m:t>
                            </m:r>
                          </m:e>
                          <m:sup>
                            <m:r>
                              <m:t>2</m:t>
                            </m:r>
                          </m:sup>
                        </m:sSup>
                      </m:num>
                      <m:den>
                        <m:r>
                          <m:t>2</m:t>
                        </m:r>
                        <m:sSubSup>
                          <m:e>
                            <m:r>
                              <m:t>σ</m:t>
                            </m:r>
                          </m:e>
                          <m:sub>
                            <m:r>
                              <m:t>2</m:t>
                            </m:r>
                          </m:sub>
                          <m:sup>
                            <m:r>
                              <m:t>2</m:t>
                            </m:r>
                          </m:sup>
                        </m:sSubSup>
                      </m:den>
                    </m:f>
                  </m:sup>
                </m:sSup>
                <m:r>
                  <m:t>−</m:t>
                </m:r>
                <m:r>
                  <m:t>0.4</m:t>
                </m:r>
                <m:r>
                  <m:t> </m:t>
                </m:r>
                <m:r>
                  <m:t>A</m:t>
                </m:r>
                <m:r>
                  <m:t> </m:t>
                </m:r>
                <m:sSup>
                  <m:e>
                    <m:r>
                      <m:t>e</m:t>
                    </m:r>
                  </m:e>
                  <m:sup>
                    <m:r>
                      <m:t>−</m:t>
                    </m:r>
                    <m:f>
                      <m:fPr>
                        <m:type m:val="bar"/>
                      </m:fPr>
                      <m:num>
                        <m:r>
                          <m:t>(</m:t>
                        </m:r>
                        <m:r>
                          <m:t>t</m:t>
                        </m:r>
                        <m:r>
                          <m:t>−</m:t>
                        </m:r>
                        <m:r>
                          <m:t>τ</m:t>
                        </m:r>
                        <m:r>
                          <m:t>−</m:t>
                        </m:r>
                        <m:r>
                          <m:t>0.045</m:t>
                        </m:r>
                        <m:sSup>
                          <m:e>
                            <m:r>
                              <m:t>)</m:t>
                            </m:r>
                          </m:e>
                          <m:sup>
                            <m:r>
                              <m:t>2</m:t>
                            </m:r>
                          </m:sup>
                        </m:sSup>
                      </m:num>
                      <m:den>
                        <m:r>
                          <m:t>2</m:t>
                        </m:r>
                        <m:sSubSup>
                          <m:e>
                            <m:r>
                              <m:t>σ</m:t>
                            </m:r>
                          </m:e>
                          <m:sub>
                            <m:r>
                              <m:t>3</m:t>
                            </m:r>
                          </m:sub>
                          <m:sup>
                            <m:r>
                              <m:t>2</m:t>
                            </m:r>
                          </m:sup>
                        </m:sSubSup>
                      </m:den>
                    </m:f>
                  </m:sup>
                </m:sSup>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(3.1)</w:t>
            </w:r>
          </w:p>
        </w:tc>
      </w:tr>
    </w:tbl>
    <w:p>
      <w:pPr>
        <w:pStyle w:val="BodyJ"/>
        <w:ind w:firstLine="0"/>
      </w:pPr>
      <w:r>
        <w:rPr>
          <w:rFonts w:ascii="Times New Roman" w:hAnsi="Times New Roman" w:cs="Times New Roman" w:eastAsia="Times New Roman"/>
        </w:rPr>
        <w:t>with σ₁ = 12 ms, σ₂ = 10 ms and σ₃ = 15 ms. Three artefacts are then added: a slow baseline drift 0.3 sin(2π · 0.3 t), mains interference 0.15 sin(2π · 50 t) and Gaussian muscle noise with standard deviation 0.3. These are exactly the artefacts that the conditioning pipeline of Section 3.8 is designed to remove.</w:t>
      </w:r>
    </w:p>
    <w:p>
      <w:pPr>
        <w:pStyle w:val="Caption"/>
        <w:keepNext/>
        <w:spacing w:before="160" w:after="80"/>
      </w:pPr>
      <w:bookmarkStart w:id="1012" w:name="_Ref_Table_3_5"/>
      <w:r>
        <w:rPr>
          <w:rFonts w:ascii="Times New Roman" w:hAnsi="Times New Roman" w:cs="Times New Roman" w:eastAsia="Times New Roman"/>
          <w:b/>
          <w:sz w:val="22"/>
        </w:rPr>
        <w:t xml:space="preserve">Table 3.5: </w:t>
      </w:r>
      <w:r>
        <w:rPr>
          <w:rFonts w:ascii="Times New Roman" w:hAnsi="Times New Roman" w:cs="Times New Roman" w:eastAsia="Times New Roman"/>
          <w:sz w:val="22"/>
        </w:rPr>
        <w:t xml:space="preserve">Class-conditioned parameters of the original synthetic generators.</w:t>
      </w:r>
      <w:bookmarkEnd w:id="1012"/>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324"/>
        <w:gridCol w:w="2608"/>
        <w:gridCol w:w="1701"/>
        <w:gridCol w:w="1672"/>
      </w:tblGrid>
      <w:tr>
        <w:trPr>
          <w:cantSplit/>
          <w:tblHeader/>
        </w:trPr>
        <w:tc>
          <w:tcPr>
            <w:tcW w:type="dxa" w:w="2324"/>
            <w:shd w:val="clear" w:color="auto" w:fill="D9D9D9"/>
          </w:tcPr>
          <w:p>
            <w:pPr>
              <w:pStyle w:val="TableText"/>
              <w:keepNext/>
              <w:jc w:val="left"/>
            </w:pPr>
            <w:r>
              <w:rPr>
                <w:rFonts w:ascii="Times New Roman" w:hAnsi="Times New Roman" w:cs="Times New Roman" w:eastAsia="Times New Roman"/>
                <w:b/>
                <w:sz w:val="21"/>
              </w:rPr>
              <w:t>Class (label)</w:t>
            </w:r>
          </w:p>
        </w:tc>
        <w:tc>
          <w:tcPr>
            <w:tcW w:type="dxa" w:w="2608"/>
            <w:shd w:val="clear" w:color="auto" w:fill="D9D9D9"/>
          </w:tcPr>
          <w:p>
            <w:pPr>
              <w:pStyle w:val="TableText"/>
              <w:keepNext/>
              <w:jc w:val="left"/>
            </w:pPr>
            <w:r>
              <w:rPr>
                <w:rFonts w:ascii="Times New Roman" w:hAnsi="Times New Roman" w:cs="Times New Roman" w:eastAsia="Times New Roman"/>
                <w:b/>
                <w:sz w:val="21"/>
              </w:rPr>
              <w:t>MRI conditioning</w:t>
            </w:r>
          </w:p>
        </w:tc>
        <w:tc>
          <w:tcPr>
            <w:tcW w:type="dxa" w:w="1701"/>
            <w:shd w:val="clear" w:color="auto" w:fill="D9D9D9"/>
          </w:tcPr>
          <w:p>
            <w:pPr>
              <w:pStyle w:val="TableText"/>
              <w:keepNext/>
              <w:jc w:val="center"/>
            </w:pPr>
            <w:r>
              <w:rPr>
                <w:rFonts w:ascii="Times New Roman" w:hAnsi="Times New Roman" w:cs="Times New Roman" w:eastAsia="Times New Roman"/>
                <w:b/>
                <w:sz w:val="21"/>
              </w:rPr>
              <w:t>P100 latency τ</w:t>
            </w:r>
          </w:p>
        </w:tc>
        <w:tc>
          <w:tcPr>
            <w:tcW w:type="dxa" w:w="1672"/>
            <w:shd w:val="clear" w:color="auto" w:fill="D9D9D9"/>
          </w:tcPr>
          <w:p>
            <w:pPr>
              <w:pStyle w:val="TableText"/>
              <w:keepNext/>
              <w:jc w:val="center"/>
            </w:pPr>
            <w:r>
              <w:rPr>
                <w:rFonts w:ascii="Times New Roman" w:hAnsi="Times New Roman" w:cs="Times New Roman" w:eastAsia="Times New Roman"/>
                <w:b/>
                <w:sz w:val="21"/>
              </w:rPr>
              <w:t>P100 amplitude A</w:t>
            </w:r>
          </w:p>
        </w:tc>
      </w:tr>
      <w:tr>
        <w:trPr>
          <w:cantSplit/>
        </w:trPr>
        <w:tc>
          <w:tcPr>
            <w:tcW w:type="dxa" w:w="2324"/>
          </w:tcPr>
          <w:p>
            <w:pPr>
              <w:pStyle w:val="TableText"/>
              <w:keepNext/>
              <w:jc w:val="left"/>
            </w:pPr>
            <w:r>
              <w:rPr>
                <w:rFonts w:ascii="Times New Roman" w:hAnsi="Times New Roman" w:cs="Times New Roman" w:eastAsia="Times New Roman"/>
                <w:sz w:val="21"/>
              </w:rPr>
              <w:t>Healthy Control (0)</w:t>
            </w:r>
          </w:p>
        </w:tc>
        <w:tc>
          <w:tcPr>
            <w:tcW w:type="dxa" w:w="2608"/>
          </w:tcPr>
          <w:p>
            <w:pPr>
              <w:pStyle w:val="TableText"/>
              <w:keepNext/>
              <w:jc w:val="left"/>
            </w:pPr>
            <w:r>
              <w:rPr>
                <w:rFonts w:ascii="Times New Roman" w:hAnsi="Times New Roman" w:cs="Times New Roman" w:eastAsia="Times New Roman"/>
                <w:sz w:val="21"/>
              </w:rPr>
              <w:t>None (background-like)</w:t>
            </w:r>
          </w:p>
        </w:tc>
        <w:tc>
          <w:tcPr>
            <w:tcW w:type="dxa" w:w="1701"/>
          </w:tcPr>
          <w:p>
            <w:pPr>
              <w:pStyle w:val="TableText"/>
              <w:keepNext/>
              <w:jc w:val="center"/>
            </w:pPr>
            <w:r>
              <w:rPr>
                <w:rFonts w:ascii="Times New Roman" w:hAnsi="Times New Roman" w:cs="Times New Roman" w:eastAsia="Times New Roman"/>
                <w:sz w:val="21"/>
              </w:rPr>
              <w:t>100 ms</w:t>
            </w:r>
          </w:p>
        </w:tc>
        <w:tc>
          <w:tcPr>
            <w:tcW w:type="dxa" w:w="1672"/>
          </w:tcPr>
          <w:p>
            <w:pPr>
              <w:pStyle w:val="TableText"/>
              <w:keepNext/>
              <w:jc w:val="center"/>
            </w:pPr>
            <w:r>
              <w:rPr>
                <w:rFonts w:ascii="Times New Roman" w:hAnsi="Times New Roman" w:cs="Times New Roman" w:eastAsia="Times New Roman"/>
                <w:sz w:val="21"/>
              </w:rPr>
              <w:t>6.0</w:t>
            </w:r>
          </w:p>
        </w:tc>
      </w:tr>
      <w:tr>
        <w:trPr>
          <w:cantSplit/>
        </w:trPr>
        <w:tc>
          <w:tcPr>
            <w:tcW w:type="dxa" w:w="2324"/>
          </w:tcPr>
          <w:p>
            <w:pPr>
              <w:pStyle w:val="TableText"/>
              <w:keepNext/>
              <w:jc w:val="left"/>
            </w:pPr>
            <w:r>
              <w:rPr>
                <w:rFonts w:ascii="Times New Roman" w:hAnsi="Times New Roman" w:cs="Times New Roman" w:eastAsia="Times New Roman"/>
                <w:sz w:val="21"/>
              </w:rPr>
              <w:t>Glaucoma (1)</w:t>
            </w:r>
          </w:p>
        </w:tc>
        <w:tc>
          <w:tcPr>
            <w:tcW w:type="dxa" w:w="2608"/>
          </w:tcPr>
          <w:p>
            <w:pPr>
              <w:pStyle w:val="TableText"/>
              <w:keepNext/>
              <w:jc w:val="left"/>
            </w:pPr>
            <w:r>
              <w:rPr>
                <w:rFonts w:ascii="Times New Roman" w:hAnsi="Times New Roman" w:cs="Times New Roman" w:eastAsia="Times New Roman"/>
                <w:sz w:val="21"/>
              </w:rPr>
              <w:t>Block × 0.4 (atrophy proxy)</w:t>
            </w:r>
          </w:p>
        </w:tc>
        <w:tc>
          <w:tcPr>
            <w:tcW w:type="dxa" w:w="1701"/>
          </w:tcPr>
          <w:p>
            <w:pPr>
              <w:pStyle w:val="TableText"/>
              <w:keepNext/>
              <w:jc w:val="center"/>
            </w:pPr>
            <w:r>
              <w:rPr>
                <w:rFonts w:ascii="Times New Roman" w:hAnsi="Times New Roman" w:cs="Times New Roman" w:eastAsia="Times New Roman"/>
                <w:sz w:val="21"/>
              </w:rPr>
              <w:t>108 ms</w:t>
            </w:r>
          </w:p>
        </w:tc>
        <w:tc>
          <w:tcPr>
            <w:tcW w:type="dxa" w:w="1672"/>
          </w:tcPr>
          <w:p>
            <w:pPr>
              <w:pStyle w:val="TableText"/>
              <w:keepNext/>
              <w:jc w:val="center"/>
            </w:pPr>
            <w:r>
              <w:rPr>
                <w:rFonts w:ascii="Times New Roman" w:hAnsi="Times New Roman" w:cs="Times New Roman" w:eastAsia="Times New Roman"/>
                <w:sz w:val="21"/>
              </w:rPr>
              <w:t>2.5</w:t>
            </w:r>
          </w:p>
        </w:tc>
      </w:tr>
      <w:tr>
        <w:trPr>
          <w:cantSplit/>
        </w:trPr>
        <w:tc>
          <w:tcPr>
            <w:tcW w:type="dxa" w:w="2324"/>
          </w:tcPr>
          <w:p>
            <w:pPr>
              <w:pStyle w:val="TableText"/>
              <w:jc w:val="left"/>
            </w:pPr>
            <w:r>
              <w:rPr>
                <w:rFonts w:ascii="Times New Roman" w:hAnsi="Times New Roman" w:cs="Times New Roman" w:eastAsia="Times New Roman"/>
                <w:sz w:val="21"/>
              </w:rPr>
              <w:t>Optic Neuritis / CVI (2)</w:t>
            </w:r>
          </w:p>
        </w:tc>
        <w:tc>
          <w:tcPr>
            <w:tcW w:type="dxa" w:w="2608"/>
          </w:tcPr>
          <w:p>
            <w:pPr>
              <w:pStyle w:val="TableText"/>
              <w:jc w:val="left"/>
            </w:pPr>
            <w:r>
              <w:rPr>
                <w:rFonts w:ascii="Times New Roman" w:hAnsi="Times New Roman" w:cs="Times New Roman" w:eastAsia="Times New Roman"/>
                <w:sz w:val="21"/>
              </w:rPr>
              <w:t>Block × 1.8 (lesion proxy)</w:t>
            </w:r>
          </w:p>
        </w:tc>
        <w:tc>
          <w:tcPr>
            <w:tcW w:type="dxa" w:w="1701"/>
          </w:tcPr>
          <w:p>
            <w:pPr>
              <w:pStyle w:val="TableText"/>
              <w:jc w:val="center"/>
            </w:pPr>
            <w:r>
              <w:rPr>
                <w:rFonts w:ascii="Times New Roman" w:hAnsi="Times New Roman" w:cs="Times New Roman" w:eastAsia="Times New Roman"/>
                <w:sz w:val="21"/>
              </w:rPr>
              <w:t>140 ms</w:t>
            </w:r>
          </w:p>
        </w:tc>
        <w:tc>
          <w:tcPr>
            <w:tcW w:type="dxa" w:w="1672"/>
          </w:tcPr>
          <w:p>
            <w:pPr>
              <w:pStyle w:val="TableText"/>
              <w:jc w:val="center"/>
            </w:pPr>
            <w:r>
              <w:rPr>
                <w:rFonts w:ascii="Times New Roman" w:hAnsi="Times New Roman" w:cs="Times New Roman" w:eastAsia="Times New Roman"/>
                <w:sz w:val="21"/>
              </w:rPr>
              <w:t>4.0</w:t>
            </w:r>
          </w:p>
        </w:tc>
      </w:tr>
    </w:tbl>
    <w:p>
      <w:pPr>
        <w:spacing w:after="80" w:line="240" w:lineRule="auto"/>
      </w:pPr>
    </w:p>
    <w:p>
      <w:pPr>
        <w:pStyle w:val="Heading3"/>
      </w:pPr>
      <w:r>
        <w:rPr>
          <w:rFonts w:ascii="Times New Roman" w:hAnsi="Times New Roman" w:cs="Times New Roman" w:eastAsia="Times New Roman"/>
          <w:b/>
          <w:sz w:val="24"/>
        </w:rPr>
        <w:t>3.5.3  DATASET BEHAVIOUR</w:t>
      </w:r>
    </w:p>
    <w:p>
      <w:pPr>
        <w:pStyle w:val="BodyJ"/>
      </w:pPr>
      <w:r>
        <w:rPr>
          <w:rFonts w:ascii="Courier New" w:hAnsi="Courier New" w:cs="Courier New" w:eastAsia="Courier New"/>
        </w:rPr>
        <w:t xml:space="preserve">SyntheticNeuroDataset</w:t>
      </w:r>
      <w:r>
        <w:rPr>
          <w:rFonts w:ascii="Times New Roman" w:hAnsi="Times New Roman" w:cs="Times New Roman" w:eastAsia="Times New Roman"/>
        </w:rPr>
        <w:t xml:space="preserve"> creates a balanced list of labels and shuffles it deterministically from a seed. The raw sample for an index is generated when the item is requested. In the original implementation a shared random-number generator was used, so that the same index was not guaranteed to return identical noise on repeated access; the current version draws every item from its own generator seeded with the pair (seed, index), so that a given index always yields the same sample, whatever the access order or the number of data-loading workers. Items can be cached after preprocessing, and augmentation is applied after the cache. The function </w:t>
      </w:r>
      <w:r>
        <w:rPr>
          <w:rFonts w:ascii="Courier New" w:hAnsi="Courier New" w:cs="Courier New" w:eastAsia="Courier New"/>
        </w:rPr>
        <w:t xml:space="preserve">write_synthetic_dataset</w:t>
      </w:r>
      <w:r>
        <w:rPr>
          <w:rFonts w:ascii="Times New Roman" w:hAnsi="Times New Roman" w:cs="Times New Roman" w:eastAsia="Times New Roman"/>
        </w:rPr>
        <w:t xml:space="preserve"> writes the samples to disk as </w:t>
      </w:r>
      <w:r>
        <w:rPr>
          <w:rFonts w:ascii="Courier New" w:hAnsi="Courier New" w:cs="Courier New" w:eastAsia="Courier New"/>
        </w:rPr>
        <w:t xml:space="preserve">sub-XXXX_mri.nii.gz</w:t>
      </w:r>
      <w:r>
        <w:rPr>
          <w:rFonts w:ascii="Times New Roman" w:hAnsi="Times New Roman" w:cs="Times New Roman" w:eastAsia="Times New Roman"/>
        </w:rPr>
        <w:t xml:space="preserve"> and </w:t>
      </w:r>
      <w:r>
        <w:rPr>
          <w:rFonts w:ascii="Courier New" w:hAnsi="Courier New" w:cs="Courier New" w:eastAsia="Courier New"/>
        </w:rPr>
        <w:t xml:space="preserve">sub-XXXX_vep.csv</w:t>
      </w:r>
      <w:r>
        <w:rPr>
          <w:rFonts w:ascii="Times New Roman" w:hAnsi="Times New Roman" w:cs="Times New Roman" w:eastAsia="Times New Roman"/>
        </w:rPr>
        <w:t xml:space="preserve"> files with a </w:t>
      </w:r>
      <w:r>
        <w:rPr>
          <w:rFonts w:ascii="Courier New" w:hAnsi="Courier New" w:cs="Courier New" w:eastAsia="Courier New"/>
        </w:rPr>
        <w:t xml:space="preserve">manifest.csv</w:t>
      </w:r>
      <w:r>
        <w:rPr>
          <w:rFonts w:ascii="Times New Roman" w:hAnsi="Times New Roman" w:cs="Times New Roman" w:eastAsia="Times New Roman"/>
        </w:rPr>
        <w:t xml:space="preserve">, which is how the end-to-end tests exercise the real file path.</w:t>
      </w:r>
    </w:p>
    <w:p>
      <w:pPr>
        <w:keepNext/>
        <w:spacing w:before="120" w:after="40" w:line="240" w:lineRule="auto"/>
        <w:jc w:val="center"/>
      </w:pPr>
      <w:r>
        <w:drawing>
          <wp:inline xmlns:a="http://schemas.openxmlformats.org/drawingml/2006/main" xmlns:pic="http://schemas.openxmlformats.org/drawingml/2006/picture">
            <wp:extent cx="4680000" cy="4036208"/>
            <wp:docPr id="9" name="Picture 9"/>
            <wp:cNvGraphicFramePr>
              <a:graphicFrameLocks noChangeAspect="1"/>
            </wp:cNvGraphicFramePr>
            <a:graphic>
              <a:graphicData uri="http://schemas.openxmlformats.org/drawingml/2006/picture">
                <pic:pic>
                  <pic:nvPicPr>
                    <pic:cNvPr id="0" name="fig_vep_examples.png"/>
                    <pic:cNvPicPr/>
                  </pic:nvPicPr>
                  <pic:blipFill>
                    <a:blip r:embed="rId17"/>
                    <a:stretch>
                      <a:fillRect/>
                    </a:stretch>
                  </pic:blipFill>
                  <pic:spPr>
                    <a:xfrm>
                      <a:off x="0" y="0"/>
                      <a:ext cx="4680000" cy="4036208"/>
                    </a:xfrm>
                    <a:prstGeom prst="rect"/>
                  </pic:spPr>
                </pic:pic>
              </a:graphicData>
            </a:graphic>
          </wp:inline>
        </w:drawing>
      </w:r>
    </w:p>
    <w:p>
      <w:pPr>
        <w:pStyle w:val="Caption"/>
      </w:pPr>
      <w:bookmarkStart w:id="1013" w:name="_Ref_Figure_3_3"/>
      <w:r>
        <w:rPr>
          <w:rFonts w:ascii="Times New Roman" w:hAnsi="Times New Roman" w:cs="Times New Roman" w:eastAsia="Times New Roman"/>
          <w:b/>
          <w:sz w:val="22"/>
        </w:rPr>
        <w:t xml:space="preserve">Figure 3.3: </w:t>
      </w:r>
      <w:r>
        <w:rPr>
          <w:rFonts w:ascii="Times New Roman" w:hAnsi="Times New Roman" w:cs="Times New Roman" w:eastAsia="Times New Roman"/>
          <w:sz w:val="22"/>
        </w:rPr>
        <w:t xml:space="preserve">Synthetic VEP waveforms (original generator) for the three classes, before (left) and after (right) the project's conditioning function </w:t>
      </w:r>
      <w:r>
        <w:rPr>
          <w:rFonts w:ascii="Courier New" w:hAnsi="Courier New" w:cs="Courier New" w:eastAsia="Courier New"/>
          <w:i w:val="0"/>
          <w:sz w:val="20"/>
        </w:rPr>
        <w:t>clean_vep_signal</w:t>
      </w:r>
      <w:r>
        <w:rPr>
          <w:rFonts w:ascii="Times New Roman" w:hAnsi="Times New Roman" w:cs="Times New Roman" w:eastAsia="Times New Roman"/>
          <w:sz w:val="22"/>
        </w:rPr>
        <w:t>. Dotted line: ground-truth P100 latency.</w:t>
      </w:r>
      <w:bookmarkEnd w:id="1013"/>
    </w:p>
    <w:p>
      <w:pPr>
        <w:pStyle w:val="Heading3"/>
      </w:pPr>
      <w:r>
        <w:rPr>
          <w:rFonts w:ascii="Times New Roman" w:hAnsi="Times New Roman" w:cs="Times New Roman" w:eastAsia="Times New Roman"/>
          <w:b/>
          <w:sz w:val="24"/>
        </w:rPr>
        <w:t>3.5.4  CONTROLLABLE CLASS INFORMATIVENESS (CURRENT GENERATOR)</w:t>
      </w:r>
    </w:p>
    <w:p>
      <w:pPr>
        <w:pStyle w:val="BodyJ"/>
      </w:pPr>
      <w:r>
        <w:rPr>
          <w:rFonts w:ascii="Times New Roman" w:hAnsi="Times New Roman" w:cs="Times New Roman" w:eastAsia="Times New Roman"/>
        </w:rPr>
        <w:t xml:space="preserve">The current generator (</w:t>
      </w:r>
      <w:r>
        <w:rPr>
          <w:rFonts w:ascii="Courier New" w:hAnsi="Courier New" w:cs="Courier New" w:eastAsia="Courier New"/>
        </w:rPr>
        <w:t xml:space="preserve">src/data/synthetic.py</w:t>
      </w:r>
      <w:r>
        <w:rPr>
          <w:rFonts w:ascii="Times New Roman" w:hAnsi="Times New Roman" w:cs="Times New Roman" w:eastAsia="Times New Roman"/>
        </w:rPr>
        <w:t xml:space="preserve">) is more realistic than the original one and adds two controls. The MRI is an ellipsoidal brain with random centre and radii, smoothed tissue texture, a bright cortical rim, dark ventricles and a noisy background. Glaucoma volumes carry a focal hypointensity (contrast factor 0.35 to 0.55 relative to the surrounding tissue) and Optic Neuritis / CVI volumes a focal hyperintensity (1.6 to 2.2), each at a random position inside the brain, with a random radius of 3 to 6 voxels and a soft Gaussian fall-off; healthy volumes have no lesion. The VEP keeps the N75–P100–N145 complex, but latency and amplitude are drawn for every sample: latency 100 ± 3, 104 ± 4 and 138 ± 6 ms (mean ± SD) and amplitude 6.0 ± 0.8, 2.5 ± 0.6 and 4.0 ± 1.0 for the Healthy, Glaucoma and Optic Neuritis / CVI classes, with the same drift, mains and muscle artefacts as before and a random phase for the drift and mains components.</w:t>
      </w:r>
    </w:p>
    <w:p>
      <w:pPr>
        <w:pStyle w:val="BodyJ"/>
      </w:pPr>
      <w:r>
        <w:rPr>
          <w:rFonts w:ascii="Times New Roman" w:hAnsi="Times New Roman" w:cs="Times New Roman" w:eastAsia="Times New Roman"/>
        </w:rPr>
        <w:t xml:space="preserve">Two parameters,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and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in [0, 1] (</w:t>
      </w:r>
      <w:r>
        <w:rPr>
          <w:rFonts w:ascii="Courier New" w:hAnsi="Courier New" w:cs="Courier New" w:eastAsia="Courier New"/>
        </w:rPr>
        <w:t xml:space="preserve">mri_strength</w:t>
      </w:r>
      <w:r>
        <w:rPr>
          <w:rFonts w:ascii="Times New Roman" w:hAnsi="Times New Roman" w:cs="Times New Roman" w:eastAsia="Times New Roman"/>
        </w:rPr>
        <w:t xml:space="preserve"> and </w:t>
      </w:r>
      <w:r>
        <w:rPr>
          <w:rFonts w:ascii="Courier New" w:hAnsi="Courier New" w:cs="Courier New" w:eastAsia="Courier New"/>
        </w:rPr>
        <w:t xml:space="preserve">vep_strength</w:t>
      </w:r>
      <w:r>
        <w:rPr>
          <w:rFonts w:ascii="Times New Roman" w:hAnsi="Times New Roman" w:cs="Times New Roman" w:eastAsia="Times New Roman"/>
        </w:rPr>
        <w:t xml:space="preserve">), scale how much class information each modality carries. For the MRI, the lesion contrast is scaled as 1 + (</w:t>
      </w:r>
      <w:r>
        <w:rPr>
          <w:rFonts w:ascii="Times New Roman" w:hAnsi="Times New Roman" w:cs="Times New Roman" w:eastAsia="Times New Roman"/>
          <w:i/>
        </w:rPr>
        <w:t xml:space="preserve">c</w:t>
      </w:r>
      <w:r>
        <w:rPr>
          <w:rFonts w:ascii="Times New Roman" w:hAnsi="Times New Roman" w:cs="Times New Roman" w:eastAsia="Times New Roman"/>
        </w:rPr>
        <w:t xml:space="preserve"> − 1) ·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 </w:t>
      </w:r>
      <w:r>
        <w:rPr>
          <w:rFonts w:ascii="Times New Roman" w:hAnsi="Times New Roman" w:cs="Times New Roman" w:eastAsia="Times New Roman"/>
          <w:i/>
        </w:rPr>
        <w:t xml:space="preserve">g</w:t>
      </w:r>
      <w:r>
        <w:rPr>
          <w:rFonts w:ascii="Times New Roman" w:hAnsi="Times New Roman" w:cs="Times New Roman" w:eastAsia="Times New Roman"/>
        </w:rPr>
        <w:t xml:space="preserve">, where </w:t>
      </w:r>
      <w:r>
        <w:rPr>
          <w:rFonts w:ascii="Times New Roman" w:hAnsi="Times New Roman" w:cs="Times New Roman" w:eastAsia="Times New Roman"/>
          <w:i/>
        </w:rPr>
        <w:t xml:space="preserve">c</w:t>
      </w:r>
      <w:r>
        <w:rPr>
          <w:rFonts w:ascii="Times New Roman" w:hAnsi="Times New Roman" w:cs="Times New Roman" w:eastAsia="Times New Roman"/>
        </w:rPr>
        <w:t xml:space="preserve"> is the sampled contrast factor and </w:t>
      </w:r>
      <w:r>
        <w:rPr>
          <w:rFonts w:ascii="Times New Roman" w:hAnsi="Times New Roman" w:cs="Times New Roman" w:eastAsia="Times New Roman"/>
          <w:i/>
        </w:rPr>
        <w:t xml:space="preserve">g</w:t>
      </w:r>
      <w:r>
        <w:rPr>
          <w:rFonts w:ascii="Times New Roman" w:hAnsi="Times New Roman" w:cs="Times New Roman" w:eastAsia="Times New Roman"/>
        </w:rPr>
        <w:t xml:space="preserve"> the spatial fall-off, so that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 0 removes the visible lesion. For the VEP, the offsets of latency and amplitude from the healthy class are multiplied by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so that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 0 makes every class look healthy. A value of 1 recovers the default generator. Because the two modalities are generated independently given the label, their evidence is complementary by construction. This is the setting in which fusion should help, and the benchmark asks how reliably each architecture exploits it (Section 3.9.1).</w:t>
      </w:r>
    </w:p>
    <w:p>
      <w:pPr>
        <w:pStyle w:val="Heading2"/>
      </w:pPr>
      <w:r>
        <w:rPr>
          <w:rFonts w:ascii="Times New Roman" w:hAnsi="Times New Roman" w:cs="Times New Roman" w:eastAsia="Times New Roman"/>
          <w:b/>
          <w:sz w:val="28"/>
        </w:rPr>
        <w:t>3.6  DATA INTERFACE</w:t>
      </w:r>
    </w:p>
    <w:p>
      <w:pPr>
        <w:pStyle w:val="BodyJ"/>
      </w:pPr>
      <w:r>
        <w:rPr>
          <w:rFonts w:ascii="Courier New" w:hAnsi="Courier New" w:cs="Courier New" w:eastAsia="Courier New"/>
        </w:rPr>
        <w:t xml:space="preserve">PairedNeuroDataset</w:t>
      </w:r>
      <w:r>
        <w:rPr>
          <w:rFonts w:ascii="Times New Roman" w:hAnsi="Times New Roman" w:cs="Times New Roman" w:eastAsia="Times New Roman"/>
        </w:rPr>
        <w:t xml:space="preserve"> reads a manifest CSV with the columns </w:t>
      </w:r>
      <w:r>
        <w:rPr>
          <w:rFonts w:ascii="Courier New" w:hAnsi="Courier New" w:cs="Courier New" w:eastAsia="Courier New"/>
        </w:rPr>
        <w:t xml:space="preserve">subject_id</w:t>
      </w:r>
      <w:r>
        <w:rPr>
          <w:rFonts w:ascii="Times New Roman" w:hAnsi="Times New Roman" w:cs="Times New Roman" w:eastAsia="Times New Roman"/>
        </w:rPr>
        <w:t xml:space="preserve">, </w:t>
      </w:r>
      <w:r>
        <w:rPr>
          <w:rFonts w:ascii="Courier New" w:hAnsi="Courier New" w:cs="Courier New" w:eastAsia="Courier New"/>
        </w:rPr>
        <w:t xml:space="preserve">mri_path</w:t>
      </w:r>
      <w:r>
        <w:rPr>
          <w:rFonts w:ascii="Times New Roman" w:hAnsi="Times New Roman" w:cs="Times New Roman" w:eastAsia="Times New Roman"/>
        </w:rPr>
        <w:t xml:space="preserve">, </w:t>
      </w:r>
      <w:r>
        <w:rPr>
          <w:rFonts w:ascii="Courier New" w:hAnsi="Courier New" w:cs="Courier New" w:eastAsia="Courier New"/>
        </w:rPr>
        <w:t xml:space="preserve">vep_path</w:t>
      </w:r>
      <w:r>
        <w:rPr>
          <w:rFonts w:ascii="Times New Roman" w:hAnsi="Times New Roman" w:cs="Times New Roman" w:eastAsia="Times New Roman"/>
        </w:rPr>
        <w:t xml:space="preserve">, </w:t>
      </w:r>
      <w:r>
        <w:rPr>
          <w:rFonts w:ascii="Courier New" w:hAnsi="Courier New" w:cs="Courier New" w:eastAsia="Courier New"/>
        </w:rPr>
        <w:t xml:space="preserve">fs</w:t>
      </w:r>
      <w:r>
        <w:rPr>
          <w:rFonts w:ascii="Times New Roman" w:hAnsi="Times New Roman" w:cs="Times New Roman" w:eastAsia="Times New Roman"/>
        </w:rPr>
        <w:t xml:space="preserve">, </w:t>
      </w:r>
      <w:r>
        <w:rPr>
          <w:rFonts w:ascii="Courier New" w:hAnsi="Courier New" w:cs="Courier New" w:eastAsia="Courier New"/>
        </w:rPr>
        <w:t xml:space="preserve">label</w:t>
      </w:r>
      <w:r>
        <w:rPr>
          <w:rFonts w:ascii="Times New Roman" w:hAnsi="Times New Roman" w:cs="Times New Roman" w:eastAsia="Times New Roman"/>
        </w:rPr>
        <w:t xml:space="preserve"> and validates it when it is constructed: an empty manifest, missing columns, bad labels and missing files raise an error before training starts, and relative paths are resolved against the manifest directory. For each row, </w:t>
      </w:r>
      <w:r>
        <w:rPr>
          <w:rFonts w:ascii="Courier New" w:hAnsi="Courier New" w:cs="Courier New" w:eastAsia="Courier New"/>
        </w:rPr>
        <w:t xml:space="preserve">__getitem__</w:t>
      </w:r>
      <w:r>
        <w:rPr>
          <w:rFonts w:ascii="Times New Roman" w:hAnsi="Times New Roman" w:cs="Times New Roman" w:eastAsia="Times New Roman"/>
        </w:rPr>
        <w:t xml:space="preserve"> performs the following steps: (1) load and standardise the MRI with </w:t>
      </w:r>
      <w:r>
        <w:rPr>
          <w:rFonts w:ascii="Courier New" w:hAnsi="Courier New" w:cs="Courier New" w:eastAsia="Courier New"/>
        </w:rPr>
        <w:t xml:space="preserve">preprocess_mri_file</w:t>
      </w:r>
      <w:r>
        <w:rPr>
          <w:rFonts w:ascii="Times New Roman" w:hAnsi="Times New Roman" w:cs="Times New Roman" w:eastAsia="Times New Roman"/>
        </w:rPr>
        <w:t xml:space="preserve">, or load a cached NumPy array of an already standardised volume; (2) read the 1-D signal from a CSV file with </w:t>
      </w:r>
      <w:r>
        <w:rPr>
          <w:rFonts w:ascii="Courier New" w:hAnsi="Courier New" w:cs="Courier New" w:eastAsia="Courier New"/>
        </w:rPr>
        <w:t xml:space="preserve">numpy.loadtxt</w:t>
      </w:r>
      <w:r>
        <w:rPr>
          <w:rFonts w:ascii="Times New Roman" w:hAnsi="Times New Roman" w:cs="Times New Roman" w:eastAsia="Times New Roman"/>
        </w:rPr>
        <w:t xml:space="preserve">, skipping the header, or from a </w:t>
      </w:r>
      <w:r>
        <w:rPr>
          <w:rFonts w:ascii="Courier New" w:hAnsi="Courier New" w:cs="Courier New" w:eastAsia="Courier New"/>
        </w:rPr>
        <w:t xml:space="preserve">.npy</w:t>
      </w:r>
      <w:r>
        <w:rPr>
          <w:rFonts w:ascii="Times New Roman" w:hAnsi="Times New Roman" w:cs="Times New Roman" w:eastAsia="Times New Roman"/>
        </w:rPr>
        <w:t xml:space="preserve"> file; (3) take the sampling rate from the row, falling back to the configured 250 Hz when it is missing; (4) condition the waveform with </w:t>
      </w:r>
      <w:r>
        <w:rPr>
          <w:rFonts w:ascii="Courier New" w:hAnsi="Courier New" w:cs="Courier New" w:eastAsia="Courier New"/>
        </w:rPr>
        <w:t xml:space="preserve">clean_vep_signal</w:t>
      </w:r>
      <w:r>
        <w:rPr>
          <w:rFonts w:ascii="Times New Roman" w:hAnsi="Times New Roman" w:cs="Times New Roman" w:eastAsia="Times New Roman"/>
        </w:rPr>
        <w:t xml:space="preserve">, or, in spectrum mode, resample and z-score the stored spectrum; and (5) return a dictionary with the MRI tensor (1, D, H, W), the signal tensor (1, L), a long-integer label and the subject identifier. Items can be cached after preprocessing, and train-time augmentation is applied through a wrapper over the training indices so that validation data are never augmented. The same class serves the real public cohorts.</w:t>
      </w:r>
    </w:p>
    <w:p>
      <w:pPr>
        <w:keepNext/>
        <w:spacing w:before="120" w:after="40" w:line="240" w:lineRule="auto"/>
        <w:jc w:val="center"/>
      </w:pPr>
      <w:r>
        <w:drawing>
          <wp:inline xmlns:a="http://schemas.openxmlformats.org/drawingml/2006/main" xmlns:pic="http://schemas.openxmlformats.org/drawingml/2006/picture">
            <wp:extent cx="4680000" cy="1789533"/>
            <wp:docPr id="10" name="Picture 10"/>
            <wp:cNvGraphicFramePr>
              <a:graphicFrameLocks noChangeAspect="1"/>
            </wp:cNvGraphicFramePr>
            <a:graphic>
              <a:graphicData uri="http://schemas.openxmlformats.org/drawingml/2006/picture">
                <pic:pic>
                  <pic:nvPicPr>
                    <pic:cNvPr id="0" name="fig_data_paths.png"/>
                    <pic:cNvPicPr/>
                  </pic:nvPicPr>
                  <pic:blipFill>
                    <a:blip r:embed="rId18"/>
                    <a:stretch>
                      <a:fillRect/>
                    </a:stretch>
                  </pic:blipFill>
                  <pic:spPr>
                    <a:xfrm>
                      <a:off x="0" y="0"/>
                      <a:ext cx="4680000" cy="1789533"/>
                    </a:xfrm>
                    <a:prstGeom prst="rect"/>
                  </pic:spPr>
                </pic:pic>
              </a:graphicData>
            </a:graphic>
          </wp:inline>
        </w:drawing>
      </w:r>
    </w:p>
    <w:p>
      <w:pPr>
        <w:pStyle w:val="Caption"/>
      </w:pPr>
      <w:bookmarkStart w:id="1014" w:name="_Ref_Figure_3_4"/>
      <w:r>
        <w:rPr>
          <w:rFonts w:ascii="Times New Roman" w:hAnsi="Times New Roman" w:cs="Times New Roman" w:eastAsia="Times New Roman"/>
          <w:b/>
          <w:sz w:val="22"/>
        </w:rPr>
        <w:t xml:space="preserve">Figure 3.4: </w:t>
      </w:r>
      <w:r>
        <w:rPr>
          <w:rFonts w:ascii="Times New Roman" w:hAnsi="Times New Roman" w:cs="Times New Roman" w:eastAsia="Times New Roman"/>
          <w:sz w:val="22"/>
        </w:rPr>
        <w:t xml:space="preserve">The two dataset classes share one preprocessing path. The manifest-driven class serves the real public cohorts (and a future labelled clinical cohort); the in-memory synthetic class serves the controlled benchmark.</w:t>
      </w:r>
      <w:bookmarkEnd w:id="1014"/>
    </w:p>
    <w:p>
      <w:pPr>
        <w:pStyle w:val="Heading2"/>
      </w:pPr>
      <w:r>
        <w:rPr>
          <w:rFonts w:ascii="Times New Roman" w:hAnsi="Times New Roman" w:cs="Times New Roman" w:eastAsia="Times New Roman"/>
          <w:b/>
          <w:sz w:val="28"/>
        </w:rPr>
        <w:t>3.7  MRI PREPROCESSING</w:t>
      </w:r>
    </w:p>
    <w:p>
      <w:pPr>
        <w:pStyle w:val="BodyJ"/>
      </w:pPr>
      <w:r>
        <w:rPr>
          <w:rFonts w:ascii="Times New Roman" w:hAnsi="Times New Roman" w:cs="Times New Roman" w:eastAsia="Times New Roman"/>
        </w:rPr>
        <w:t>MRI standardisation (</w:t>
      </w:r>
      <w:r>
        <w:rPr>
          <w:rFonts w:ascii="Courier New" w:hAnsi="Courier New" w:cs="Courier New" w:eastAsia="Courier New"/>
          <w:i w:val="0"/>
          <w:sz w:val="22"/>
        </w:rPr>
        <w:t>src/preprocessing/mri_transforms.py</w:t>
      </w:r>
      <w:r>
        <w:rPr>
          <w:rFonts w:ascii="Times New Roman" w:hAnsi="Times New Roman" w:cs="Times New Roman" w:eastAsia="Times New Roman"/>
        </w:rPr>
        <w:t xml:space="preserve">) consists of five steps (Figure 3.5). The parameters are held in </w:t>
      </w:r>
      <w:r>
        <w:rPr>
          <w:rFonts w:ascii="Courier New" w:hAnsi="Courier New" w:cs="Courier New" w:eastAsia="Courier New"/>
          <w:i w:val="0"/>
          <w:sz w:val="22"/>
        </w:rPr>
        <w:t>MRIConfig</w:t>
      </w:r>
      <w:r>
        <w:rPr>
          <w:rFonts w:ascii="Times New Roman" w:hAnsi="Times New Roman" w:cs="Times New Roman" w:eastAsia="Times New Roman"/>
        </w:rPr>
        <w:t>.</w:t>
      </w:r>
    </w:p>
    <w:p>
      <w:pPr>
        <w:keepNext/>
        <w:spacing w:before="120" w:after="40" w:line="240" w:lineRule="auto"/>
        <w:jc w:val="center"/>
      </w:pPr>
      <w:r>
        <w:drawing>
          <wp:inline xmlns:a="http://schemas.openxmlformats.org/drawingml/2006/main" xmlns:pic="http://schemas.openxmlformats.org/drawingml/2006/picture">
            <wp:extent cx="5112000" cy="2197935"/>
            <wp:docPr id="11" name="Picture 11"/>
            <wp:cNvGraphicFramePr>
              <a:graphicFrameLocks noChangeAspect="1"/>
            </wp:cNvGraphicFramePr>
            <a:graphic>
              <a:graphicData uri="http://schemas.openxmlformats.org/drawingml/2006/picture">
                <pic:pic>
                  <pic:nvPicPr>
                    <pic:cNvPr id="0" name="fig_preprocessing.png"/>
                    <pic:cNvPicPr/>
                  </pic:nvPicPr>
                  <pic:blipFill>
                    <a:blip r:embed="rId19"/>
                    <a:stretch>
                      <a:fillRect/>
                    </a:stretch>
                  </pic:blipFill>
                  <pic:spPr>
                    <a:xfrm>
                      <a:off x="0" y="0"/>
                      <a:ext cx="5112000" cy="2197935"/>
                    </a:xfrm>
                    <a:prstGeom prst="rect"/>
                  </pic:spPr>
                </pic:pic>
              </a:graphicData>
            </a:graphic>
          </wp:inline>
        </w:drawing>
      </w:r>
    </w:p>
    <w:p>
      <w:pPr>
        <w:pStyle w:val="Caption"/>
      </w:pPr>
      <w:bookmarkStart w:id="1015" w:name="_Ref_Figure_3_5"/>
      <w:r>
        <w:rPr>
          <w:rFonts w:ascii="Times New Roman" w:hAnsi="Times New Roman" w:cs="Times New Roman" w:eastAsia="Times New Roman"/>
          <w:b/>
          <w:sz w:val="22"/>
        </w:rPr>
        <w:t xml:space="preserve">Figure 3.5: </w:t>
      </w:r>
      <w:r>
        <w:rPr>
          <w:rFonts w:ascii="Times New Roman" w:hAnsi="Times New Roman" w:cs="Times New Roman" w:eastAsia="Times New Roman"/>
          <w:sz w:val="22"/>
        </w:rPr>
        <w:t>Preprocessing chains for the MRI stream (top) and the VEP stream (bottom), with the function responsible for each step.</w:t>
      </w:r>
      <w:bookmarkEnd w:id="1015"/>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Load and canonicalise.</w:t>
      </w:r>
      <w:r>
        <w:rPr>
          <w:rFonts w:ascii="Times New Roman" w:hAnsi="Times New Roman" w:cs="Times New Roman" w:eastAsia="Times New Roman"/>
        </w:rPr>
        <w:t xml:space="preserve"> </w:t>
      </w:r>
      <w:r>
        <w:rPr>
          <w:rFonts w:ascii="Courier New" w:hAnsi="Courier New" w:cs="Courier New" w:eastAsia="Courier New"/>
          <w:i w:val="0"/>
          <w:sz w:val="22"/>
        </w:rPr>
        <w:t>load_nifti</w:t>
      </w:r>
      <w:r>
        <w:rPr>
          <w:rFonts w:ascii="Times New Roman" w:hAnsi="Times New Roman" w:cs="Times New Roman" w:eastAsia="Times New Roman"/>
        </w:rPr>
        <w:t xml:space="preserve"> reads the NIfTI file with NiBabel and reorients it to the closest canonical (RAS) frame. It verifies that the image is three-dimensional and that all voxel spacings are positive, and returns the data, the affine and the voxel zooms.</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Resample to isotropic spacing.</w:t>
      </w:r>
      <w:r>
        <w:rPr>
          <w:rFonts w:ascii="Times New Roman" w:hAnsi="Times New Roman" w:cs="Times New Roman" w:eastAsia="Times New Roman"/>
        </w:rPr>
        <w:t xml:space="preserve"> For voxel zooms </w:t>
      </w:r>
      <w:r>
        <w:rPr>
          <w:rFonts w:ascii="Times New Roman" w:hAnsi="Times New Roman" w:cs="Times New Roman" w:eastAsia="Times New Roman"/>
          <w:i/>
        </w:rPr>
        <w:t>z</w:t>
      </w:r>
      <w:r>
        <w:rPr>
          <w:rFonts w:ascii="Times New Roman" w:hAnsi="Times New Roman" w:cs="Times New Roman" w:eastAsia="Times New Roman"/>
        </w:rPr>
        <w:t xml:space="preserve"> and target spacing </w:t>
      </w:r>
      <w:r>
        <w:rPr>
          <w:rFonts w:ascii="Times New Roman" w:hAnsi="Times New Roman" w:cs="Times New Roman" w:eastAsia="Times New Roman"/>
          <w:i/>
        </w:rPr>
        <w:t>s</w:t>
      </w:r>
      <w:r>
        <w:rPr>
          <w:rFonts w:ascii="Times New Roman" w:hAnsi="Times New Roman" w:cs="Times New Roman" w:eastAsia="Times New Roman"/>
        </w:rPr>
        <w:t xml:space="preserve"> (1 mm), the new shape is computed from the original shape </w:t>
      </w:r>
      <w:r>
        <w:rPr>
          <w:rFonts w:ascii="Times New Roman" w:hAnsi="Times New Roman" w:cs="Times New Roman" w:eastAsia="Times New Roman"/>
          <w:i/>
        </w:rPr>
        <w:t>n</w:t>
      </w:r>
      <w:r>
        <w:rPr>
          <w:rFonts w:ascii="Times New Roman" w:hAnsi="Times New Roman" w:cs="Times New Roman" w:eastAsia="Times New Roman"/>
        </w:rPr>
        <w:t xml:space="preserve"> (Equation 3.2) and the volume is resampled with MONAI's trilinear </w:t>
      </w:r>
      <w:r>
        <w:rPr>
          <w:rFonts w:ascii="Courier New" w:hAnsi="Courier New" w:cs="Courier New" w:eastAsia="Courier New"/>
          <w:i w:val="0"/>
          <w:sz w:val="22"/>
        </w:rPr>
        <w:t>Resize</w:t>
      </w:r>
      <w:r>
        <w:rPr>
          <w:rFonts w:ascii="Times New Roman" w:hAnsi="Times New Roman" w:cs="Times New Roman" w:eastAsia="Times New Roman"/>
        </w:rPr>
        <w:t>.</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Foreground masking.</w:t>
      </w:r>
      <w:r>
        <w:rPr>
          <w:rFonts w:ascii="Times New Roman" w:hAnsi="Times New Roman" w:cs="Times New Roman" w:eastAsia="Times New Roman"/>
        </w:rPr>
        <w:t xml:space="preserve"> The </w:t>
      </w:r>
      <w:r>
        <w:rPr>
          <w:rFonts w:ascii="Times New Roman" w:hAnsi="Times New Roman" w:cs="Times New Roman" w:eastAsia="Times New Roman"/>
          <w:i/>
        </w:rPr>
        <w:t>p</w:t>
      </w:r>
      <w:r>
        <w:rPr>
          <w:rFonts w:ascii="Times New Roman" w:hAnsi="Times New Roman" w:cs="Times New Roman" w:eastAsia="Times New Roman"/>
        </w:rPr>
        <w:t>-th percentile (default 60) of the strictly positive voxels is computed and all voxels below it are set to zero (Equation 3.3).</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Intensity scaling.</w:t>
      </w:r>
      <w:r>
        <w:rPr>
          <w:rFonts w:ascii="Times New Roman" w:hAnsi="Times New Roman" w:cs="Times New Roman" w:eastAsia="Times New Roman"/>
        </w:rPr>
        <w:t xml:space="preserve"> If the masked volume has a non-zero range, MONAI </w:t>
      </w:r>
      <w:r>
        <w:rPr>
          <w:rFonts w:ascii="Courier New" w:hAnsi="Courier New" w:cs="Courier New" w:eastAsia="Courier New"/>
          <w:i w:val="0"/>
          <w:sz w:val="22"/>
        </w:rPr>
        <w:t>ScaleIntensity</w:t>
      </w:r>
      <w:r>
        <w:rPr>
          <w:rFonts w:ascii="Times New Roman" w:hAnsi="Times New Roman" w:cs="Times New Roman" w:eastAsia="Times New Roman"/>
        </w:rPr>
        <w:t xml:space="preserve"> maps it to [0, 1] (Equation 3.4); a constant volume is preserved as a float array.</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Pad or crop.</w:t>
      </w:r>
      <w:r>
        <w:rPr>
          <w:rFonts w:ascii="Times New Roman" w:hAnsi="Times New Roman" w:cs="Times New Roman" w:eastAsia="Times New Roman"/>
        </w:rPr>
        <w:t xml:space="preserve"> </w:t>
      </w:r>
      <w:r>
        <w:rPr>
          <w:rFonts w:ascii="Courier New" w:hAnsi="Courier New" w:cs="Courier New" w:eastAsia="Courier New"/>
          <w:i w:val="0"/>
          <w:sz w:val="22"/>
        </w:rPr>
        <w:t>ResizeWithPadOrCrop</w:t>
      </w:r>
      <w:r>
        <w:rPr>
          <w:rFonts w:ascii="Times New Roman" w:hAnsi="Times New Roman" w:cs="Times New Roman" w:eastAsia="Times New Roman"/>
        </w:rPr>
        <w:t xml:space="preserve"> brings the volume to (64, 64, 64) and the channel axis is added, giving (1, 64, 64, 64).</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sSub>
                  <m:e>
                    <m:r>
                      <m:t>n</m:t>
                    </m:r>
                  </m:e>
                  <m:sub>
                    <m:r>
                      <m:t>i</m:t>
                    </m:r>
                  </m:sub>
                </m:sSub>
                <m:r>
                  <m:t>′</m:t>
                </m:r>
                <m:r>
                  <m:t>=</m:t>
                </m:r>
                <m:r>
                  <m:rPr>
                    <m:sty m:val="p"/>
                  </m:rPr>
                  <m:t>round</m:t>
                </m:r>
                <m:d>
                  <m:dPr>
                    <m:begChr m:val="("/>
                    <m:endChr m:val=")"/>
                    <m:grow/>
                  </m:dPr>
                  <m:e>
                    <m:f>
                      <m:fPr>
                        <m:type m:val="bar"/>
                      </m:fPr>
                      <m:num>
                        <m:sSub>
                          <m:e>
                            <m:r>
                              <m:t>n</m:t>
                            </m:r>
                          </m:e>
                          <m:sub>
                            <m:r>
                              <m:t>i</m:t>
                            </m:r>
                          </m:sub>
                        </m:sSub>
                        <m:sSub>
                          <m:e>
                            <m:r>
                              <m:t>z</m:t>
                            </m:r>
                          </m:e>
                          <m:sub>
                            <m:r>
                              <m:t>i</m:t>
                            </m:r>
                          </m:sub>
                        </m:sSub>
                      </m:num>
                      <m:den>
                        <m:sSub>
                          <m:e>
                            <m:r>
                              <m:t>s</m:t>
                            </m:r>
                          </m:e>
                          <m:sub>
                            <m:r>
                              <m:t>i</m:t>
                            </m:r>
                          </m:sub>
                        </m:sSub>
                      </m:den>
                    </m:f>
                  </m:e>
                </m:d>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(3.2)</w:t>
            </w:r>
          </w:p>
        </w:tc>
      </w:tr>
    </w:tbl>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sSub>
                  <m:e>
                    <m:r>
                      <m:t>τ</m:t>
                    </m:r>
                  </m:e>
                  <m:sub>
                    <m:r>
                      <m:t>p</m:t>
                    </m:r>
                  </m:sub>
                </m:sSub>
                <m:r>
                  <m:t>=</m:t>
                </m:r>
                <m:sSub>
                  <m:e>
                    <m:r>
                      <m:t>P</m:t>
                    </m:r>
                  </m:e>
                  <m:sub>
                    <m:r>
                      <m:t>p</m:t>
                    </m:r>
                  </m:sub>
                </m:sSub>
                <m:r>
                  <m:t>(</m:t>
                </m:r>
                <m:r>
                  <m:t>{</m:t>
                </m:r>
                <m:r>
                  <m:t>x</m:t>
                </m:r>
                <m:r>
                  <m:t>:</m:t>
                </m:r>
                <m:r>
                  <m:t>x</m:t>
                </m:r>
                <m:r>
                  <m:t>&gt;</m:t>
                </m:r>
                <m:r>
                  <m:t>0</m:t>
                </m:r>
                <m:r>
                  <m:t>}</m:t>
                </m:r>
                <m:r>
                  <m:t>)</m:t>
                </m:r>
                <m:r>
                  <m:t>,</m:t>
                </m:r>
                <m:r>
                  <m:t>  </m:t>
                </m:r>
                <m:acc>
                  <m:accPr>
                    <m:chr m:val="̃"/>
                  </m:accPr>
                  <m:e>
                    <m:r>
                      <m:t>x</m:t>
                    </m:r>
                  </m:e>
                </m:acc>
                <m:r>
                  <m:t>=</m:t>
                </m:r>
                <m:r>
                  <m:t>x</m:t>
                </m:r>
                <m:r>
                  <m:t> </m:t>
                </m:r>
                <m:r>
                  <m:rPr>
                    <m:nor/>
                  </m:rPr>
                  <m:t> if </m:t>
                </m:r>
                <m:r>
                  <m:t>x</m:t>
                </m:r>
                <m:r>
                  <m:t>≥</m:t>
                </m:r>
                <m:sSub>
                  <m:e>
                    <m:r>
                      <m:t>τ</m:t>
                    </m:r>
                  </m:e>
                  <m:sub>
                    <m:r>
                      <m:t>p</m:t>
                    </m:r>
                  </m:sub>
                </m:sSub>
                <m:r>
                  <m:t>,</m:t>
                </m:r>
                <m:r>
                  <m:t>  </m:t>
                </m:r>
                <m:acc>
                  <m:accPr>
                    <m:chr m:val="̃"/>
                  </m:accPr>
                  <m:e>
                    <m:r>
                      <m:t>x</m:t>
                    </m:r>
                  </m:e>
                </m:acc>
                <m:r>
                  <m:t>=</m:t>
                </m:r>
                <m:r>
                  <m:t>0</m:t>
                </m:r>
                <m:r>
                  <m:t> </m:t>
                </m:r>
                <m:r>
                  <m:rPr>
                    <m:nor/>
                  </m:rPr>
                  <m:t> otherwise</m:t>
                </m:r>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(3.3)</w:t>
            </w:r>
          </w:p>
        </w:tc>
      </w:tr>
    </w:tbl>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r>
                  <m:t>x</m:t>
                </m:r>
                <m:r>
                  <m:t>′</m:t>
                </m:r>
                <m:r>
                  <m:t>=</m:t>
                </m:r>
                <m:f>
                  <m:fPr>
                    <m:type m:val="bar"/>
                  </m:fPr>
                  <m:num>
                    <m:acc>
                      <m:accPr>
                        <m:chr m:val="̃"/>
                      </m:accPr>
                      <m:e>
                        <m:r>
                          <m:t>x</m:t>
                        </m:r>
                      </m:e>
                    </m:acc>
                    <m:r>
                      <m:t>−</m:t>
                    </m:r>
                    <m:r>
                      <m:rPr>
                        <m:nor/>
                      </m:rPr>
                      <m:t>min</m:t>
                    </m:r>
                    <m:r>
                      <m:t>(</m:t>
                    </m:r>
                    <m:acc>
                      <m:accPr>
                        <m:chr m:val="̃"/>
                      </m:accPr>
                      <m:e>
                        <m:r>
                          <m:t>x</m:t>
                        </m:r>
                      </m:e>
                    </m:acc>
                    <m:r>
                      <m:t>)</m:t>
                    </m:r>
                  </m:num>
                  <m:den>
                    <m:r>
                      <m:rPr>
                        <m:nor/>
                      </m:rPr>
                      <m:t>max</m:t>
                    </m:r>
                    <m:r>
                      <m:t>(</m:t>
                    </m:r>
                    <m:acc>
                      <m:accPr>
                        <m:chr m:val="̃"/>
                      </m:accPr>
                      <m:e>
                        <m:r>
                          <m:t>x</m:t>
                        </m:r>
                      </m:e>
                    </m:acc>
                    <m:r>
                      <m:t>)</m:t>
                    </m:r>
                    <m:r>
                      <m:t>−</m:t>
                    </m:r>
                    <m:r>
                      <m:rPr>
                        <m:nor/>
                      </m:rPr>
                      <m:t>min</m:t>
                    </m:r>
                    <m:r>
                      <m:t>(</m:t>
                    </m:r>
                    <m:acc>
                      <m:accPr>
                        <m:chr m:val="̃"/>
                      </m:accPr>
                      <m:e>
                        <m:r>
                          <m:t>x</m:t>
                        </m:r>
                      </m:e>
                    </m:acc>
                    <m:r>
                      <m:t>)</m:t>
                    </m:r>
                  </m:den>
                </m:f>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(3.4)</w:t>
            </w:r>
          </w:p>
        </w:tc>
      </w:tr>
    </w:tbl>
    <w:p>
      <w:pPr>
        <w:pStyle w:val="BodyJ"/>
        <w:ind w:firstLine="0"/>
      </w:pPr>
      <w:r>
        <w:rPr>
          <w:rFonts w:ascii="Times New Roman" w:hAnsi="Times New Roman" w:cs="Times New Roman" w:eastAsia="Times New Roman"/>
          <w:b/>
        </w:rPr>
        <w:t>Important caveat.</w:t>
      </w:r>
      <w:r>
        <w:rPr>
          <w:rFonts w:ascii="Times New Roman" w:hAnsi="Times New Roman" w:cs="Times New Roman" w:eastAsia="Times New Roman"/>
        </w:rPr>
        <w:t xml:space="preserve"> The percentile mask is a lightweight, dependency-free stand-in for skull-stripping. It is </w:t>
      </w:r>
      <w:r>
        <w:rPr>
          <w:rFonts w:ascii="Times New Roman" w:hAnsi="Times New Roman" w:cs="Times New Roman" w:eastAsia="Times New Roman"/>
          <w:i/>
        </w:rPr>
        <w:t>not</w:t>
      </w:r>
      <w:r>
        <w:rPr>
          <w:rFonts w:ascii="Times New Roman" w:hAnsi="Times New Roman" w:cs="Times New Roman" w:eastAsia="Times New Roman"/>
        </w:rPr>
        <w:t xml:space="preserve"> clinical-grade brain extraction and does not replace validated tools such as HD-BET (Isensee et al., 2019) or SynthStrip (Hoopes et al., 2022). It is isolated in the function </w:t>
      </w:r>
      <w:r>
        <w:rPr>
          <w:rFonts w:ascii="Courier New" w:hAnsi="Courier New" w:cs="Courier New" w:eastAsia="Courier New"/>
          <w:i w:val="0"/>
          <w:sz w:val="22"/>
        </w:rPr>
        <w:t>foreground_mask_threshold</w:t>
      </w:r>
      <w:r>
        <w:rPr>
          <w:rFonts w:ascii="Times New Roman" w:hAnsi="Times New Roman" w:cs="Times New Roman" w:eastAsia="Times New Roman"/>
        </w:rPr>
        <w:t xml:space="preserve"> so that it can be replaced without changing any downstream code.</w:t>
      </w:r>
    </w:p>
    <w:p>
      <w:pPr>
        <w:pStyle w:val="BodyJ"/>
      </w:pPr>
      <w:r>
        <w:rPr>
          <w:rFonts w:ascii="Times New Roman" w:hAnsi="Times New Roman" w:cs="Times New Roman" w:eastAsia="Times New Roman"/>
          <w:b/>
        </w:rPr>
        <w:t xml:space="preserve">Options for real whole-head scans.</w:t>
      </w:r>
      <w:r>
        <w:rPr>
          <w:rFonts w:ascii="Times New Roman" w:hAnsi="Times New Roman" w:cs="Times New Roman" w:eastAsia="Times New Roman"/>
        </w:rPr>
        <w:t xml:space="preserve"> </w:t>
      </w:r>
      <w:r>
        <w:rPr>
          <w:rFonts w:ascii="Courier New" w:hAnsi="Courier New" w:cs="Courier New" w:eastAsia="Courier New"/>
        </w:rPr>
        <w:t xml:space="preserve">MRIConfig</w:t>
      </w:r>
      <w:r>
        <w:rPr>
          <w:rFonts w:ascii="Times New Roman" w:hAnsi="Times New Roman" w:cs="Times New Roman" w:eastAsia="Times New Roman"/>
        </w:rPr>
        <w:t xml:space="preserve"> offers three further options (Table 3.6). </w:t>
      </w:r>
      <w:r>
        <w:rPr>
          <w:rFonts w:ascii="Courier New" w:hAnsi="Courier New" w:cs="Courier New" w:eastAsia="Courier New"/>
        </w:rPr>
        <w:t xml:space="preserve">mask_method="otsu"</w:t>
      </w:r>
      <w:r>
        <w:rPr>
          <w:rFonts w:ascii="Times New Roman" w:hAnsi="Times New Roman" w:cs="Times New Roman" w:eastAsia="Times New Roman"/>
        </w:rPr>
        <w:t xml:space="preserve"> replaces the percentile threshold by the histogram-optimal Otsu threshold followed, with </w:t>
      </w:r>
      <w:r>
        <w:rPr>
          <w:rFonts w:ascii="Courier New" w:hAnsi="Courier New" w:cs="Courier New" w:eastAsia="Courier New"/>
        </w:rPr>
        <w:t xml:space="preserve">mask_morphology</w:t>
      </w:r>
      <w:r>
        <w:rPr>
          <w:rFonts w:ascii="Times New Roman" w:hAnsi="Times New Roman" w:cs="Times New Roman" w:eastAsia="Times New Roman"/>
        </w:rPr>
        <w:t xml:space="preserve">, by hole filling and retention of the largest connected component; </w:t>
      </w:r>
      <w:r>
        <w:rPr>
          <w:rFonts w:ascii="Courier New" w:hAnsi="Courier New" w:cs="Courier New" w:eastAsia="Courier New"/>
        </w:rPr>
        <w:t xml:space="preserve">normalization="zscore"</w:t>
      </w:r>
      <w:r>
        <w:rPr>
          <w:rFonts w:ascii="Times New Roman" w:hAnsi="Times New Roman" w:cs="Times New Roman" w:eastAsia="Times New Roman"/>
        </w:rPr>
        <w:t xml:space="preserve"> standardises the foreground to zero mean and unit variance and sets the background to zero; and </w:t>
      </w:r>
      <w:r>
        <w:rPr>
          <w:rFonts w:ascii="Courier New" w:hAnsi="Courier New" w:cs="Courier New" w:eastAsia="Courier New"/>
        </w:rPr>
        <w:t xml:space="preserve">fit="bbox_resize"</w:t>
      </w:r>
      <w:r>
        <w:rPr>
          <w:rFonts w:ascii="Times New Roman" w:hAnsi="Times New Roman" w:cs="Times New Roman" w:eastAsia="Times New Roman"/>
        </w:rPr>
        <w:t xml:space="preserve"> crops the volume to the bounding box of the foreground and resamples that box to the target shape (64³, or 32³ in the cross-validation study). The default centre crop to 64³ suffices for the small synthetic volumes but would see only a sliver of a head about 170 mm across at 1 mm spacing. The real cohorts use Otsu, z-score and bounding-box resizing. The original percentile mask, min–max scaling and centre crop remain the defaults, and Study A uses them because the Otsu and z-score pipeline was found to erase the lesion contrast of the synthetic generator (in a single-seed diagnostic the MRI-only accuracy dropped from 73% to 41%). Neither mask is a substitute for validated skull-stripping.</w:t>
      </w:r>
    </w:p>
    <w:p>
      <w:pPr>
        <w:pStyle w:val="Caption"/>
        <w:keepNext/>
        <w:spacing w:before="160" w:after="80"/>
      </w:pPr>
      <w:bookmarkStart w:id="1016" w:name="_Ref_Table_3_6"/>
      <w:r>
        <w:rPr>
          <w:rFonts w:ascii="Times New Roman" w:hAnsi="Times New Roman" w:cs="Times New Roman" w:eastAsia="Times New Roman"/>
          <w:b/>
          <w:sz w:val="22"/>
        </w:rPr>
        <w:t xml:space="preserve">Table 3.6: </w:t>
      </w:r>
      <w:r>
        <w:rPr>
          <w:rFonts w:ascii="Times New Roman" w:hAnsi="Times New Roman" w:cs="Times New Roman" w:eastAsia="Times New Roman"/>
          <w:sz w:val="22"/>
        </w:rPr>
        <w:t>MRI preprocessing parameters (</w:t>
      </w:r>
      <w:r>
        <w:rPr>
          <w:rFonts w:ascii="Courier New" w:hAnsi="Courier New" w:cs="Courier New" w:eastAsia="Courier New"/>
          <w:i w:val="0"/>
          <w:sz w:val="20"/>
        </w:rPr>
        <w:t>MRIConfig</w:t>
      </w:r>
      <w:r>
        <w:rPr>
          <w:rFonts w:ascii="Times New Roman" w:hAnsi="Times New Roman" w:cs="Times New Roman" w:eastAsia="Times New Roman"/>
          <w:sz w:val="22"/>
        </w:rPr>
        <w:t>).</w:t>
      </w:r>
      <w:bookmarkEnd w:id="1016"/>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494"/>
        <w:gridCol w:w="2154"/>
        <w:gridCol w:w="3657"/>
      </w:tblGrid>
      <w:tr>
        <w:trPr>
          <w:cantSplit/>
          <w:tblHeader/>
        </w:trPr>
        <w:tc>
          <w:tcPr>
            <w:tcW w:type="dxa" w:w="2494"/>
            <w:shd w:val="clear" w:color="auto" w:fill="D9D9D9"/>
          </w:tcPr>
          <w:p>
            <w:pPr>
              <w:pStyle w:val="TableText"/>
              <w:keepNext/>
              <w:jc w:val="left"/>
            </w:pPr>
            <w:r>
              <w:rPr>
                <w:rFonts w:ascii="Times New Roman" w:hAnsi="Times New Roman" w:cs="Times New Roman" w:eastAsia="Times New Roman"/>
                <w:b/>
                <w:sz w:val="21"/>
              </w:rPr>
              <w:t>Parameter</w:t>
            </w:r>
          </w:p>
        </w:tc>
        <w:tc>
          <w:tcPr>
            <w:tcW w:type="dxa" w:w="2154"/>
            <w:shd w:val="clear" w:color="auto" w:fill="D9D9D9"/>
          </w:tcPr>
          <w:p>
            <w:pPr>
              <w:pStyle w:val="TableText"/>
              <w:keepNext/>
              <w:jc w:val="left"/>
            </w:pPr>
            <w:r>
              <w:rPr>
                <w:rFonts w:ascii="Times New Roman" w:hAnsi="Times New Roman" w:cs="Times New Roman" w:eastAsia="Times New Roman"/>
                <w:b/>
                <w:sz w:val="21"/>
              </w:rPr>
              <w:t>Default</w:t>
            </w:r>
          </w:p>
        </w:tc>
        <w:tc>
          <w:tcPr>
            <w:tcW w:type="dxa" w:w="3657"/>
            <w:shd w:val="clear" w:color="auto" w:fill="D9D9D9"/>
          </w:tcPr>
          <w:p>
            <w:pPr>
              <w:pStyle w:val="TableText"/>
              <w:keepNext/>
              <w:jc w:val="left"/>
            </w:pPr>
            <w:r>
              <w:rPr>
                <w:rFonts w:ascii="Times New Roman" w:hAnsi="Times New Roman" w:cs="Times New Roman" w:eastAsia="Times New Roman"/>
                <w:b/>
                <w:sz w:val="21"/>
              </w:rPr>
              <w:t>Meaning</w:t>
            </w:r>
          </w:p>
        </w:tc>
      </w:tr>
      <w:tr>
        <w:trPr>
          <w:cantSplit/>
        </w:trPr>
        <w:tc>
          <w:tcPr>
            <w:tcW w:type="dxa" w:w="2494"/>
          </w:tcPr>
          <w:p>
            <w:pPr>
              <w:pStyle w:val="TableText"/>
              <w:keepNext/>
              <w:jc w:val="left"/>
            </w:pPr>
            <w:r>
              <w:rPr>
                <w:rFonts w:ascii="Times New Roman" w:hAnsi="Times New Roman" w:cs="Times New Roman" w:eastAsia="Times New Roman"/>
                <w:sz w:val="21"/>
              </w:rPr>
              <w:t>target_shape</w:t>
            </w:r>
          </w:p>
        </w:tc>
        <w:tc>
          <w:tcPr>
            <w:tcW w:type="dxa" w:w="2154"/>
          </w:tcPr>
          <w:p>
            <w:pPr>
              <w:pStyle w:val="TableText"/>
              <w:keepNext/>
              <w:jc w:val="left"/>
            </w:pPr>
            <w:r>
              <w:rPr>
                <w:rFonts w:ascii="Times New Roman" w:hAnsi="Times New Roman" w:cs="Times New Roman" w:eastAsia="Times New Roman"/>
                <w:sz w:val="21"/>
              </w:rPr>
              <w:t>(64, 64, 64)</w:t>
            </w:r>
          </w:p>
        </w:tc>
        <w:tc>
          <w:tcPr>
            <w:tcW w:type="dxa" w:w="3657"/>
          </w:tcPr>
          <w:p>
            <w:pPr>
              <w:pStyle w:val="TableText"/>
              <w:keepNext/>
              <w:jc w:val="left"/>
            </w:pPr>
            <w:r>
              <w:rPr>
                <w:rFonts w:ascii="Times New Roman" w:hAnsi="Times New Roman" w:cs="Times New Roman" w:eastAsia="Times New Roman"/>
                <w:sz w:val="21"/>
              </w:rPr>
              <w:t>Output spatial size after pad or crop</w:t>
            </w:r>
          </w:p>
        </w:tc>
      </w:tr>
      <w:tr>
        <w:trPr>
          <w:cantSplit/>
        </w:trPr>
        <w:tc>
          <w:tcPr>
            <w:tcW w:type="dxa" w:w="2494"/>
          </w:tcPr>
          <w:p>
            <w:pPr>
              <w:pStyle w:val="TableText"/>
              <w:keepNext/>
              <w:jc w:val="left"/>
            </w:pPr>
            <w:r>
              <w:rPr>
                <w:rFonts w:ascii="Times New Roman" w:hAnsi="Times New Roman" w:cs="Times New Roman" w:eastAsia="Times New Roman"/>
                <w:sz w:val="21"/>
              </w:rPr>
              <w:t>target_spacing</w:t>
            </w:r>
          </w:p>
        </w:tc>
        <w:tc>
          <w:tcPr>
            <w:tcW w:type="dxa" w:w="2154"/>
          </w:tcPr>
          <w:p>
            <w:pPr>
              <w:pStyle w:val="TableText"/>
              <w:keepNext/>
              <w:jc w:val="left"/>
            </w:pPr>
            <w:r>
              <w:rPr>
                <w:rFonts w:ascii="Times New Roman" w:hAnsi="Times New Roman" w:cs="Times New Roman" w:eastAsia="Times New Roman"/>
                <w:sz w:val="21"/>
              </w:rPr>
              <w:t>(1.0, 1.0, 1.0) mm</w:t>
            </w:r>
          </w:p>
        </w:tc>
        <w:tc>
          <w:tcPr>
            <w:tcW w:type="dxa" w:w="3657"/>
          </w:tcPr>
          <w:p>
            <w:pPr>
              <w:pStyle w:val="TableText"/>
              <w:keepNext/>
              <w:jc w:val="left"/>
            </w:pPr>
            <w:r>
              <w:rPr>
                <w:rFonts w:ascii="Times New Roman" w:hAnsi="Times New Roman" w:cs="Times New Roman" w:eastAsia="Times New Roman"/>
                <w:sz w:val="21"/>
              </w:rPr>
              <w:t>Isotropic resampling target</w:t>
            </w:r>
          </w:p>
        </w:tc>
      </w:tr>
      <w:tr>
        <w:trPr>
          <w:cantSplit/>
        </w:trPr>
        <w:tc>
          <w:tcPr>
            <w:tcW w:type="dxa" w:w="2494"/>
          </w:tcPr>
          <w:p>
            <w:pPr>
              <w:pStyle w:val="TableText"/>
              <w:jc w:val="left"/>
            </w:pPr>
            <w:r>
              <w:rPr>
                <w:rFonts w:ascii="Times New Roman" w:hAnsi="Times New Roman" w:cs="Times New Roman" w:eastAsia="Times New Roman"/>
                <w:sz w:val="21"/>
              </w:rPr>
              <w:t>orientation</w:t>
            </w:r>
          </w:p>
        </w:tc>
        <w:tc>
          <w:tcPr>
            <w:tcW w:type="dxa" w:w="2154"/>
          </w:tcPr>
          <w:p>
            <w:pPr>
              <w:pStyle w:val="TableText"/>
              <w:jc w:val="left"/>
            </w:pPr>
            <w:r>
              <w:rPr>
                <w:rFonts w:ascii="Times New Roman" w:hAnsi="Times New Roman" w:cs="Times New Roman" w:eastAsia="Times New Roman"/>
                <w:sz w:val="21"/>
              </w:rPr>
              <w:t>RAS</w:t>
            </w:r>
          </w:p>
        </w:tc>
        <w:tc>
          <w:tcPr>
            <w:tcW w:type="dxa" w:w="3657"/>
          </w:tcPr>
          <w:p>
            <w:pPr>
              <w:pStyle w:val="TableText"/>
              <w:jc w:val="left"/>
            </w:pPr>
            <w:r>
              <w:rPr>
                <w:rFonts w:ascii="Times New Roman" w:hAnsi="Times New Roman" w:cs="Times New Roman" w:eastAsia="Times New Roman"/>
                <w:sz w:val="21"/>
              </w:rPr>
              <w:t>Canonical orientation</w:t>
            </w:r>
          </w:p>
        </w:tc>
      </w:tr>
      <w:tr>
        <w:trPr>
          <w:cantSplit/>
        </w:trPr>
        <w:tc>
          <w:tcPr>
            <w:tcW w:type="dxa" w:w="2494"/>
          </w:tcPr>
          <w:p>
            <w:pPr>
              <w:pStyle w:val="TableText"/>
              <w:jc w:val="left"/>
            </w:pPr>
            <w:r>
              <w:rPr>
                <w:rFonts w:ascii="Times New Roman" w:hAnsi="Times New Roman" w:cs="Times New Roman" w:eastAsia="Times New Roman"/>
                <w:sz w:val="21"/>
              </w:rPr>
              <w:t>foreground_percentile</w:t>
            </w:r>
          </w:p>
        </w:tc>
        <w:tc>
          <w:tcPr>
            <w:tcW w:type="dxa" w:w="2154"/>
          </w:tcPr>
          <w:p>
            <w:pPr>
              <w:pStyle w:val="TableText"/>
              <w:jc w:val="left"/>
            </w:pPr>
            <w:r>
              <w:rPr>
                <w:rFonts w:ascii="Times New Roman" w:hAnsi="Times New Roman" w:cs="Times New Roman" w:eastAsia="Times New Roman"/>
                <w:sz w:val="21"/>
              </w:rPr>
              <w:t>60.0</w:t>
            </w:r>
          </w:p>
        </w:tc>
        <w:tc>
          <w:tcPr>
            <w:tcW w:type="dxa" w:w="3657"/>
          </w:tcPr>
          <w:p>
            <w:pPr>
              <w:pStyle w:val="TableText"/>
              <w:jc w:val="left"/>
            </w:pPr>
            <w:r>
              <w:rPr>
                <w:rFonts w:ascii="Times New Roman" w:hAnsi="Times New Roman" w:cs="Times New Roman" w:eastAsia="Times New Roman"/>
                <w:sz w:val="21"/>
              </w:rPr>
              <w:t>Percentile of positive voxels used as the mask threshold</w:t>
            </w:r>
          </w:p>
        </w:tc>
      </w:tr>
      <w:tr>
        <w:trPr>
          <w:cantSplit/>
        </w:trPr>
        <w:tc>
          <w:tcPr>
            <w:tcW w:type="dxa" w:w="2494"/>
          </w:tcPr>
          <w:p>
            <w:pPr>
              <w:pStyle w:val="TableText"/>
              <w:jc w:val="left"/>
            </w:pPr>
            <w:r>
              <w:rPr>
                <w:rFonts w:ascii="Times New Roman" w:hAnsi="Times New Roman" w:cs="Times New Roman" w:eastAsia="Times New Roman"/>
                <w:sz w:val="21"/>
              </w:rPr>
              <w:t xml:space="preserve">mask_method</w:t>
            </w:r>
          </w:p>
        </w:tc>
        <w:tc>
          <w:tcPr>
            <w:tcW w:type="dxa" w:w="2154"/>
          </w:tcPr>
          <w:p>
            <w:pPr>
              <w:pStyle w:val="TableText"/>
              <w:jc w:val="left"/>
            </w:pPr>
            <w:r>
              <w:rPr>
                <w:rFonts w:ascii="Times New Roman" w:hAnsi="Times New Roman" w:cs="Times New Roman" w:eastAsia="Times New Roman"/>
                <w:sz w:val="21"/>
              </w:rPr>
              <w:t xml:space="preserve">"percentile" (alternative: "otsu")</w:t>
            </w:r>
          </w:p>
        </w:tc>
        <w:tc>
          <w:tcPr>
            <w:tcW w:type="dxa" w:w="3657"/>
          </w:tcPr>
          <w:p>
            <w:pPr>
              <w:pStyle w:val="TableText"/>
              <w:jc w:val="left"/>
            </w:pPr>
            <w:r>
              <w:rPr>
                <w:rFonts w:ascii="Times New Roman" w:hAnsi="Times New Roman" w:cs="Times New Roman" w:eastAsia="Times New Roman"/>
                <w:sz w:val="21"/>
              </w:rPr>
              <w:t xml:space="preserve">Foreground mask: percentile threshold, or Otsu threshold</w:t>
            </w:r>
          </w:p>
        </w:tc>
      </w:tr>
      <w:tr>
        <w:trPr>
          <w:cantSplit/>
        </w:trPr>
        <w:tc>
          <w:tcPr>
            <w:tcW w:type="dxa" w:w="2494"/>
          </w:tcPr>
          <w:p>
            <w:pPr>
              <w:pStyle w:val="TableText"/>
              <w:jc w:val="left"/>
            </w:pPr>
            <w:r>
              <w:rPr>
                <w:rFonts w:ascii="Times New Roman" w:hAnsi="Times New Roman" w:cs="Times New Roman" w:eastAsia="Times New Roman"/>
                <w:sz w:val="21"/>
              </w:rPr>
              <w:t xml:space="preserve">mask_morphology</w:t>
            </w:r>
          </w:p>
        </w:tc>
        <w:tc>
          <w:tcPr>
            <w:tcW w:type="dxa" w:w="2154"/>
          </w:tcPr>
          <w:p>
            <w:pPr>
              <w:pStyle w:val="TableText"/>
              <w:jc w:val="left"/>
            </w:pPr>
            <w:r>
              <w:rPr>
                <w:rFonts w:ascii="Times New Roman" w:hAnsi="Times New Roman" w:cs="Times New Roman" w:eastAsia="Times New Roman"/>
                <w:sz w:val="21"/>
              </w:rPr>
              <w:t xml:space="preserve">True</w:t>
            </w:r>
          </w:p>
        </w:tc>
        <w:tc>
          <w:tcPr>
            <w:tcW w:type="dxa" w:w="3657"/>
          </w:tcPr>
          <w:p>
            <w:pPr>
              <w:pStyle w:val="TableText"/>
              <w:jc w:val="left"/>
            </w:pPr>
            <w:r>
              <w:rPr>
                <w:rFonts w:ascii="Times New Roman" w:hAnsi="Times New Roman" w:cs="Times New Roman" w:eastAsia="Times New Roman"/>
                <w:sz w:val="21"/>
              </w:rPr>
              <w:t xml:space="preserve">Hole filling and largest connected component for the Otsu mask</w:t>
            </w:r>
          </w:p>
        </w:tc>
      </w:tr>
      <w:tr>
        <w:trPr>
          <w:cantSplit/>
        </w:trPr>
        <w:tc>
          <w:tcPr>
            <w:tcW w:type="dxa" w:w="2494"/>
          </w:tcPr>
          <w:p>
            <w:pPr>
              <w:pStyle w:val="TableText"/>
              <w:jc w:val="left"/>
            </w:pPr>
            <w:r>
              <w:rPr>
                <w:rFonts w:ascii="Times New Roman" w:hAnsi="Times New Roman" w:cs="Times New Roman" w:eastAsia="Times New Roman"/>
                <w:sz w:val="21"/>
              </w:rPr>
              <w:t xml:space="preserve">normalization</w:t>
            </w:r>
          </w:p>
        </w:tc>
        <w:tc>
          <w:tcPr>
            <w:tcW w:type="dxa" w:w="2154"/>
          </w:tcPr>
          <w:p>
            <w:pPr>
              <w:pStyle w:val="TableText"/>
              <w:jc w:val="left"/>
            </w:pPr>
            <w:r>
              <w:rPr>
                <w:rFonts w:ascii="Times New Roman" w:hAnsi="Times New Roman" w:cs="Times New Roman" w:eastAsia="Times New Roman"/>
                <w:sz w:val="21"/>
              </w:rPr>
              <w:t xml:space="preserve">"minmax" (alternative: "zscore")</w:t>
            </w:r>
          </w:p>
        </w:tc>
        <w:tc>
          <w:tcPr>
            <w:tcW w:type="dxa" w:w="3657"/>
          </w:tcPr>
          <w:p>
            <w:pPr>
              <w:pStyle w:val="TableText"/>
              <w:jc w:val="left"/>
            </w:pPr>
            <w:r>
              <w:rPr>
                <w:rFonts w:ascii="Times New Roman" w:hAnsi="Times New Roman" w:cs="Times New Roman" w:eastAsia="Times New Roman"/>
                <w:sz w:val="21"/>
              </w:rPr>
              <w:t xml:space="preserve">Scaling to [0, 1], or foreground z-score with the background set to zero</w:t>
            </w:r>
          </w:p>
        </w:tc>
      </w:tr>
      <w:tr>
        <w:trPr>
          <w:cantSplit/>
        </w:trPr>
        <w:tc>
          <w:tcPr>
            <w:tcW w:type="dxa" w:w="2494"/>
          </w:tcPr>
          <w:p>
            <w:pPr>
              <w:pStyle w:val="TableText"/>
              <w:jc w:val="left"/>
            </w:pPr>
            <w:r>
              <w:rPr>
                <w:rFonts w:ascii="Times New Roman" w:hAnsi="Times New Roman" w:cs="Times New Roman" w:eastAsia="Times New Roman"/>
                <w:sz w:val="21"/>
              </w:rPr>
              <w:t xml:space="preserve">fit</w:t>
            </w:r>
          </w:p>
        </w:tc>
        <w:tc>
          <w:tcPr>
            <w:tcW w:type="dxa" w:w="2154"/>
          </w:tcPr>
          <w:p>
            <w:pPr>
              <w:pStyle w:val="TableText"/>
              <w:jc w:val="left"/>
            </w:pPr>
            <w:r>
              <w:rPr>
                <w:rFonts w:ascii="Times New Roman" w:hAnsi="Times New Roman" w:cs="Times New Roman" w:eastAsia="Times New Roman"/>
                <w:sz w:val="21"/>
              </w:rPr>
              <w:t xml:space="preserve">"crop" (alternative: "bbox_resize")</w:t>
            </w:r>
          </w:p>
        </w:tc>
        <w:tc>
          <w:tcPr>
            <w:tcW w:type="dxa" w:w="3657"/>
          </w:tcPr>
          <w:p>
            <w:pPr>
              <w:pStyle w:val="TableText"/>
              <w:jc w:val="left"/>
            </w:pPr>
            <w:r>
              <w:rPr>
                <w:rFonts w:ascii="Times New Roman" w:hAnsi="Times New Roman" w:cs="Times New Roman" w:eastAsia="Times New Roman"/>
                <w:sz w:val="21"/>
              </w:rPr>
              <w:t xml:space="preserve">Centre pad/crop, or crop to the foreground bounding box and resample to the target shape</w:t>
            </w:r>
          </w:p>
        </w:tc>
      </w:tr>
    </w:tbl>
    <w:p>
      <w:pPr>
        <w:spacing w:after="80" w:line="240" w:lineRule="auto"/>
      </w:pPr>
    </w:p>
    <w:p>
      <w:pPr>
        <w:pStyle w:val="Heading2"/>
      </w:pPr>
      <w:r>
        <w:rPr>
          <w:rFonts w:ascii="Times New Roman" w:hAnsi="Times New Roman" w:cs="Times New Roman" w:eastAsia="Times New Roman"/>
          <w:b/>
          <w:sz w:val="28"/>
        </w:rPr>
        <w:t>3.8  VEP PREPROCESSING</w:t>
      </w:r>
    </w:p>
    <w:p>
      <w:pPr>
        <w:pStyle w:val="BodyJ"/>
      </w:pPr>
      <w:r>
        <w:rPr>
          <w:rFonts w:ascii="Times New Roman" w:hAnsi="Times New Roman" w:cs="Times New Roman" w:eastAsia="Times New Roman"/>
        </w:rPr>
        <w:t>VEP conditioning (</w:t>
      </w:r>
      <w:r>
        <w:rPr>
          <w:rFonts w:ascii="Courier New" w:hAnsi="Courier New" w:cs="Courier New" w:eastAsia="Courier New"/>
          <w:i w:val="0"/>
          <w:sz w:val="22"/>
        </w:rPr>
        <w:t>src/preprocessing/signal_cleaner.py</w:t>
      </w:r>
      <w:r>
        <w:rPr>
          <w:rFonts w:ascii="Times New Roman" w:hAnsi="Times New Roman" w:cs="Times New Roman" w:eastAsia="Times New Roman"/>
        </w:rPr>
        <w:t xml:space="preserve">) removes baseline drift, high-frequency muscle noise and mains interference without shifting the waveform in time. The parameters are held in </w:t>
      </w:r>
      <w:r>
        <w:rPr>
          <w:rFonts w:ascii="Courier New" w:hAnsi="Courier New" w:cs="Courier New" w:eastAsia="Courier New"/>
          <w:i w:val="0"/>
          <w:sz w:val="22"/>
        </w:rPr>
        <w:t>VEPConfig</w:t>
      </w:r>
      <w:r>
        <w:rPr>
          <w:rFonts w:ascii="Times New Roman" w:hAnsi="Times New Roman" w:cs="Times New Roman" w:eastAsia="Times New Roman"/>
        </w:rPr>
        <w:t xml:space="preserve"> (Table 3.7).</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b/>
        </w:rPr>
        <w:t>Validate.</w:t>
      </w:r>
      <w:r>
        <w:rPr>
          <w:rFonts w:ascii="Times New Roman" w:hAnsi="Times New Roman" w:cs="Times New Roman" w:eastAsia="Times New Roman"/>
        </w:rPr>
        <w:t xml:space="preserve"> The input is converted to 64-bit floats and rejected if it is not one-dimensional, is empty, or contains NaN or infinite values.</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b/>
        </w:rPr>
        <w:t>Band-pass.</w:t>
      </w:r>
      <w:r>
        <w:rPr>
          <w:rFonts w:ascii="Times New Roman" w:hAnsi="Times New Roman" w:cs="Times New Roman" w:eastAsia="Times New Roman"/>
        </w:rPr>
        <w:t xml:space="preserve"> </w:t>
      </w:r>
      <w:r>
        <w:rPr>
          <w:rFonts w:ascii="Courier New" w:hAnsi="Courier New" w:cs="Courier New" w:eastAsia="Courier New"/>
          <w:i w:val="0"/>
          <w:sz w:val="22"/>
        </w:rPr>
        <w:t>butterworth_bandpass</w:t>
      </w:r>
      <w:r>
        <w:rPr>
          <w:rFonts w:ascii="Times New Roman" w:hAnsi="Times New Roman" w:cs="Times New Roman" w:eastAsia="Times New Roman"/>
        </w:rPr>
        <w:t xml:space="preserve"> applies a fourth-order Butterworth band-pass between 1 Hz and 100 Hz in second-order-section form with </w:t>
      </w:r>
      <w:r>
        <w:rPr>
          <w:rFonts w:ascii="Courier New" w:hAnsi="Courier New" w:cs="Courier New" w:eastAsia="Courier New"/>
          <w:i w:val="0"/>
          <w:sz w:val="22"/>
        </w:rPr>
        <w:t>sosfiltfilt</w:t>
      </w:r>
      <w:r>
        <w:rPr>
          <w:rFonts w:ascii="Times New Roman" w:hAnsi="Times New Roman" w:cs="Times New Roman" w:eastAsia="Times New Roman"/>
        </w:rPr>
        <w:t>, i.e. forward and backward. The upper edge must lie below the Nyquist frequency (125 Hz at 250 Hz sampling) and the record must be long enough for zero-phase padding; otherwise an error is raised.</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b/>
        </w:rPr>
        <w:t>Notch.</w:t>
      </w:r>
      <w:r>
        <w:rPr>
          <w:rFonts w:ascii="Times New Roman" w:hAnsi="Times New Roman" w:cs="Times New Roman" w:eastAsia="Times New Roman"/>
        </w:rPr>
        <w:t xml:space="preserve"> </w:t>
      </w:r>
      <w:r>
        <w:rPr>
          <w:rFonts w:ascii="Courier New" w:hAnsi="Courier New" w:cs="Courier New" w:eastAsia="Courier New"/>
          <w:i w:val="0"/>
          <w:sz w:val="22"/>
        </w:rPr>
        <w:t>notch_filter</w:t>
      </w:r>
      <w:r>
        <w:rPr>
          <w:rFonts w:ascii="Times New Roman" w:hAnsi="Times New Roman" w:cs="Times New Roman" w:eastAsia="Times New Roman"/>
        </w:rPr>
        <w:t xml:space="preserve"> applies a zero-phase IIR notch at 50 Hz with quality factor 30 to suppress AC power-line interference.</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b/>
        </w:rPr>
        <w:t>Resample.</w:t>
      </w:r>
      <w:r>
        <w:rPr>
          <w:rFonts w:ascii="Times New Roman" w:hAnsi="Times New Roman" w:cs="Times New Roman" w:eastAsia="Times New Roman"/>
        </w:rPr>
        <w:t xml:space="preserve"> </w:t>
      </w:r>
      <w:r>
        <w:rPr>
          <w:rFonts w:ascii="Courier New" w:hAnsi="Courier New" w:cs="Courier New" w:eastAsia="Courier New"/>
          <w:i w:val="0"/>
          <w:sz w:val="22"/>
        </w:rPr>
        <w:t>resample_to_length</w:t>
      </w:r>
      <w:r>
        <w:rPr>
          <w:rFonts w:ascii="Times New Roman" w:hAnsi="Times New Roman" w:cs="Times New Roman" w:eastAsia="Times New Roman"/>
        </w:rPr>
        <w:t xml:space="preserve"> linearly interpolates the record to exactly 500 samples.</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b/>
        </w:rPr>
        <w:t>Normalise.</w:t>
      </w:r>
      <w:r>
        <w:rPr>
          <w:rFonts w:ascii="Times New Roman" w:hAnsi="Times New Roman" w:cs="Times New Roman" w:eastAsia="Times New Roman"/>
        </w:rPr>
        <w:t xml:space="preserve"> </w:t>
      </w:r>
      <w:r>
        <w:rPr>
          <w:rFonts w:ascii="Courier New" w:hAnsi="Courier New" w:cs="Courier New" w:eastAsia="Courier New"/>
          <w:i w:val="0"/>
          <w:sz w:val="22"/>
        </w:rPr>
        <w:t>zscore_normalize</w:t>
      </w:r>
      <w:r>
        <w:rPr>
          <w:rFonts w:ascii="Times New Roman" w:hAnsi="Times New Roman" w:cs="Times New Roman" w:eastAsia="Times New Roman"/>
        </w:rPr>
        <w:t xml:space="preserve"> subtracts the mean and divides by the standard deviation plus a small constant (Equation 3.6); the result is returned as 32-bit floats and a channel axis is added.</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r>
                  <m:t>|</m:t>
                </m:r>
                <m:r>
                  <m:t>H</m:t>
                </m:r>
                <m:r>
                  <m:t>(</m:t>
                </m:r>
                <m:r>
                  <m:t>j</m:t>
                </m:r>
                <m:r>
                  <m:t>ω</m:t>
                </m:r>
                <m:r>
                  <m:t>)</m:t>
                </m:r>
                <m:sSup>
                  <m:e>
                    <m:r>
                      <m:t>|</m:t>
                    </m:r>
                  </m:e>
                  <m:sup>
                    <m:r>
                      <m:t>2</m:t>
                    </m:r>
                  </m:sup>
                </m:sSup>
                <m:r>
                  <m:t>=</m:t>
                </m:r>
                <m:f>
                  <m:fPr>
                    <m:type m:val="bar"/>
                  </m:fPr>
                  <m:num>
                    <m:r>
                      <m:t>1</m:t>
                    </m:r>
                  </m:num>
                  <m:den>
                    <m:r>
                      <m:t>1</m:t>
                    </m:r>
                    <m:r>
                      <m:t>+</m:t>
                    </m:r>
                    <m:r>
                      <m:t>(</m:t>
                    </m:r>
                    <m:r>
                      <m:t>ω</m:t>
                    </m:r>
                    <m:r>
                      <m:t>/</m:t>
                    </m:r>
                    <m:sSub>
                      <m:e>
                        <m:r>
                          <m:t>ω</m:t>
                        </m:r>
                      </m:e>
                      <m:sub>
                        <m:r>
                          <m:t>c</m:t>
                        </m:r>
                      </m:sub>
                    </m:sSub>
                    <m:sSup>
                      <m:e>
                        <m:r>
                          <m:t>)</m:t>
                        </m:r>
                      </m:e>
                      <m:sup>
                        <m:r>
                          <m:t>2</m:t>
                        </m:r>
                        <m:r>
                          <m:t>n</m:t>
                        </m:r>
                      </m:sup>
                    </m:sSup>
                  </m:den>
                </m:f>
                <m:r>
                  <m:t> </m:t>
                </m:r>
                <m:r>
                  <m:t>(</m:t>
                </m:r>
                <m:r>
                  <m:t>n</m:t>
                </m:r>
                <m:r>
                  <m:t>=</m:t>
                </m:r>
                <m:r>
                  <m:t>4</m:t>
                </m:r>
                <m:r>
                  <m:t>)</m:t>
                </m:r>
                <m:r>
                  <m:t>,</m:t>
                </m:r>
                <m:r>
                  <m:t>  </m:t>
                </m:r>
                <m:sSub>
                  <m:e>
                    <m:r>
                      <m:t>H</m:t>
                    </m:r>
                  </m:e>
                  <m:sub>
                    <m:r>
                      <m:rPr>
                        <m:sty m:val="p"/>
                      </m:rPr>
                      <m:t>zp</m:t>
                    </m:r>
                  </m:sub>
                </m:sSub>
                <m:r>
                  <m:t>(</m:t>
                </m:r>
                <m:r>
                  <m:t>ω</m:t>
                </m:r>
                <m:r>
                  <m:t>)</m:t>
                </m:r>
                <m:r>
                  <m:t>=</m:t>
                </m:r>
                <m:r>
                  <m:t>|</m:t>
                </m:r>
                <m:r>
                  <m:t>H</m:t>
                </m:r>
                <m:r>
                  <m:t>(</m:t>
                </m:r>
                <m:r>
                  <m:t>j</m:t>
                </m:r>
                <m:r>
                  <m:t>ω</m:t>
                </m:r>
                <m:r>
                  <m:t>)</m:t>
                </m:r>
                <m:sSup>
                  <m:e>
                    <m:r>
                      <m:t>|</m:t>
                    </m:r>
                  </m:e>
                  <m:sup>
                    <m:r>
                      <m:t>2</m:t>
                    </m:r>
                  </m:sup>
                </m:sSup>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(3.5)</w:t>
            </w:r>
          </w:p>
        </w:tc>
      </w:tr>
    </w:tbl>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sSub>
                  <m:e>
                    <m:acc>
                      <m:accPr>
                        <m:chr m:val="̂"/>
                      </m:accPr>
                      <m:e>
                        <m:r>
                          <m:t>x</m:t>
                        </m:r>
                      </m:e>
                    </m:acc>
                  </m:e>
                  <m:sub>
                    <m:r>
                      <m:t>k</m:t>
                    </m:r>
                  </m:sub>
                </m:sSub>
                <m:r>
                  <m:t>=</m:t>
                </m:r>
                <m:f>
                  <m:fPr>
                    <m:type m:val="bar"/>
                  </m:fPr>
                  <m:num>
                    <m:sSub>
                      <m:e>
                        <m:r>
                          <m:t>x</m:t>
                        </m:r>
                      </m:e>
                      <m:sub>
                        <m:r>
                          <m:t>k</m:t>
                        </m:r>
                      </m:sub>
                    </m:sSub>
                    <m:r>
                      <m:t>−</m:t>
                    </m:r>
                    <m:r>
                      <m:t>μ</m:t>
                    </m:r>
                  </m:num>
                  <m:den>
                    <m:r>
                      <m:t>σ</m:t>
                    </m:r>
                    <m:r>
                      <m:t>+</m:t>
                    </m:r>
                    <m:r>
                      <m:t>ϵ</m:t>
                    </m:r>
                  </m:den>
                </m:f>
                <m:r>
                  <m:t>,</m:t>
                </m:r>
                <m:r>
                  <m:t>  </m:t>
                </m:r>
                <m:r>
                  <m:t>ϵ</m:t>
                </m:r>
                <m:r>
                  <m:t>=</m:t>
                </m:r>
                <m:sSup>
                  <m:e>
                    <m:r>
                      <m:t>10</m:t>
                    </m:r>
                  </m:e>
                  <m:sup>
                    <m:r>
                      <m:t>−</m:t>
                    </m:r>
                    <m:r>
                      <m:t>8</m:t>
                    </m:r>
                  </m:sup>
                </m:sSup>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(3.6)</w:t>
            </w:r>
          </w:p>
        </w:tc>
      </w:tr>
    </w:tbl>
    <w:p>
      <w:pPr>
        <w:pStyle w:val="BodyJ"/>
        <w:ind w:firstLine="0"/>
      </w:pPr>
      <w:r>
        <w:rPr>
          <w:rFonts w:ascii="Times New Roman" w:hAnsi="Times New Roman" w:cs="Times New Roman" w:eastAsia="Times New Roman"/>
          <w:b/>
        </w:rPr>
        <w:t>Why zero-phase filtering.</w:t>
      </w:r>
      <w:r>
        <w:rPr>
          <w:rFonts w:ascii="Times New Roman" w:hAnsi="Times New Roman" w:cs="Times New Roman" w:eastAsia="Times New Roman"/>
        </w:rPr>
        <w:t xml:space="preserve"> An ordinary single-pass (causal) filter delays different frequency components by different amounts (its group delay). Because the P100 latency is itself the clinical measurement, such a delay would corrupt the very quantity of interest. Filtering forward and then backward cancels the phase response, so the effective frequency response is the squared magnitude of the single-pass filter and has zero phase (Oppenheim &amp; Schafer, 2010; Gustafsson, 1996). The price is that the filter is non-causal and the effective roll-off is steeper; both are acceptable for offline analysis.</w:t>
      </w:r>
    </w:p>
    <w:p>
      <w:pPr>
        <w:pStyle w:val="BodyJ"/>
      </w:pPr>
      <w:r>
        <w:rPr>
          <w:rFonts w:ascii="Times New Roman" w:hAnsi="Times New Roman" w:cs="Times New Roman" w:eastAsia="Times New Roman"/>
          <w:b/>
        </w:rPr>
        <w:t xml:space="preserve">Spectrum mode for resting recordings.</w:t>
      </w:r>
      <w:r>
        <w:rPr>
          <w:rFonts w:ascii="Times New Roman" w:hAnsi="Times New Roman" w:cs="Times New Roman" w:eastAsia="Times New Roman"/>
        </w:rPr>
        <w:t xml:space="preserve"> The public cohorts contain resting MEG or EEG and no VEP. With </w:t>
      </w:r>
      <w:r>
        <w:rPr>
          <w:rFonts w:ascii="Courier New" w:hAnsi="Courier New" w:cs="Courier New" w:eastAsia="Courier New"/>
        </w:rPr>
        <w:t xml:space="preserve">signal_mode="spectrum"</w:t>
      </w:r>
      <w:r>
        <w:rPr>
          <w:rFonts w:ascii="Times New Roman" w:hAnsi="Times New Roman" w:cs="Times New Roman" w:eastAsia="Times New Roman"/>
        </w:rPr>
        <w:t xml:space="preserve"> the time-domain chain is bypassed: each recording is first reduced (</w:t>
      </w:r>
      <w:r>
        <w:rPr>
          <w:rFonts w:ascii="Courier New" w:hAnsi="Courier New" w:cs="Courier New" w:eastAsia="Courier New"/>
        </w:rPr>
        <w:t xml:space="preserve">src/data/cohorts.py</w:t>
      </w:r>
      <w:r>
        <w:rPr>
          <w:rFonts w:ascii="Times New Roman" w:hAnsi="Times New Roman" w:cs="Times New Roman" w:eastAsia="Times New Roman"/>
        </w:rPr>
        <w:t xml:space="preserve">) to the channel-averaged log₁₀ Welch power spectral density between 1 and 45 Hz (4 s segments with 50% overlap; for ds003568, 120 s of MEG after the first 10 s; for ds007181, 120 evenly spaced 30 s windows of the whole-night EEG channels) and interpolated to 500 points; the dataset layer then resamples to the configured length and z-scores it, and no band-pass or notch filter is applied, because filtering a spectrum would be wrong. The temporal encoder then operates on a spectrum, so the temporal-token axis corresponds to frequency and the nominal millisecond mapping of Figure 4.3 does not apply.</w:t>
      </w:r>
    </w:p>
    <w:p>
      <w:pPr>
        <w:pStyle w:val="Caption"/>
        <w:keepNext/>
        <w:spacing w:before="160" w:after="80"/>
      </w:pPr>
      <w:bookmarkStart w:id="1017" w:name="_Ref_Table_3_7"/>
      <w:r>
        <w:rPr>
          <w:rFonts w:ascii="Times New Roman" w:hAnsi="Times New Roman" w:cs="Times New Roman" w:eastAsia="Times New Roman"/>
          <w:b/>
          <w:sz w:val="22"/>
        </w:rPr>
        <w:t xml:space="preserve">Table 3.7: </w:t>
      </w:r>
      <w:r>
        <w:rPr>
          <w:rFonts w:ascii="Times New Roman" w:hAnsi="Times New Roman" w:cs="Times New Roman" w:eastAsia="Times New Roman"/>
          <w:sz w:val="22"/>
        </w:rPr>
        <w:t>VEP preprocessing parameters (</w:t>
      </w:r>
      <w:r>
        <w:rPr>
          <w:rFonts w:ascii="Courier New" w:hAnsi="Courier New" w:cs="Courier New" w:eastAsia="Courier New"/>
          <w:i w:val="0"/>
          <w:sz w:val="20"/>
        </w:rPr>
        <w:t>VEPConfig</w:t>
      </w:r>
      <w:r>
        <w:rPr>
          <w:rFonts w:ascii="Times New Roman" w:hAnsi="Times New Roman" w:cs="Times New Roman" w:eastAsia="Times New Roman"/>
          <w:sz w:val="22"/>
        </w:rPr>
        <w:t>).</w:t>
      </w:r>
      <w:bookmarkEnd w:id="1017"/>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778"/>
        <w:gridCol w:w="2041"/>
        <w:gridCol w:w="3487"/>
      </w:tblGrid>
      <w:tr>
        <w:trPr>
          <w:cantSplit/>
          <w:tblHeader/>
        </w:trPr>
        <w:tc>
          <w:tcPr>
            <w:tcW w:type="dxa" w:w="2778"/>
            <w:shd w:val="clear" w:color="auto" w:fill="D9D9D9"/>
          </w:tcPr>
          <w:p>
            <w:pPr>
              <w:pStyle w:val="TableText"/>
              <w:keepNext/>
              <w:jc w:val="left"/>
            </w:pPr>
            <w:r>
              <w:rPr>
                <w:rFonts w:ascii="Times New Roman" w:hAnsi="Times New Roman" w:cs="Times New Roman" w:eastAsia="Times New Roman"/>
                <w:b/>
                <w:sz w:val="21"/>
              </w:rPr>
              <w:t>Parameter</w:t>
            </w:r>
          </w:p>
        </w:tc>
        <w:tc>
          <w:tcPr>
            <w:tcW w:type="dxa" w:w="2041"/>
            <w:shd w:val="clear" w:color="auto" w:fill="D9D9D9"/>
          </w:tcPr>
          <w:p>
            <w:pPr>
              <w:pStyle w:val="TableText"/>
              <w:keepNext/>
              <w:jc w:val="left"/>
            </w:pPr>
            <w:r>
              <w:rPr>
                <w:rFonts w:ascii="Times New Roman" w:hAnsi="Times New Roman" w:cs="Times New Roman" w:eastAsia="Times New Roman"/>
                <w:b/>
                <w:sz w:val="21"/>
              </w:rPr>
              <w:t>Default</w:t>
            </w:r>
          </w:p>
        </w:tc>
        <w:tc>
          <w:tcPr>
            <w:tcW w:type="dxa" w:w="3487"/>
            <w:shd w:val="clear" w:color="auto" w:fill="D9D9D9"/>
          </w:tcPr>
          <w:p>
            <w:pPr>
              <w:pStyle w:val="TableText"/>
              <w:keepNext/>
              <w:jc w:val="left"/>
            </w:pPr>
            <w:r>
              <w:rPr>
                <w:rFonts w:ascii="Times New Roman" w:hAnsi="Times New Roman" w:cs="Times New Roman" w:eastAsia="Times New Roman"/>
                <w:b/>
                <w:sz w:val="21"/>
              </w:rPr>
              <w:t>Meaning</w:t>
            </w:r>
          </w:p>
        </w:tc>
      </w:tr>
      <w:tr>
        <w:trPr>
          <w:cantSplit/>
        </w:trPr>
        <w:tc>
          <w:tcPr>
            <w:tcW w:type="dxa" w:w="2778"/>
          </w:tcPr>
          <w:p>
            <w:pPr>
              <w:pStyle w:val="TableText"/>
              <w:keepNext/>
              <w:jc w:val="left"/>
            </w:pPr>
            <w:r>
              <w:rPr>
                <w:rFonts w:ascii="Times New Roman" w:hAnsi="Times New Roman" w:cs="Times New Roman" w:eastAsia="Times New Roman"/>
                <w:sz w:val="21"/>
              </w:rPr>
              <w:t>length</w:t>
            </w:r>
          </w:p>
        </w:tc>
        <w:tc>
          <w:tcPr>
            <w:tcW w:type="dxa" w:w="2041"/>
          </w:tcPr>
          <w:p>
            <w:pPr>
              <w:pStyle w:val="TableText"/>
              <w:keepNext/>
              <w:jc w:val="left"/>
            </w:pPr>
            <w:r>
              <w:rPr>
                <w:rFonts w:ascii="Times New Roman" w:hAnsi="Times New Roman" w:cs="Times New Roman" w:eastAsia="Times New Roman"/>
                <w:sz w:val="21"/>
              </w:rPr>
              <w:t>500</w:t>
            </w:r>
          </w:p>
        </w:tc>
        <w:tc>
          <w:tcPr>
            <w:tcW w:type="dxa" w:w="3487"/>
          </w:tcPr>
          <w:p>
            <w:pPr>
              <w:pStyle w:val="TableText"/>
              <w:keepNext/>
              <w:jc w:val="left"/>
            </w:pPr>
            <w:r>
              <w:rPr>
                <w:rFonts w:ascii="Times New Roman" w:hAnsi="Times New Roman" w:cs="Times New Roman" w:eastAsia="Times New Roman"/>
                <w:sz w:val="21"/>
              </w:rPr>
              <w:t>Samples after resampling</w:t>
            </w:r>
          </w:p>
        </w:tc>
      </w:tr>
      <w:tr>
        <w:trPr>
          <w:cantSplit/>
        </w:trPr>
        <w:tc>
          <w:tcPr>
            <w:tcW w:type="dxa" w:w="2778"/>
          </w:tcPr>
          <w:p>
            <w:pPr>
              <w:pStyle w:val="TableText"/>
              <w:keepNext/>
              <w:jc w:val="left"/>
            </w:pPr>
            <w:r>
              <w:rPr>
                <w:rFonts w:ascii="Times New Roman" w:hAnsi="Times New Roman" w:cs="Times New Roman" w:eastAsia="Times New Roman"/>
                <w:sz w:val="21"/>
              </w:rPr>
              <w:t>sample_rate</w:t>
            </w:r>
          </w:p>
        </w:tc>
        <w:tc>
          <w:tcPr>
            <w:tcW w:type="dxa" w:w="2041"/>
          </w:tcPr>
          <w:p>
            <w:pPr>
              <w:pStyle w:val="TableText"/>
              <w:keepNext/>
              <w:jc w:val="left"/>
            </w:pPr>
            <w:r>
              <w:rPr>
                <w:rFonts w:ascii="Times New Roman" w:hAnsi="Times New Roman" w:cs="Times New Roman" w:eastAsia="Times New Roman"/>
                <w:sz w:val="21"/>
              </w:rPr>
              <w:t>250 Hz</w:t>
            </w:r>
          </w:p>
        </w:tc>
        <w:tc>
          <w:tcPr>
            <w:tcW w:type="dxa" w:w="3487"/>
          </w:tcPr>
          <w:p>
            <w:pPr>
              <w:pStyle w:val="TableText"/>
              <w:keepNext/>
              <w:jc w:val="left"/>
            </w:pPr>
            <w:r>
              <w:rPr>
                <w:rFonts w:ascii="Times New Roman" w:hAnsi="Times New Roman" w:cs="Times New Roman" w:eastAsia="Times New Roman"/>
                <w:sz w:val="21"/>
              </w:rPr>
              <w:t>500 samples span a 2.0 s sweep</w:t>
            </w:r>
          </w:p>
        </w:tc>
      </w:tr>
      <w:tr>
        <w:trPr>
          <w:cantSplit/>
        </w:trPr>
        <w:tc>
          <w:tcPr>
            <w:tcW w:type="dxa" w:w="2778"/>
          </w:tcPr>
          <w:p>
            <w:pPr>
              <w:pStyle w:val="TableText"/>
              <w:jc w:val="left"/>
            </w:pPr>
            <w:r>
              <w:rPr>
                <w:rFonts w:ascii="Times New Roman" w:hAnsi="Times New Roman" w:cs="Times New Roman" w:eastAsia="Times New Roman"/>
                <w:sz w:val="21"/>
              </w:rPr>
              <w:t>bandpass_low / bandpass_high</w:t>
            </w:r>
          </w:p>
        </w:tc>
        <w:tc>
          <w:tcPr>
            <w:tcW w:type="dxa" w:w="2041"/>
          </w:tcPr>
          <w:p>
            <w:pPr>
              <w:pStyle w:val="TableText"/>
              <w:jc w:val="left"/>
            </w:pPr>
            <w:r>
              <w:rPr>
                <w:rFonts w:ascii="Times New Roman" w:hAnsi="Times New Roman" w:cs="Times New Roman" w:eastAsia="Times New Roman"/>
                <w:sz w:val="21"/>
              </w:rPr>
              <w:t>1.0 Hz / 100.0 Hz</w:t>
            </w:r>
          </w:p>
        </w:tc>
        <w:tc>
          <w:tcPr>
            <w:tcW w:type="dxa" w:w="3487"/>
          </w:tcPr>
          <w:p>
            <w:pPr>
              <w:pStyle w:val="TableText"/>
              <w:jc w:val="left"/>
            </w:pPr>
            <w:r>
              <w:rPr>
                <w:rFonts w:ascii="Times New Roman" w:hAnsi="Times New Roman" w:cs="Times New Roman" w:eastAsia="Times New Roman"/>
                <w:sz w:val="21"/>
              </w:rPr>
              <w:t>Edges of the fourth-order Butterworth band-pass</w:t>
            </w:r>
          </w:p>
        </w:tc>
      </w:tr>
      <w:tr>
        <w:trPr>
          <w:cantSplit/>
        </w:trPr>
        <w:tc>
          <w:tcPr>
            <w:tcW w:type="dxa" w:w="2778"/>
          </w:tcPr>
          <w:p>
            <w:pPr>
              <w:pStyle w:val="TableText"/>
              <w:jc w:val="left"/>
            </w:pPr>
            <w:r>
              <w:rPr>
                <w:rFonts w:ascii="Times New Roman" w:hAnsi="Times New Roman" w:cs="Times New Roman" w:eastAsia="Times New Roman"/>
                <w:sz w:val="21"/>
              </w:rPr>
              <w:t>notch_freq</w:t>
            </w:r>
          </w:p>
        </w:tc>
        <w:tc>
          <w:tcPr>
            <w:tcW w:type="dxa" w:w="2041"/>
          </w:tcPr>
          <w:p>
            <w:pPr>
              <w:pStyle w:val="TableText"/>
              <w:jc w:val="left"/>
            </w:pPr>
            <w:r>
              <w:rPr>
                <w:rFonts w:ascii="Times New Roman" w:hAnsi="Times New Roman" w:cs="Times New Roman" w:eastAsia="Times New Roman"/>
                <w:sz w:val="21"/>
              </w:rPr>
              <w:t>50 Hz</w:t>
            </w:r>
          </w:p>
        </w:tc>
        <w:tc>
          <w:tcPr>
            <w:tcW w:type="dxa" w:w="3487"/>
          </w:tcPr>
          <w:p>
            <w:pPr>
              <w:pStyle w:val="TableText"/>
              <w:jc w:val="left"/>
            </w:pPr>
            <w:r>
              <w:rPr>
                <w:rFonts w:ascii="Times New Roman" w:hAnsi="Times New Roman" w:cs="Times New Roman" w:eastAsia="Times New Roman"/>
                <w:sz w:val="21"/>
              </w:rPr>
              <w:t>Mains frequency</w:t>
            </w:r>
          </w:p>
        </w:tc>
      </w:tr>
      <w:tr>
        <w:trPr>
          <w:cantSplit/>
        </w:trPr>
        <w:tc>
          <w:tcPr>
            <w:tcW w:type="dxa" w:w="2778"/>
          </w:tcPr>
          <w:p>
            <w:pPr>
              <w:pStyle w:val="TableText"/>
              <w:jc w:val="left"/>
            </w:pPr>
            <w:r>
              <w:rPr>
                <w:rFonts w:ascii="Times New Roman" w:hAnsi="Times New Roman" w:cs="Times New Roman" w:eastAsia="Times New Roman"/>
                <w:sz w:val="21"/>
              </w:rPr>
              <w:t>notch_quality</w:t>
            </w:r>
          </w:p>
        </w:tc>
        <w:tc>
          <w:tcPr>
            <w:tcW w:type="dxa" w:w="2041"/>
          </w:tcPr>
          <w:p>
            <w:pPr>
              <w:pStyle w:val="TableText"/>
              <w:jc w:val="left"/>
            </w:pPr>
            <w:r>
              <w:rPr>
                <w:rFonts w:ascii="Times New Roman" w:hAnsi="Times New Roman" w:cs="Times New Roman" w:eastAsia="Times New Roman"/>
                <w:sz w:val="21"/>
              </w:rPr>
              <w:t>30</w:t>
            </w:r>
          </w:p>
        </w:tc>
        <w:tc>
          <w:tcPr>
            <w:tcW w:type="dxa" w:w="3487"/>
          </w:tcPr>
          <w:p>
            <w:pPr>
              <w:pStyle w:val="TableText"/>
              <w:jc w:val="left"/>
            </w:pPr>
            <w:r>
              <w:rPr>
                <w:rFonts w:ascii="Times New Roman" w:hAnsi="Times New Roman" w:cs="Times New Roman" w:eastAsia="Times New Roman"/>
                <w:sz w:val="21"/>
              </w:rPr>
              <w:t>Q factor; notch bandwidth = f₀ / Q ≈ 1.67 Hz</w:t>
            </w:r>
          </w:p>
        </w:tc>
      </w:tr>
      <w:tr>
        <w:trPr>
          <w:cantSplit/>
        </w:trPr>
        <w:tc>
          <w:tcPr>
            <w:tcW w:type="dxa" w:w="2778"/>
          </w:tcPr>
          <w:p>
            <w:pPr>
              <w:pStyle w:val="TableText"/>
              <w:jc w:val="left"/>
            </w:pPr>
            <w:r>
              <w:rPr>
                <w:rFonts w:ascii="Times New Roman" w:hAnsi="Times New Roman" w:cs="Times New Roman" w:eastAsia="Times New Roman"/>
                <w:sz w:val="21"/>
              </w:rPr>
              <w:t xml:space="preserve">baseline_window_ms</w:t>
            </w:r>
          </w:p>
        </w:tc>
        <w:tc>
          <w:tcPr>
            <w:tcW w:type="dxa" w:w="2041"/>
          </w:tcPr>
          <w:p>
            <w:pPr>
              <w:pStyle w:val="TableText"/>
              <w:jc w:val="left"/>
            </w:pPr>
            <w:r>
              <w:rPr>
                <w:rFonts w:ascii="Times New Roman" w:hAnsi="Times New Roman" w:cs="Times New Roman" w:eastAsia="Times New Roman"/>
                <w:sz w:val="21"/>
              </w:rPr>
              <w:t xml:space="preserve">None</w:t>
            </w:r>
          </w:p>
        </w:tc>
        <w:tc>
          <w:tcPr>
            <w:tcW w:type="dxa" w:w="3487"/>
          </w:tcPr>
          <w:p>
            <w:pPr>
              <w:pStyle w:val="TableText"/>
              <w:jc w:val="left"/>
            </w:pPr>
            <w:r>
              <w:rPr>
                <w:rFonts w:ascii="Times New Roman" w:hAnsi="Times New Roman" w:cs="Times New Roman" w:eastAsia="Times New Roman"/>
                <w:sz w:val="21"/>
              </w:rPr>
              <w:t xml:space="preserve">Optional pre-stimulus baseline correction (disabled: synthetic sweeps have no pre-stimulus interval)</w:t>
            </w:r>
          </w:p>
        </w:tc>
      </w:tr>
      <w:tr>
        <w:trPr>
          <w:cantSplit/>
        </w:trPr>
        <w:tc>
          <w:tcPr>
            <w:tcW w:type="dxa" w:w="2778"/>
          </w:tcPr>
          <w:p>
            <w:pPr>
              <w:pStyle w:val="TableText"/>
              <w:jc w:val="left"/>
            </w:pPr>
            <w:r>
              <w:rPr>
                <w:rFonts w:ascii="Times New Roman" w:hAnsi="Times New Roman" w:cs="Times New Roman" w:eastAsia="Times New Roman"/>
                <w:sz w:val="21"/>
              </w:rPr>
              <w:t xml:space="preserve">signal_mode</w:t>
            </w:r>
          </w:p>
        </w:tc>
        <w:tc>
          <w:tcPr>
            <w:tcW w:type="dxa" w:w="2041"/>
          </w:tcPr>
          <w:p>
            <w:pPr>
              <w:pStyle w:val="TableText"/>
              <w:jc w:val="left"/>
            </w:pPr>
            <w:r>
              <w:rPr>
                <w:rFonts w:ascii="Times New Roman" w:hAnsi="Times New Roman" w:cs="Times New Roman" w:eastAsia="Times New Roman"/>
                <w:sz w:val="21"/>
              </w:rPr>
              <w:t xml:space="preserve">"waveform" (alternative: "spectrum")</w:t>
            </w:r>
          </w:p>
        </w:tc>
        <w:tc>
          <w:tcPr>
            <w:tcW w:type="dxa" w:w="3487"/>
          </w:tcPr>
          <w:p>
            <w:pPr>
              <w:pStyle w:val="TableText"/>
              <w:jc w:val="left"/>
            </w:pPr>
            <w:r>
              <w:rPr>
                <w:rFonts w:ascii="Times New Roman" w:hAnsi="Times New Roman" w:cs="Times New Roman" w:eastAsia="Times New Roman"/>
                <w:sz w:val="21"/>
              </w:rPr>
              <w:t xml:space="preserve">Time-domain conditioning chain, or an input that is already a spectrum (only resampling and z-score)</w:t>
            </w:r>
          </w:p>
        </w:tc>
      </w:tr>
    </w:tbl>
    <w:p>
      <w:pPr>
        <w:spacing w:after="80" w:line="240" w:lineRule="auto"/>
      </w:pPr>
    </w:p>
    <w:p>
      <w:pPr>
        <w:pStyle w:val="Heading2"/>
      </w:pPr>
      <w:r>
        <w:rPr>
          <w:rFonts w:ascii="Times New Roman" w:hAnsi="Times New Roman" w:cs="Times New Roman" w:eastAsia="Times New Roman"/>
          <w:b/>
          <w:sz w:val="28"/>
        </w:rPr>
        <w:t>3.9  EVALUATION STRATEGY</w:t>
      </w:r>
    </w:p>
    <w:p>
      <w:pPr>
        <w:pStyle w:val="BodyJ"/>
      </w:pPr>
      <w:r>
        <w:rPr>
          <w:rFonts w:ascii="Times New Roman" w:hAnsi="Times New Roman" w:cs="Times New Roman" w:eastAsia="Times New Roman"/>
        </w:rPr>
        <w:t xml:space="preserve">The evaluation has three parts, and every result in Chapter 5 is labelled by the kind of data it comes from. Study A is a controlled benchmark on synthetic data; its results are a controlled comparison of architectures and not clinical performance. Study B uses two real public cohorts; its results are reported as found, including where they are at chance. The engineering evidence (filters, model size, tests) is independent of both. Table 3.8 relates each piece of evidence to the objectives, questions and hypotheses of Section 1.4.</w:t>
      </w:r>
    </w:p>
    <w:p>
      <w:pPr>
        <w:pStyle w:val="Caption"/>
        <w:keepNext/>
        <w:spacing w:before="160" w:after="80"/>
      </w:pPr>
      <w:bookmarkStart w:id="1018" w:name="_Ref_Table_3_8"/>
      <w:r>
        <w:rPr>
          <w:rFonts w:ascii="Times New Roman" w:hAnsi="Times New Roman" w:cs="Times New Roman" w:eastAsia="Times New Roman"/>
          <w:b/>
          <w:sz w:val="22"/>
        </w:rPr>
        <w:t xml:space="preserve">Table 3.8: </w:t>
      </w:r>
      <w:r>
        <w:rPr>
          <w:rFonts w:ascii="Times New Roman" w:hAnsi="Times New Roman" w:cs="Times New Roman" w:eastAsia="Times New Roman"/>
          <w:sz w:val="22"/>
        </w:rPr>
        <w:t xml:space="preserve">Evaluation strategy: what is measured, on which data, how, and which objective it supports.</w:t>
      </w:r>
      <w:bookmarkEnd w:id="1018"/>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900"/>
        <w:gridCol w:w="1250"/>
        <w:gridCol w:w="3500"/>
        <w:gridCol w:w="1656"/>
      </w:tblGrid>
      <w:tr>
        <w:trPr>
          <w:cantSplit/>
          <w:tblHeader/>
        </w:trPr>
        <w:tc>
          <w:tcPr>
            <w:tcW w:type="dxa" w:w="1900"/>
            <w:shd w:val="clear" w:color="auto" w:fill="D9D9D9"/>
          </w:tcPr>
          <w:p>
            <w:pPr>
              <w:pStyle w:val="TableText"/>
              <w:keepNext/>
              <w:jc w:val="left"/>
            </w:pPr>
            <w:r>
              <w:rPr>
                <w:rFonts w:ascii="Times New Roman" w:hAnsi="Times New Roman" w:cs="Times New Roman" w:eastAsia="Times New Roman"/>
                <w:b/>
                <w:sz w:val="20"/>
              </w:rPr>
              <w:t xml:space="preserve">Evidence</w:t>
            </w:r>
          </w:p>
        </w:tc>
        <w:tc>
          <w:tcPr>
            <w:tcW w:type="dxa" w:w="1250"/>
            <w:shd w:val="clear" w:color="auto" w:fill="D9D9D9"/>
          </w:tcPr>
          <w:p>
            <w:pPr>
              <w:pStyle w:val="TableText"/>
              <w:keepNext/>
              <w:jc w:val="left"/>
            </w:pPr>
            <w:r>
              <w:rPr>
                <w:rFonts w:ascii="Times New Roman" w:hAnsi="Times New Roman" w:cs="Times New Roman" w:eastAsia="Times New Roman"/>
                <w:b/>
                <w:sz w:val="20"/>
              </w:rPr>
              <w:t xml:space="preserve">Data</w:t>
            </w:r>
          </w:p>
        </w:tc>
        <w:tc>
          <w:tcPr>
            <w:tcW w:type="dxa" w:w="3500"/>
            <w:shd w:val="clear" w:color="auto" w:fill="D9D9D9"/>
          </w:tcPr>
          <w:p>
            <w:pPr>
              <w:pStyle w:val="TableText"/>
              <w:keepNext/>
              <w:jc w:val="left"/>
            </w:pPr>
            <w:r>
              <w:rPr>
                <w:rFonts w:ascii="Times New Roman" w:hAnsi="Times New Roman" w:cs="Times New Roman" w:eastAsia="Times New Roman"/>
                <w:b/>
                <w:sz w:val="20"/>
              </w:rPr>
              <w:t xml:space="preserve">Method</w:t>
            </w:r>
          </w:p>
        </w:tc>
        <w:tc>
          <w:tcPr>
            <w:tcW w:type="dxa" w:w="1656"/>
            <w:shd w:val="clear" w:color="auto" w:fill="D9D9D9"/>
          </w:tcPr>
          <w:p>
            <w:pPr>
              <w:pStyle w:val="TableText"/>
              <w:keepNext/>
              <w:jc w:val="left"/>
            </w:pPr>
            <w:r>
              <w:rPr>
                <w:rFonts w:ascii="Times New Roman" w:hAnsi="Times New Roman" w:cs="Times New Roman" w:eastAsia="Times New Roman"/>
                <w:b/>
                <w:sz w:val="20"/>
              </w:rPr>
              <w:t xml:space="preserve">Supports</w:t>
            </w:r>
          </w:p>
        </w:tc>
      </w:tr>
      <w:tr>
        <w:trPr>
          <w:cantSplit/>
        </w:trPr>
        <w:tc>
          <w:tcPr>
            <w:tcW w:type="dxa" w:w="1900"/>
          </w:tcPr>
          <w:p>
            <w:pPr>
              <w:pStyle w:val="TableText"/>
              <w:keepNext/>
              <w:jc w:val="left"/>
            </w:pPr>
            <w:r>
              <w:rPr>
                <w:rFonts w:ascii="Times New Roman" w:hAnsi="Times New Roman" w:cs="Times New Roman" w:eastAsia="Times New Roman"/>
                <w:sz w:val="20"/>
              </w:rPr>
              <w:t xml:space="preserve">Signal-conditioning behaviour</w:t>
            </w:r>
          </w:p>
        </w:tc>
        <w:tc>
          <w:tcPr>
            <w:tcW w:type="dxa" w:w="1250"/>
          </w:tcPr>
          <w:p>
            <w:pPr>
              <w:pStyle w:val="TableText"/>
              <w:keepNext/>
              <w:jc w:val="left"/>
            </w:pPr>
            <w:r>
              <w:rPr>
                <w:rFonts w:ascii="Times New Roman" w:hAnsi="Times New Roman" w:cs="Times New Roman" w:eastAsia="Times New Roman"/>
                <w:sz w:val="20"/>
              </w:rPr>
              <w:t xml:space="preserve">Synthetic (original generator)</w:t>
            </w:r>
          </w:p>
        </w:tc>
        <w:tc>
          <w:tcPr>
            <w:tcW w:type="dxa" w:w="3500"/>
          </w:tcPr>
          <w:p>
            <w:pPr>
              <w:pStyle w:val="TableText"/>
              <w:keepNext/>
              <w:jc w:val="left"/>
            </w:pPr>
            <w:r>
              <w:rPr>
                <w:rFonts w:ascii="Times New Roman" w:hAnsi="Times New Roman" w:cs="Times New Roman" w:eastAsia="Times New Roman"/>
                <w:sz w:val="20"/>
              </w:rPr>
              <w:t xml:space="preserve">The project's own functions are run on 150 synthetic VEPs (50 per class, fixed seeds): frequency response, mains attenuation, group delay, detected P100 latency against ground truth</w:t>
            </w:r>
          </w:p>
        </w:tc>
        <w:tc>
          <w:tcPr>
            <w:tcW w:type="dxa" w:w="1656"/>
          </w:tcPr>
          <w:p>
            <w:pPr>
              <w:pStyle w:val="TableText"/>
              <w:keepNext/>
              <w:jc w:val="left"/>
            </w:pPr>
            <w:r>
              <w:rPr>
                <w:rFonts w:ascii="Times New Roman" w:hAnsi="Times New Roman" w:cs="Times New Roman" w:eastAsia="Times New Roman"/>
                <w:sz w:val="20"/>
              </w:rPr>
              <w:t xml:space="preserve">O2, RQ2, H1</w:t>
            </w:r>
          </w:p>
        </w:tc>
      </w:tr>
      <w:tr>
        <w:trPr>
          <w:cantSplit/>
        </w:trPr>
        <w:tc>
          <w:tcPr>
            <w:tcW w:type="dxa" w:w="1900"/>
          </w:tcPr>
          <w:p>
            <w:pPr>
              <w:pStyle w:val="TableText"/>
              <w:keepNext/>
              <w:jc w:val="left"/>
            </w:pPr>
            <w:r>
              <w:rPr>
                <w:rFonts w:ascii="Times New Roman" w:hAnsi="Times New Roman" w:cs="Times New Roman" w:eastAsia="Times New Roman"/>
                <w:sz w:val="20"/>
              </w:rPr>
              <w:t xml:space="preserve">Synthetic data characterisation</w:t>
            </w:r>
          </w:p>
        </w:tc>
        <w:tc>
          <w:tcPr>
            <w:tcW w:type="dxa" w:w="1250"/>
          </w:tcPr>
          <w:p>
            <w:pPr>
              <w:pStyle w:val="TableText"/>
              <w:keepNext/>
              <w:jc w:val="left"/>
            </w:pPr>
            <w:r>
              <w:rPr>
                <w:rFonts w:ascii="Times New Roman" w:hAnsi="Times New Roman" w:cs="Times New Roman" w:eastAsia="Times New Roman"/>
                <w:sz w:val="20"/>
              </w:rPr>
              <w:t xml:space="preserve">Synthetic (original generator)</w:t>
            </w:r>
          </w:p>
        </w:tc>
        <w:tc>
          <w:tcPr>
            <w:tcW w:type="dxa" w:w="3500"/>
          </w:tcPr>
          <w:p>
            <w:pPr>
              <w:pStyle w:val="TableText"/>
              <w:keepNext/>
              <w:jc w:val="left"/>
            </w:pPr>
            <w:r>
              <w:rPr>
                <w:rFonts w:ascii="Times New Roman" w:hAnsi="Times New Roman" w:cs="Times New Roman" w:eastAsia="Times New Roman"/>
                <w:sz w:val="20"/>
              </w:rPr>
              <w:t xml:space="preserve">Region-of-interest statistics of generated MRI volumes; effect of the foreground mask; per-class VEP statistics</w:t>
            </w:r>
          </w:p>
        </w:tc>
        <w:tc>
          <w:tcPr>
            <w:tcW w:type="dxa" w:w="1656"/>
          </w:tcPr>
          <w:p>
            <w:pPr>
              <w:pStyle w:val="TableText"/>
              <w:keepNext/>
              <w:jc w:val="left"/>
            </w:pPr>
            <w:r>
              <w:rPr>
                <w:rFonts w:ascii="Times New Roman" w:hAnsi="Times New Roman" w:cs="Times New Roman" w:eastAsia="Times New Roman"/>
                <w:sz w:val="20"/>
              </w:rPr>
              <w:t xml:space="preserve">O2, O7</w:t>
            </w:r>
          </w:p>
        </w:tc>
      </w:tr>
      <w:tr>
        <w:trPr>
          <w:cantSplit/>
        </w:trPr>
        <w:tc>
          <w:tcPr>
            <w:tcW w:type="dxa" w:w="1900"/>
          </w:tcPr>
          <w:p>
            <w:pPr>
              <w:pStyle w:val="TableText"/>
              <w:keepNext/>
              <w:jc w:val="left"/>
            </w:pPr>
            <w:r>
              <w:rPr>
                <w:rFonts w:ascii="Times New Roman" w:hAnsi="Times New Roman" w:cs="Times New Roman" w:eastAsia="Times New Roman"/>
                <w:sz w:val="20"/>
              </w:rPr>
              <w:t xml:space="preserve">Model size and cost</w:t>
            </w:r>
          </w:p>
        </w:tc>
        <w:tc>
          <w:tcPr>
            <w:tcW w:type="dxa" w:w="1250"/>
          </w:tcPr>
          <w:p>
            <w:pPr>
              <w:pStyle w:val="TableText"/>
              <w:keepNext/>
              <w:jc w:val="left"/>
            </w:pPr>
            <w:r>
              <w:rPr>
                <w:rFonts w:ascii="Times New Roman" w:hAnsi="Times New Roman" w:cs="Times New Roman" w:eastAsia="Times New Roman"/>
                <w:sz w:val="20"/>
              </w:rPr>
              <w:t xml:space="preserve">None</w:t>
            </w:r>
          </w:p>
        </w:tc>
        <w:tc>
          <w:tcPr>
            <w:tcW w:type="dxa" w:w="3500"/>
          </w:tcPr>
          <w:p>
            <w:pPr>
              <w:pStyle w:val="TableText"/>
              <w:keepNext/>
              <w:jc w:val="left"/>
            </w:pPr>
            <w:r>
              <w:rPr>
                <w:rFonts w:ascii="Times New Roman" w:hAnsi="Times New Roman" w:cs="Times New Roman" w:eastAsia="Times New Roman"/>
                <w:sz w:val="20"/>
              </w:rPr>
              <w:t xml:space="preserve">Trainable parameters and multiply-accumulate operations counted from the layer definitions</w:t>
            </w:r>
          </w:p>
        </w:tc>
        <w:tc>
          <w:tcPr>
            <w:tcW w:type="dxa" w:w="1656"/>
          </w:tcPr>
          <w:p>
            <w:pPr>
              <w:pStyle w:val="TableText"/>
              <w:keepNext/>
              <w:jc w:val="left"/>
            </w:pPr>
            <w:r>
              <w:rPr>
                <w:rFonts w:ascii="Times New Roman" w:hAnsi="Times New Roman" w:cs="Times New Roman" w:eastAsia="Times New Roman"/>
                <w:sz w:val="20"/>
              </w:rPr>
              <w:t xml:space="preserve">O3, O4, RQ3</w:t>
            </w:r>
          </w:p>
        </w:tc>
      </w:tr>
      <w:tr>
        <w:trPr>
          <w:cantSplit/>
        </w:trPr>
        <w:tc>
          <w:tcPr>
            <w:tcW w:type="dxa" w:w="1900"/>
          </w:tcPr>
          <w:p>
            <w:pPr>
              <w:pStyle w:val="TableText"/>
              <w:keepNext/>
              <w:jc w:val="left"/>
            </w:pPr>
            <w:r>
              <w:rPr>
                <w:rFonts w:ascii="Times New Roman" w:hAnsi="Times New Roman" w:cs="Times New Roman" w:eastAsia="Times New Roman"/>
                <w:sz w:val="20"/>
              </w:rPr>
              <w:t xml:space="preserve">Software verification</w:t>
            </w:r>
          </w:p>
        </w:tc>
        <w:tc>
          <w:tcPr>
            <w:tcW w:type="dxa" w:w="1250"/>
          </w:tcPr>
          <w:p>
            <w:pPr>
              <w:pStyle w:val="TableText"/>
              <w:keepNext/>
              <w:jc w:val="left"/>
            </w:pPr>
            <w:r>
              <w:rPr>
                <w:rFonts w:ascii="Times New Roman" w:hAnsi="Times New Roman" w:cs="Times New Roman" w:eastAsia="Times New Roman"/>
                <w:sz w:val="20"/>
              </w:rPr>
              <w:t xml:space="preserve">Synthetic test data</w:t>
            </w:r>
          </w:p>
        </w:tc>
        <w:tc>
          <w:tcPr>
            <w:tcW w:type="dxa" w:w="3500"/>
          </w:tcPr>
          <w:p>
            <w:pPr>
              <w:pStyle w:val="TableText"/>
              <w:keepNext/>
              <w:jc w:val="left"/>
            </w:pPr>
            <w:r>
              <w:rPr>
                <w:rFonts w:ascii="Times New Roman" w:hAnsi="Times New Roman" w:cs="Times New Roman" w:eastAsia="Times New Roman"/>
                <w:sz w:val="20"/>
              </w:rPr>
              <w:t xml:space="preserve">340 test functions (unit and integration) run on two platforms</w:t>
            </w:r>
          </w:p>
        </w:tc>
        <w:tc>
          <w:tcPr>
            <w:tcW w:type="dxa" w:w="1656"/>
          </w:tcPr>
          <w:p>
            <w:pPr>
              <w:pStyle w:val="TableText"/>
              <w:keepNext/>
              <w:jc w:val="left"/>
            </w:pPr>
            <w:r>
              <w:rPr>
                <w:rFonts w:ascii="Times New Roman" w:hAnsi="Times New Roman" w:cs="Times New Roman" w:eastAsia="Times New Roman"/>
                <w:sz w:val="20"/>
              </w:rPr>
              <w:t xml:space="preserve">O1, O6, H3</w:t>
            </w:r>
          </w:p>
        </w:tc>
      </w:tr>
      <w:tr>
        <w:trPr>
          <w:cantSplit/>
        </w:trPr>
        <w:tc>
          <w:tcPr>
            <w:tcW w:type="dxa" w:w="1900"/>
          </w:tcPr>
          <w:p>
            <w:pPr>
              <w:pStyle w:val="TableText"/>
              <w:keepNext/>
              <w:jc w:val="left"/>
            </w:pPr>
            <w:r>
              <w:rPr>
                <w:rFonts w:ascii="Times New Roman" w:hAnsi="Times New Roman" w:cs="Times New Roman" w:eastAsia="Times New Roman"/>
                <w:sz w:val="20"/>
              </w:rPr>
              <w:t xml:space="preserve">Training acceptance criteria</w:t>
            </w:r>
          </w:p>
        </w:tc>
        <w:tc>
          <w:tcPr>
            <w:tcW w:type="dxa" w:w="1250"/>
          </w:tcPr>
          <w:p>
            <w:pPr>
              <w:pStyle w:val="TableText"/>
              <w:keepNext/>
              <w:jc w:val="left"/>
            </w:pPr>
            <w:r>
              <w:rPr>
                <w:rFonts w:ascii="Times New Roman" w:hAnsi="Times New Roman" w:cs="Times New Roman" w:eastAsia="Times New Roman"/>
                <w:sz w:val="20"/>
              </w:rPr>
              <w:t xml:space="preserve">Synthetic</w:t>
            </w:r>
          </w:p>
        </w:tc>
        <w:tc>
          <w:tcPr>
            <w:tcW w:type="dxa" w:w="3500"/>
          </w:tcPr>
          <w:p>
            <w:pPr>
              <w:pStyle w:val="TableText"/>
              <w:keepNext/>
              <w:jc w:val="left"/>
            </w:pPr>
            <w:r>
              <w:rPr>
                <w:rFonts w:ascii="Times New Roman" w:hAnsi="Times New Roman" w:cs="Times New Roman" w:eastAsia="Times New Roman"/>
                <w:sz w:val="20"/>
              </w:rPr>
              <w:t xml:space="preserve">Thresholds asserted by the training-loop integration tests (loss reduction, above-chance validation accuracy, checkpoint round-trip)</w:t>
            </w:r>
          </w:p>
        </w:tc>
        <w:tc>
          <w:tcPr>
            <w:tcW w:type="dxa" w:w="1656"/>
          </w:tcPr>
          <w:p>
            <w:pPr>
              <w:pStyle w:val="TableText"/>
              <w:keepNext/>
              <w:jc w:val="left"/>
            </w:pPr>
            <w:r>
              <w:rPr>
                <w:rFonts w:ascii="Times New Roman" w:hAnsi="Times New Roman" w:cs="Times New Roman" w:eastAsia="Times New Roman"/>
                <w:sz w:val="20"/>
              </w:rPr>
              <w:t xml:space="preserve">O4, RQ3, H2</w:t>
            </w:r>
          </w:p>
        </w:tc>
      </w:tr>
      <w:tr>
        <w:trPr>
          <w:cantSplit/>
        </w:trPr>
        <w:tc>
          <w:tcPr>
            <w:tcW w:type="dxa" w:w="1900"/>
          </w:tcPr>
          <w:p>
            <w:pPr>
              <w:pStyle w:val="TableText"/>
              <w:keepNext/>
              <w:jc w:val="left"/>
            </w:pPr>
            <w:r>
              <w:rPr>
                <w:rFonts w:ascii="Times New Roman" w:hAnsi="Times New Roman" w:cs="Times New Roman" w:eastAsia="Times New Roman"/>
                <w:sz w:val="20"/>
              </w:rPr>
              <w:t xml:space="preserve">Study A: controlled benchmark and ablation</w:t>
            </w:r>
          </w:p>
        </w:tc>
        <w:tc>
          <w:tcPr>
            <w:tcW w:type="dxa" w:w="1250"/>
          </w:tcPr>
          <w:p>
            <w:pPr>
              <w:pStyle w:val="TableText"/>
              <w:keepNext/>
              <w:jc w:val="left"/>
            </w:pPr>
            <w:r>
              <w:rPr>
                <w:rFonts w:ascii="Times New Roman" w:hAnsi="Times New Roman" w:cs="Times New Roman" w:eastAsia="Times New Roman"/>
                <w:sz w:val="20"/>
              </w:rPr>
              <w:t xml:space="preserve">Synthetic (current generator)</w:t>
            </w:r>
          </w:p>
        </w:tc>
        <w:tc>
          <w:tcPr>
            <w:tcW w:type="dxa" w:w="3500"/>
          </w:tcPr>
          <w:p>
            <w:pPr>
              <w:pStyle w:val="TableText"/>
              <w:keepNext/>
              <w:jc w:val="left"/>
            </w:pPr>
            <w:r>
              <w:rPr>
                <w:rFonts w:ascii="Times New Roman" w:hAnsi="Times New Roman" w:cs="Times New Roman" w:eastAsia="Times New Roman"/>
                <w:sz w:val="20"/>
              </w:rPr>
              <w:t xml:space="preserve">12 model configurations on several seeds, held-out test set, fixed main setting (Section 3.9.1)</w:t>
            </w:r>
          </w:p>
        </w:tc>
        <w:tc>
          <w:tcPr>
            <w:tcW w:type="dxa" w:w="1656"/>
          </w:tcPr>
          <w:p>
            <w:pPr>
              <w:pStyle w:val="TableText"/>
              <w:keepNext/>
              <w:jc w:val="left"/>
            </w:pPr>
            <w:r>
              <w:rPr>
                <w:rFonts w:ascii="Times New Roman" w:hAnsi="Times New Roman" w:cs="Times New Roman" w:eastAsia="Times New Roman"/>
                <w:sz w:val="20"/>
              </w:rPr>
              <w:t xml:space="preserve">O8, RQ5, H4</w:t>
            </w:r>
          </w:p>
        </w:tc>
      </w:tr>
      <w:tr>
        <w:trPr>
          <w:cantSplit/>
        </w:trPr>
        <w:tc>
          <w:tcPr>
            <w:tcW w:type="dxa" w:w="1900"/>
          </w:tcPr>
          <w:p>
            <w:pPr>
              <w:pStyle w:val="TableText"/>
              <w:keepNext/>
              <w:jc w:val="left"/>
            </w:pPr>
            <w:r>
              <w:rPr>
                <w:rFonts w:ascii="Times New Roman" w:hAnsi="Times New Roman" w:cs="Times New Roman" w:eastAsia="Times New Roman"/>
                <w:sz w:val="20"/>
              </w:rPr>
              <w:t xml:space="preserve">Study A: informativeness sweep</w:t>
            </w:r>
          </w:p>
        </w:tc>
        <w:tc>
          <w:tcPr>
            <w:tcW w:type="dxa" w:w="1250"/>
          </w:tcPr>
          <w:p>
            <w:pPr>
              <w:pStyle w:val="TableText"/>
              <w:keepNext/>
              <w:jc w:val="left"/>
            </w:pPr>
            <w:r>
              <w:rPr>
                <w:rFonts w:ascii="Times New Roman" w:hAnsi="Times New Roman" w:cs="Times New Roman" w:eastAsia="Times New Roman"/>
                <w:sz w:val="20"/>
              </w:rPr>
              <w:t xml:space="preserve">Synthetic (current generator)</w:t>
            </w:r>
          </w:p>
        </w:tc>
        <w:tc>
          <w:tcPr>
            <w:tcW w:type="dxa" w:w="3500"/>
          </w:tcPr>
          <w:p>
            <w:pPr>
              <w:pStyle w:val="TableText"/>
              <w:keepNext/>
              <w:jc w:val="left"/>
            </w:pPr>
            <w:r>
              <w:rPr>
                <w:rFonts w:ascii="Times New Roman" w:hAnsi="Times New Roman" w:cs="Times New Roman" w:eastAsia="Times New Roman"/>
                <w:sz w:val="20"/>
              </w:rPr>
              <w:t xml:space="preserve">Sweep of the VEP strength for MRI-only, VEP-only, concatenation and CAFN</w:t>
            </w:r>
          </w:p>
        </w:tc>
        <w:tc>
          <w:tcPr>
            <w:tcW w:type="dxa" w:w="1656"/>
          </w:tcPr>
          <w:p>
            <w:pPr>
              <w:pStyle w:val="TableText"/>
              <w:keepNext/>
              <w:jc w:val="left"/>
            </w:pPr>
            <w:r>
              <w:rPr>
                <w:rFonts w:ascii="Times New Roman" w:hAnsi="Times New Roman" w:cs="Times New Roman" w:eastAsia="Times New Roman"/>
                <w:sz w:val="20"/>
              </w:rPr>
              <w:t xml:space="preserve">O8, RQ5, H4</w:t>
            </w:r>
          </w:p>
        </w:tc>
      </w:tr>
      <w:tr>
        <w:trPr>
          <w:cantSplit/>
        </w:trPr>
        <w:tc>
          <w:tcPr>
            <w:tcW w:type="dxa" w:w="1900"/>
          </w:tcPr>
          <w:p>
            <w:pPr>
              <w:pStyle w:val="TableText"/>
              <w:keepNext/>
              <w:jc w:val="left"/>
            </w:pPr>
            <w:r>
              <w:rPr>
                <w:rFonts w:ascii="Times New Roman" w:hAnsi="Times New Roman" w:cs="Times New Roman" w:eastAsia="Times New Roman"/>
                <w:sz w:val="20"/>
              </w:rPr>
              <w:t xml:space="preserve">Study B: repeated cross-validation, classical and neural</w:t>
            </w:r>
          </w:p>
        </w:tc>
        <w:tc>
          <w:tcPr>
            <w:tcW w:type="dxa" w:w="1250"/>
          </w:tcPr>
          <w:p>
            <w:pPr>
              <w:pStyle w:val="TableText"/>
              <w:keepNext/>
              <w:jc w:val="left"/>
            </w:pPr>
            <w:r>
              <w:rPr>
                <w:rFonts w:ascii="Times New Roman" w:hAnsi="Times New Roman" w:cs="Times New Roman" w:eastAsia="Times New Roman"/>
                <w:sz w:val="20"/>
              </w:rPr>
              <w:t xml:space="preserve">Real cohorts (95 subjects)</w:t>
            </w:r>
          </w:p>
        </w:tc>
        <w:tc>
          <w:tcPr>
            <w:tcW w:type="dxa" w:w="3500"/>
          </w:tcPr>
          <w:p>
            <w:pPr>
              <w:pStyle w:val="TableText"/>
              <w:keepNext/>
              <w:jc w:val="left"/>
            </w:pPr>
            <w:r>
              <w:rPr>
                <w:rFonts w:ascii="Times New Roman" w:hAnsi="Times New Roman" w:cs="Times New Roman" w:eastAsia="Times New Roman"/>
                <w:sz w:val="20"/>
              </w:rPr>
              <w:t xml:space="preserve">5-fold cross-validation, bootstrap intervals, within-cohort permutation tests (Section 3.9.2)</w:t>
            </w:r>
          </w:p>
        </w:tc>
        <w:tc>
          <w:tcPr>
            <w:tcW w:type="dxa" w:w="1656"/>
          </w:tcPr>
          <w:p>
            <w:pPr>
              <w:pStyle w:val="TableText"/>
              <w:keepNext/>
              <w:jc w:val="left"/>
            </w:pPr>
            <w:r>
              <w:rPr>
                <w:rFonts w:ascii="Times New Roman" w:hAnsi="Times New Roman" w:cs="Times New Roman" w:eastAsia="Times New Roman"/>
                <w:sz w:val="20"/>
              </w:rPr>
              <w:t xml:space="preserve">O9, RQ6, H5</w:t>
            </w:r>
          </w:p>
        </w:tc>
      </w:tr>
      <w:tr>
        <w:trPr>
          <w:cantSplit/>
        </w:trPr>
        <w:tc>
          <w:tcPr>
            <w:tcW w:type="dxa" w:w="1900"/>
          </w:tcPr>
          <w:p>
            <w:pPr>
              <w:pStyle w:val="TableText"/>
              <w:jc w:val="left"/>
            </w:pPr>
            <w:r>
              <w:rPr>
                <w:rFonts w:ascii="Times New Roman" w:hAnsi="Times New Roman" w:cs="Times New Roman" w:eastAsia="Times New Roman"/>
                <w:sz w:val="20"/>
              </w:rPr>
              <w:t xml:space="preserve">Study B: pooled and leave-one-cohort-out CAFN</w:t>
            </w:r>
          </w:p>
        </w:tc>
        <w:tc>
          <w:tcPr>
            <w:tcW w:type="dxa" w:w="1250"/>
          </w:tcPr>
          <w:p>
            <w:pPr>
              <w:pStyle w:val="TableText"/>
              <w:jc w:val="left"/>
            </w:pPr>
            <w:r>
              <w:rPr>
                <w:rFonts w:ascii="Times New Roman" w:hAnsi="Times New Roman" w:cs="Times New Roman" w:eastAsia="Times New Roman"/>
                <w:sz w:val="20"/>
              </w:rPr>
              <w:t xml:space="preserve">Real cohorts</w:t>
            </w:r>
          </w:p>
        </w:tc>
        <w:tc>
          <w:tcPr>
            <w:tcW w:type="dxa" w:w="3500"/>
          </w:tcPr>
          <w:p>
            <w:pPr>
              <w:pStyle w:val="TableText"/>
              <w:jc w:val="left"/>
            </w:pPr>
            <w:r>
              <w:rPr>
                <w:rFonts w:ascii="Times New Roman" w:hAnsi="Times New Roman" w:cs="Times New Roman" w:eastAsia="Times New Roman"/>
                <w:sz w:val="20"/>
              </w:rPr>
              <w:t xml:space="preserve">Per-cohort 70/15/15 splits; training on one cohort and testing on the other</w:t>
            </w:r>
          </w:p>
        </w:tc>
        <w:tc>
          <w:tcPr>
            <w:tcW w:type="dxa" w:w="1656"/>
          </w:tcPr>
          <w:p>
            <w:pPr>
              <w:pStyle w:val="TableText"/>
              <w:jc w:val="left"/>
            </w:pPr>
            <w:r>
              <w:rPr>
                <w:rFonts w:ascii="Times New Roman" w:hAnsi="Times New Roman" w:cs="Times New Roman" w:eastAsia="Times New Roman"/>
                <w:sz w:val="20"/>
              </w:rPr>
              <w:t xml:space="preserve">O9, RQ6, H5</w:t>
            </w:r>
          </w:p>
        </w:tc>
      </w:tr>
    </w:tbl>
    <w:p>
      <w:pPr>
        <w:spacing w:after="80" w:line="240" w:lineRule="auto"/>
      </w:pPr>
    </w:p>
    <w:p>
      <w:pPr>
        <w:pStyle w:val="Heading3"/>
      </w:pPr>
      <w:r>
        <w:rPr>
          <w:rFonts w:ascii="Times New Roman" w:hAnsi="Times New Roman" w:cs="Times New Roman" w:eastAsia="Times New Roman"/>
          <w:b/>
          <w:sz w:val="24"/>
        </w:rPr>
        <w:t xml:space="preserve">3.9.1  STUDY A: CONTROLLED SYNTHETIC BENCHMARK</w:t>
      </w:r>
    </w:p>
    <w:p>
      <w:pPr>
        <w:pStyle w:val="BodyJ"/>
      </w:pPr>
      <w:r>
        <w:rPr>
          <w:rFonts w:ascii="Times New Roman" w:hAnsi="Times New Roman" w:cs="Times New Roman" w:eastAsia="Times New Roman"/>
        </w:rPr>
        <w:t xml:space="preserve">Each (setting, seed) draws 144 training, 48 validation and 120 test samples (the test set from a different seed range), with raw volumes of 48 × 56 × 40 voxels standardised to 32³ and 500-point VEPs. The MRI preprocessing is the original one (percentile mask, min–max scaling, centre crop), which preserves the lesion contrast on this generator. Checkpoints are selected on validation balanced accuracy and all reported numbers are on the test set. The main setting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 1.0,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 0.3) was fixed from a pilot that trained only the two unimodal models over a grid of VEP strengths and chose the difficulty at which both were clearly above chance and below saturation; it was not tuned on CAFN. Twelve model configurations (Table 3.9) are trained on 4 to 7 seeds each (Table 5.9): the full CAFN, five single-component ablations, a two-block fusion, a v1-style configuration with all new components off, and the fusion baselines of the literature. A sweep over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with the MRI strength fixed, compares MRI-only, VEP-only, concatenation and CAFN with 2 seeds per point. Training uses AdamW with batch size 16 and at most 40 epochs with early stopping (Section 4.6). Differences between configurations are paired over seeds.</w:t>
      </w:r>
    </w:p>
    <w:p>
      <w:pPr>
        <w:pStyle w:val="Caption"/>
        <w:keepNext/>
        <w:spacing w:before="160" w:after="80"/>
      </w:pPr>
      <w:bookmarkStart w:id="1019" w:name="_Ref_Table_3_9"/>
      <w:r>
        <w:rPr>
          <w:rFonts w:ascii="Times New Roman" w:hAnsi="Times New Roman" w:cs="Times New Roman" w:eastAsia="Times New Roman"/>
          <w:b/>
          <w:sz w:val="22"/>
        </w:rPr>
        <w:t xml:space="preserve">Table 3.9: </w:t>
      </w:r>
      <w:r>
        <w:rPr>
          <w:rFonts w:ascii="Times New Roman" w:hAnsi="Times New Roman" w:cs="Times New Roman" w:eastAsia="Times New Roman"/>
          <w:sz w:val="22"/>
        </w:rPr>
        <w:t xml:space="preserve">Model configurations of Study A. All share the encoders, the auxiliary loss and the training recipe unless stated.</w:t>
      </w:r>
      <w:bookmarkEnd w:id="1019"/>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900"/>
        <w:gridCol w:w="3400"/>
        <w:gridCol w:w="3006"/>
      </w:tblGrid>
      <w:tr>
        <w:trPr>
          <w:cantSplit/>
          <w:tblHeader/>
        </w:trPr>
        <w:tc>
          <w:tcPr>
            <w:tcW w:type="dxa" w:w="1900"/>
            <w:shd w:val="clear" w:color="auto" w:fill="D9D9D9"/>
          </w:tcPr>
          <w:p>
            <w:pPr>
              <w:pStyle w:val="TableText"/>
              <w:keepNext/>
              <w:jc w:val="left"/>
            </w:pPr>
            <w:r>
              <w:rPr>
                <w:rFonts w:ascii="Times New Roman" w:hAnsi="Times New Roman" w:cs="Times New Roman" w:eastAsia="Times New Roman"/>
                <w:b/>
                <w:sz w:val="20"/>
              </w:rPr>
              <w:t xml:space="preserve">Configuration</w:t>
            </w:r>
          </w:p>
        </w:tc>
        <w:tc>
          <w:tcPr>
            <w:tcW w:type="dxa" w:w="3400"/>
            <w:shd w:val="clear" w:color="auto" w:fill="D9D9D9"/>
          </w:tcPr>
          <w:p>
            <w:pPr>
              <w:pStyle w:val="TableText"/>
              <w:keepNext/>
              <w:jc w:val="left"/>
            </w:pPr>
            <w:r>
              <w:rPr>
                <w:rFonts w:ascii="Times New Roman" w:hAnsi="Times New Roman" w:cs="Times New Roman" w:eastAsia="Times New Roman"/>
                <w:b/>
                <w:sz w:val="20"/>
              </w:rPr>
              <w:t xml:space="preserve">Change relative to the full CAFN</w:t>
            </w:r>
          </w:p>
        </w:tc>
        <w:tc>
          <w:tcPr>
            <w:tcW w:type="dxa" w:w="3006"/>
            <w:shd w:val="clear" w:color="auto" w:fill="D9D9D9"/>
          </w:tcPr>
          <w:p>
            <w:pPr>
              <w:pStyle w:val="TableText"/>
              <w:keepNext/>
              <w:jc w:val="left"/>
            </w:pPr>
            <w:r>
              <w:rPr>
                <w:rFonts w:ascii="Times New Roman" w:hAnsi="Times New Roman" w:cs="Times New Roman" w:eastAsia="Times New Roman"/>
                <w:b/>
                <w:sz w:val="20"/>
              </w:rPr>
              <w:t xml:space="preserve">Setting</w:t>
            </w:r>
          </w:p>
        </w:tc>
      </w:tr>
      <w:tr>
        <w:trPr>
          <w:cantSplit/>
        </w:trPr>
        <w:tc>
          <w:tcPr>
            <w:tcW w:type="dxa" w:w="1900"/>
          </w:tcPr>
          <w:p>
            <w:pPr>
              <w:pStyle w:val="TableText"/>
              <w:keepNext/>
              <w:jc w:val="left"/>
            </w:pPr>
            <w:r>
              <w:rPr>
                <w:rFonts w:ascii="Times New Roman" w:hAnsi="Times New Roman" w:cs="Times New Roman" w:eastAsia="Times New Roman"/>
                <w:sz w:val="20"/>
              </w:rPr>
              <w:t xml:space="preserve">CAFN (full)</w:t>
            </w:r>
          </w:p>
        </w:tc>
        <w:tc>
          <w:tcPr>
            <w:tcW w:type="dxa" w:w="3400"/>
          </w:tcPr>
          <w:p>
            <w:pPr>
              <w:pStyle w:val="TableText"/>
              <w:keepNext/>
              <w:jc w:val="left"/>
            </w:pPr>
            <w:r>
              <w:rPr>
                <w:rFonts w:ascii="Times New Roman" w:hAnsi="Times New Roman" w:cs="Times New Roman" w:eastAsia="Times New Roman"/>
                <w:sz w:val="20"/>
              </w:rPr>
              <w:t xml:space="preserve">Gated bidirectional cross-attention, positional embeddings, attention pooling, SE blocks, auxiliary loss (λ = 0.3)</w:t>
            </w:r>
          </w:p>
        </w:tc>
        <w:tc>
          <w:tcPr>
            <w:tcW w:type="dxa" w:w="3006"/>
          </w:tcPr>
          <w:p>
            <w:pPr>
              <w:pStyle w:val="TableText"/>
              <w:keepNext/>
              <w:jc w:val="left"/>
            </w:pPr>
            <w:r>
              <w:rPr>
                <w:rFonts w:ascii="Times New Roman" w:hAnsi="Times New Roman" w:cs="Times New Roman" w:eastAsia="Times New Roman"/>
                <w:sz w:val="20"/>
              </w:rPr>
              <w:t xml:space="preserve">defaults</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bidirectional</w:t>
            </w:r>
          </w:p>
        </w:tc>
        <w:tc>
          <w:tcPr>
            <w:tcW w:type="dxa" w:w="3400"/>
          </w:tcPr>
          <w:p>
            <w:pPr>
              <w:pStyle w:val="TableText"/>
              <w:keepNext/>
              <w:jc w:val="left"/>
            </w:pPr>
            <w:r>
              <w:rPr>
                <w:rFonts w:ascii="Times New Roman" w:hAnsi="Times New Roman" w:cs="Times New Roman" w:eastAsia="Times New Roman"/>
                <w:sz w:val="20"/>
              </w:rPr>
              <w:t xml:space="preserve">One-way fusion (spatial tokens query temporal tokens)</w:t>
            </w:r>
          </w:p>
        </w:tc>
        <w:tc>
          <w:tcPr>
            <w:tcW w:type="dxa" w:w="3006"/>
          </w:tcPr>
          <w:p>
            <w:pPr>
              <w:pStyle w:val="TableText"/>
              <w:keepNext/>
              <w:jc w:val="left"/>
            </w:pPr>
            <w:r>
              <w:rPr>
                <w:rFonts w:ascii="Courier New" w:hAnsi="Courier New" w:cs="Courier New" w:eastAsia="Courier New"/>
                <w:sz w:val="20"/>
              </w:rPr>
              <w:t xml:space="preserve">fusion="cross"</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positional enc.</w:t>
            </w:r>
          </w:p>
        </w:tc>
        <w:tc>
          <w:tcPr>
            <w:tcW w:type="dxa" w:w="3400"/>
          </w:tcPr>
          <w:p>
            <w:pPr>
              <w:pStyle w:val="TableText"/>
              <w:keepNext/>
              <w:jc w:val="left"/>
            </w:pPr>
            <w:r>
              <w:rPr>
                <w:rFonts w:ascii="Times New Roman" w:hAnsi="Times New Roman" w:cs="Times New Roman" w:eastAsia="Times New Roman"/>
                <w:sz w:val="20"/>
              </w:rPr>
              <w:t xml:space="preserve">No positional embeddings</w:t>
            </w:r>
          </w:p>
        </w:tc>
        <w:tc>
          <w:tcPr>
            <w:tcW w:type="dxa" w:w="3006"/>
          </w:tcPr>
          <w:p>
            <w:pPr>
              <w:pStyle w:val="TableText"/>
              <w:keepNext/>
              <w:jc w:val="left"/>
            </w:pPr>
            <w:r>
              <w:rPr>
                <w:rFonts w:ascii="Courier New" w:hAnsi="Courier New" w:cs="Courier New" w:eastAsia="Courier New"/>
                <w:sz w:val="20"/>
              </w:rPr>
              <w:t xml:space="preserve">pos_encoding=False</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attention pooling</w:t>
            </w:r>
          </w:p>
        </w:tc>
        <w:tc>
          <w:tcPr>
            <w:tcW w:type="dxa" w:w="3400"/>
          </w:tcPr>
          <w:p>
            <w:pPr>
              <w:pStyle w:val="TableText"/>
              <w:keepNext/>
              <w:jc w:val="left"/>
            </w:pPr>
            <w:r>
              <w:rPr>
                <w:rFonts w:ascii="Times New Roman" w:hAnsi="Times New Roman" w:cs="Times New Roman" w:eastAsia="Times New Roman"/>
                <w:sz w:val="20"/>
              </w:rPr>
              <w:t xml:space="preserve">Mean pooling of the fused tokens</w:t>
            </w:r>
          </w:p>
        </w:tc>
        <w:tc>
          <w:tcPr>
            <w:tcW w:type="dxa" w:w="3006"/>
          </w:tcPr>
          <w:p>
            <w:pPr>
              <w:pStyle w:val="TableText"/>
              <w:keepNext/>
              <w:jc w:val="left"/>
            </w:pPr>
            <w:r>
              <w:rPr>
                <w:rFonts w:ascii="Courier New" w:hAnsi="Courier New" w:cs="Courier New" w:eastAsia="Courier New"/>
                <w:sz w:val="20"/>
              </w:rPr>
              <w:t xml:space="preserve">pooling="mean"</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SE blocks</w:t>
            </w:r>
          </w:p>
        </w:tc>
        <w:tc>
          <w:tcPr>
            <w:tcW w:type="dxa" w:w="3400"/>
          </w:tcPr>
          <w:p>
            <w:pPr>
              <w:pStyle w:val="TableText"/>
              <w:keepNext/>
              <w:jc w:val="left"/>
            </w:pPr>
            <w:r>
              <w:rPr>
                <w:rFonts w:ascii="Times New Roman" w:hAnsi="Times New Roman" w:cs="Times New Roman" w:eastAsia="Times New Roman"/>
                <w:sz w:val="20"/>
              </w:rPr>
              <w:t xml:space="preserve">Plain residual blocks</w:t>
            </w:r>
          </w:p>
        </w:tc>
        <w:tc>
          <w:tcPr>
            <w:tcW w:type="dxa" w:w="3006"/>
          </w:tcPr>
          <w:p>
            <w:pPr>
              <w:pStyle w:val="TableText"/>
              <w:keepNext/>
              <w:jc w:val="left"/>
            </w:pPr>
            <w:r>
              <w:rPr>
                <w:rFonts w:ascii="Courier New" w:hAnsi="Courier New" w:cs="Courier New" w:eastAsia="Courier New"/>
                <w:sz w:val="20"/>
              </w:rPr>
              <w:t xml:space="preserve">se_reduction=None</w:t>
            </w:r>
          </w:p>
        </w:tc>
      </w:tr>
      <w:tr>
        <w:trPr>
          <w:cantSplit/>
        </w:trPr>
        <w:tc>
          <w:tcPr>
            <w:tcW w:type="dxa" w:w="1900"/>
          </w:tcPr>
          <w:p>
            <w:pPr>
              <w:pStyle w:val="TableText"/>
              <w:keepNext/>
              <w:jc w:val="left"/>
            </w:pPr>
            <w:r>
              <w:rPr>
                <w:rFonts w:ascii="Times New Roman" w:hAnsi="Times New Roman" w:cs="Times New Roman" w:eastAsia="Times New Roman"/>
                <w:sz w:val="20"/>
              </w:rPr>
              <w:t xml:space="preserve">w/o auxiliary loss</w:t>
            </w:r>
          </w:p>
        </w:tc>
        <w:tc>
          <w:tcPr>
            <w:tcW w:type="dxa" w:w="3400"/>
          </w:tcPr>
          <w:p>
            <w:pPr>
              <w:pStyle w:val="TableText"/>
              <w:keepNext/>
              <w:jc w:val="left"/>
            </w:pPr>
            <w:r>
              <w:rPr>
                <w:rFonts w:ascii="Times New Roman" w:hAnsi="Times New Roman" w:cs="Times New Roman" w:eastAsia="Times New Roman"/>
                <w:sz w:val="20"/>
              </w:rPr>
              <w:t xml:space="preserve">No unimodal losses</w:t>
            </w:r>
          </w:p>
        </w:tc>
        <w:tc>
          <w:tcPr>
            <w:tcW w:type="dxa" w:w="3006"/>
          </w:tcPr>
          <w:p>
            <w:pPr>
              <w:pStyle w:val="TableText"/>
              <w:keepNext/>
              <w:jc w:val="left"/>
            </w:pPr>
            <w:r>
              <w:rPr>
                <w:rFonts w:ascii="Times New Roman" w:hAnsi="Times New Roman" w:cs="Times New Roman" w:eastAsia="Times New Roman"/>
                <w:sz w:val="20"/>
              </w:rPr>
              <w:t xml:space="preserve">auxiliary weight 0</w:t>
            </w:r>
          </w:p>
        </w:tc>
      </w:tr>
      <w:tr>
        <w:trPr>
          <w:cantSplit/>
        </w:trPr>
        <w:tc>
          <w:tcPr>
            <w:tcW w:type="dxa" w:w="1900"/>
          </w:tcPr>
          <w:p>
            <w:pPr>
              <w:pStyle w:val="TableText"/>
              <w:keepNext/>
              <w:jc w:val="left"/>
            </w:pPr>
            <w:r>
              <w:rPr>
                <w:rFonts w:ascii="Times New Roman" w:hAnsi="Times New Roman" w:cs="Times New Roman" w:eastAsia="Times New Roman"/>
                <w:sz w:val="20"/>
              </w:rPr>
              <w:t xml:space="preserve">2 fusion blocks</w:t>
            </w:r>
          </w:p>
        </w:tc>
        <w:tc>
          <w:tcPr>
            <w:tcW w:type="dxa" w:w="3400"/>
          </w:tcPr>
          <w:p>
            <w:pPr>
              <w:pStyle w:val="TableText"/>
              <w:keepNext/>
              <w:jc w:val="left"/>
            </w:pPr>
            <w:r>
              <w:rPr>
                <w:rFonts w:ascii="Times New Roman" w:hAnsi="Times New Roman" w:cs="Times New Roman" w:eastAsia="Times New Roman"/>
                <w:sz w:val="20"/>
              </w:rPr>
              <w:t xml:space="preserve">Two stacked fusion blocks</w:t>
            </w:r>
          </w:p>
        </w:tc>
        <w:tc>
          <w:tcPr>
            <w:tcW w:type="dxa" w:w="3006"/>
          </w:tcPr>
          <w:p>
            <w:pPr>
              <w:pStyle w:val="TableText"/>
              <w:keepNext/>
              <w:jc w:val="left"/>
            </w:pPr>
            <w:r>
              <w:rPr>
                <w:rFonts w:ascii="Courier New" w:hAnsi="Courier New" w:cs="Courier New" w:eastAsia="Courier New"/>
                <w:sz w:val="20"/>
              </w:rPr>
              <w:t xml:space="preserve">fusion_blocks=2</w:t>
            </w:r>
          </w:p>
        </w:tc>
      </w:tr>
      <w:tr>
        <w:trPr>
          <w:cantSplit/>
        </w:trPr>
        <w:tc>
          <w:tcPr>
            <w:tcW w:type="dxa" w:w="1900"/>
          </w:tcPr>
          <w:p>
            <w:pPr>
              <w:pStyle w:val="TableText"/>
              <w:keepNext/>
              <w:jc w:val="left"/>
            </w:pPr>
            <w:r>
              <w:rPr>
                <w:rFonts w:ascii="Times New Roman" w:hAnsi="Times New Roman" w:cs="Times New Roman" w:eastAsia="Times New Roman"/>
                <w:sz w:val="20"/>
              </w:rPr>
              <w:t xml:space="preserve">v1-style (all off)</w:t>
            </w:r>
          </w:p>
        </w:tc>
        <w:tc>
          <w:tcPr>
            <w:tcW w:type="dxa" w:w="3400"/>
          </w:tcPr>
          <w:p>
            <w:pPr>
              <w:pStyle w:val="TableText"/>
              <w:keepNext/>
              <w:jc w:val="left"/>
            </w:pPr>
            <w:r>
              <w:rPr>
                <w:rFonts w:ascii="Times New Roman" w:hAnsi="Times New Roman" w:cs="Times New Roman" w:eastAsia="Times New Roman"/>
                <w:sz w:val="20"/>
              </w:rPr>
              <w:t xml:space="preserve">One-way fusion, no positional embeddings, mean pooling, no SE</w:t>
            </w:r>
          </w:p>
        </w:tc>
        <w:tc>
          <w:tcPr>
            <w:tcW w:type="dxa" w:w="3006"/>
          </w:tcPr>
          <w:p>
            <w:pPr>
              <w:pStyle w:val="TableText"/>
              <w:keepNext/>
              <w:jc w:val="left"/>
            </w:pPr>
            <w:r>
              <w:rPr>
                <w:rFonts w:ascii="Courier New" w:hAnsi="Courier New" w:cs="Courier New" w:eastAsia="Courier New"/>
                <w:sz w:val="20"/>
              </w:rPr>
              <w:t xml:space="preserve">fusion="cross"</w:t>
            </w:r>
            <w:r>
              <w:rPr>
                <w:rFonts w:ascii="Times New Roman" w:hAnsi="Times New Roman" w:cs="Times New Roman" w:eastAsia="Times New Roman"/>
                <w:sz w:val="20"/>
              </w:rPr>
              <w:t xml:space="preserve">, </w:t>
            </w:r>
            <w:r>
              <w:rPr>
                <w:rFonts w:ascii="Courier New" w:hAnsi="Courier New" w:cs="Courier New" w:eastAsia="Courier New"/>
                <w:sz w:val="20"/>
              </w:rPr>
              <w:t xml:space="preserve">pos_encoding=False</w:t>
            </w:r>
            <w:r>
              <w:rPr>
                <w:rFonts w:ascii="Times New Roman" w:hAnsi="Times New Roman" w:cs="Times New Roman" w:eastAsia="Times New Roman"/>
                <w:sz w:val="20"/>
              </w:rPr>
              <w:t xml:space="preserve">, </w:t>
            </w:r>
            <w:r>
              <w:rPr>
                <w:rFonts w:ascii="Courier New" w:hAnsi="Courier New" w:cs="Courier New" w:eastAsia="Courier New"/>
                <w:sz w:val="20"/>
              </w:rPr>
              <w:t xml:space="preserve">pooling="mean"</w:t>
            </w:r>
            <w:r>
              <w:rPr>
                <w:rFonts w:ascii="Times New Roman" w:hAnsi="Times New Roman" w:cs="Times New Roman" w:eastAsia="Times New Roman"/>
                <w:sz w:val="20"/>
              </w:rPr>
              <w:t xml:space="preserve">, </w:t>
            </w:r>
            <w:r>
              <w:rPr>
                <w:rFonts w:ascii="Courier New" w:hAnsi="Courier New" w:cs="Courier New" w:eastAsia="Courier New"/>
                <w:sz w:val="20"/>
              </w:rPr>
              <w:t xml:space="preserve">se_reduction=None</w:t>
            </w:r>
          </w:p>
        </w:tc>
      </w:tr>
      <w:tr>
        <w:trPr>
          <w:cantSplit/>
        </w:trPr>
        <w:tc>
          <w:tcPr>
            <w:tcW w:type="dxa" w:w="1900"/>
          </w:tcPr>
          <w:p>
            <w:pPr>
              <w:pStyle w:val="TableText"/>
              <w:keepNext/>
              <w:jc w:val="left"/>
            </w:pPr>
            <w:r>
              <w:rPr>
                <w:rFonts w:ascii="Times New Roman" w:hAnsi="Times New Roman" w:cs="Times New Roman" w:eastAsia="Times New Roman"/>
                <w:sz w:val="20"/>
              </w:rPr>
              <w:t xml:space="preserve">Concatenation</w:t>
            </w:r>
          </w:p>
        </w:tc>
        <w:tc>
          <w:tcPr>
            <w:tcW w:type="dxa" w:w="3400"/>
          </w:tcPr>
          <w:p>
            <w:pPr>
              <w:pStyle w:val="TableText"/>
              <w:keepNext/>
              <w:jc w:val="left"/>
            </w:pPr>
            <w:r>
              <w:rPr>
                <w:rFonts w:ascii="Times New Roman" w:hAnsi="Times New Roman" w:cs="Times New Roman" w:eastAsia="Times New Roman"/>
                <w:sz w:val="20"/>
              </w:rPr>
              <w:t xml:space="preserve">Mean-pooled streams concatenated and projected</w:t>
            </w:r>
          </w:p>
        </w:tc>
        <w:tc>
          <w:tcPr>
            <w:tcW w:type="dxa" w:w="3006"/>
          </w:tcPr>
          <w:p>
            <w:pPr>
              <w:pStyle w:val="TableText"/>
              <w:keepNext/>
              <w:jc w:val="left"/>
            </w:pPr>
            <w:r>
              <w:rPr>
                <w:rFonts w:ascii="Courier New" w:hAnsi="Courier New" w:cs="Courier New" w:eastAsia="Courier New"/>
                <w:sz w:val="20"/>
              </w:rPr>
              <w:t xml:space="preserve">fusion="concat"</w:t>
            </w:r>
          </w:p>
        </w:tc>
      </w:tr>
      <w:tr>
        <w:trPr>
          <w:cantSplit/>
        </w:trPr>
        <w:tc>
          <w:tcPr>
            <w:tcW w:type="dxa" w:w="1900"/>
          </w:tcPr>
          <w:p>
            <w:pPr>
              <w:pStyle w:val="TableText"/>
              <w:keepNext/>
              <w:jc w:val="left"/>
            </w:pPr>
            <w:r>
              <w:rPr>
                <w:rFonts w:ascii="Times New Roman" w:hAnsi="Times New Roman" w:cs="Times New Roman" w:eastAsia="Times New Roman"/>
                <w:sz w:val="20"/>
              </w:rPr>
              <w:t xml:space="preserve">Element-wise sum</w:t>
            </w:r>
          </w:p>
        </w:tc>
        <w:tc>
          <w:tcPr>
            <w:tcW w:type="dxa" w:w="3400"/>
          </w:tcPr>
          <w:p>
            <w:pPr>
              <w:pStyle w:val="TableText"/>
              <w:keepNext/>
              <w:jc w:val="left"/>
            </w:pPr>
            <w:r>
              <w:rPr>
                <w:rFonts w:ascii="Times New Roman" w:hAnsi="Times New Roman" w:cs="Times New Roman" w:eastAsia="Times New Roman"/>
                <w:sz w:val="20"/>
              </w:rPr>
              <w:t xml:space="preserve">Mean-pooled streams added</w:t>
            </w:r>
          </w:p>
        </w:tc>
        <w:tc>
          <w:tcPr>
            <w:tcW w:type="dxa" w:w="3006"/>
          </w:tcPr>
          <w:p>
            <w:pPr>
              <w:pStyle w:val="TableText"/>
              <w:keepNext/>
              <w:jc w:val="left"/>
            </w:pPr>
            <w:r>
              <w:rPr>
                <w:rFonts w:ascii="Courier New" w:hAnsi="Courier New" w:cs="Courier New" w:eastAsia="Courier New"/>
                <w:sz w:val="20"/>
              </w:rPr>
              <w:t xml:space="preserve">fusion="sum"</w:t>
            </w:r>
          </w:p>
        </w:tc>
      </w:tr>
      <w:tr>
        <w:trPr>
          <w:cantSplit/>
        </w:trPr>
        <w:tc>
          <w:tcPr>
            <w:tcW w:type="dxa" w:w="1900"/>
          </w:tcPr>
          <w:p>
            <w:pPr>
              <w:pStyle w:val="TableText"/>
              <w:keepNext/>
              <w:jc w:val="left"/>
            </w:pPr>
            <w:r>
              <w:rPr>
                <w:rFonts w:ascii="Times New Roman" w:hAnsi="Times New Roman" w:cs="Times New Roman" w:eastAsia="Times New Roman"/>
                <w:sz w:val="20"/>
              </w:rPr>
              <w:t xml:space="preserve">MRI only</w:t>
            </w:r>
          </w:p>
        </w:tc>
        <w:tc>
          <w:tcPr>
            <w:tcW w:type="dxa" w:w="3400"/>
          </w:tcPr>
          <w:p>
            <w:pPr>
              <w:pStyle w:val="TableText"/>
              <w:keepNext/>
              <w:jc w:val="left"/>
            </w:pPr>
            <w:r>
              <w:rPr>
                <w:rFonts w:ascii="Times New Roman" w:hAnsi="Times New Roman" w:cs="Times New Roman" w:eastAsia="Times New Roman"/>
                <w:sz w:val="20"/>
              </w:rPr>
              <w:t xml:space="preserve">The fused head reads the spatial stream only</w:t>
            </w:r>
          </w:p>
        </w:tc>
        <w:tc>
          <w:tcPr>
            <w:tcW w:type="dxa" w:w="3006"/>
          </w:tcPr>
          <w:p>
            <w:pPr>
              <w:pStyle w:val="TableText"/>
              <w:keepNext/>
              <w:jc w:val="left"/>
            </w:pPr>
            <w:r>
              <w:rPr>
                <w:rFonts w:ascii="Courier New" w:hAnsi="Courier New" w:cs="Courier New" w:eastAsia="Courier New"/>
                <w:sz w:val="20"/>
              </w:rPr>
              <w:t xml:space="preserve">fusion="mri_only"</w:t>
            </w:r>
          </w:p>
        </w:tc>
      </w:tr>
      <w:tr>
        <w:trPr>
          <w:cantSplit/>
        </w:trPr>
        <w:tc>
          <w:tcPr>
            <w:tcW w:type="dxa" w:w="1900"/>
          </w:tcPr>
          <w:p>
            <w:pPr>
              <w:pStyle w:val="TableText"/>
              <w:jc w:val="left"/>
            </w:pPr>
            <w:r>
              <w:rPr>
                <w:rFonts w:ascii="Times New Roman" w:hAnsi="Times New Roman" w:cs="Times New Roman" w:eastAsia="Times New Roman"/>
                <w:sz w:val="20"/>
              </w:rPr>
              <w:t xml:space="preserve">VEP only</w:t>
            </w:r>
          </w:p>
        </w:tc>
        <w:tc>
          <w:tcPr>
            <w:tcW w:type="dxa" w:w="3400"/>
          </w:tcPr>
          <w:p>
            <w:pPr>
              <w:pStyle w:val="TableText"/>
              <w:jc w:val="left"/>
            </w:pPr>
            <w:r>
              <w:rPr>
                <w:rFonts w:ascii="Times New Roman" w:hAnsi="Times New Roman" w:cs="Times New Roman" w:eastAsia="Times New Roman"/>
                <w:sz w:val="20"/>
              </w:rPr>
              <w:t xml:space="preserve">The fused head reads the temporal stream only</w:t>
            </w:r>
          </w:p>
        </w:tc>
        <w:tc>
          <w:tcPr>
            <w:tcW w:type="dxa" w:w="3006"/>
          </w:tcPr>
          <w:p>
            <w:pPr>
              <w:pStyle w:val="TableText"/>
              <w:jc w:val="left"/>
            </w:pPr>
            <w:r>
              <w:rPr>
                <w:rFonts w:ascii="Courier New" w:hAnsi="Courier New" w:cs="Courier New" w:eastAsia="Courier New"/>
                <w:sz w:val="20"/>
              </w:rPr>
              <w:t xml:space="preserve">fusion="vep_only"</w:t>
            </w:r>
          </w:p>
        </w:tc>
      </w:tr>
    </w:tbl>
    <w:p>
      <w:pPr>
        <w:spacing w:after="80" w:line="240" w:lineRule="auto"/>
      </w:pPr>
    </w:p>
    <w:p>
      <w:pPr>
        <w:pStyle w:val="Heading3"/>
      </w:pPr>
      <w:r>
        <w:rPr>
          <w:rFonts w:ascii="Times New Roman" w:hAnsi="Times New Roman" w:cs="Times New Roman" w:eastAsia="Times New Roman"/>
          <w:b/>
          <w:sz w:val="24"/>
        </w:rPr>
        <w:t xml:space="preserve">3.9.2  STUDY B: REAL COHORTS</w:t>
      </w:r>
    </w:p>
    <w:p>
      <w:pPr>
        <w:pStyle w:val="BodyJ"/>
      </w:pPr>
      <w:r>
        <w:rPr>
          <w:rFonts w:ascii="Times New Roman" w:hAnsi="Times New Roman" w:cs="Times New Roman" w:eastAsia="Times New Roman"/>
        </w:rPr>
        <w:t xml:space="preserve">Study B uses the two cohorts of Table 3.4 (95 subjects with both modalities) and three protocols. </w:t>
      </w:r>
      <w:r>
        <w:rPr>
          <w:rFonts w:ascii="Times New Roman" w:hAnsi="Times New Roman" w:cs="Times New Roman" w:eastAsia="Times New Roman"/>
          <w:i/>
        </w:rPr>
        <w:t xml:space="preserve">Pooled and leave-one-cohort-out training.</w:t>
      </w:r>
      <w:r>
        <w:rPr>
          <w:rFonts w:ascii="Times New Roman" w:hAnsi="Times New Roman" w:cs="Times New Roman" w:eastAsia="Times New Roman"/>
        </w:rPr>
        <w:t xml:space="preserve"> Each cohort is split 70/15/15 into training, validation and test subjects, stratified by label. The pooled model trains on the union of the training splits, selects its checkpoint on the union of the validation splits and is reported separately for every cohort and for the pool. In leave-one-cohort-out (LODO) training the model is trained on one cohort and tested on every subject of the other. These runs use 64³ MRI volumes and are repeated three times (seeds 42, 43 and 44). Context baselines are computed on the same splits: logistic regression on the 500-point spectrum, the unimodal auxiliary heads, chance, and a cohort-identity probe that asks whether the spectrum alone can tell which cohort a subject belongs to.</w:t>
      </w:r>
    </w:p>
    <w:p>
      <w:pPr>
        <w:pStyle w:val="BodyJ"/>
      </w:pPr>
      <w:r>
        <w:rPr>
          <w:rFonts w:ascii="Times New Roman" w:hAnsi="Times New Roman" w:cs="Times New Roman" w:eastAsia="Times New Roman"/>
          <w:i/>
        </w:rPr>
        <w:t xml:space="preserve">Repeated cross-validation.</w:t>
      </w:r>
      <w:r>
        <w:rPr>
          <w:rFonts w:ascii="Times New Roman" w:hAnsi="Times New Roman" w:cs="Times New Roman" w:eastAsia="Times New Roman"/>
        </w:rPr>
        <w:t xml:space="preserve"> The per-cohort test splits contain about seven subjects, which cannot separate skill from luck. Every subject is therefore also predicted out-of-fold in 5-fold cross-validation stratified on cohort and label, repeated five times for the classical models and once for the neural models, so that the metrics use all 95 subjects. The classical baselines are logistic regression on the 500-point spectrum, on five band powers (delta 1–4, theta 4–8, alpha 8–13, beta 13–30 and gamma 30–45 Hz) and on PCA-reduced MRI (8³ voxels reduced to 20 components), a random forest on band powers, and MRI plus band powers; classical models are also evaluated with leave-one-cohort-out. The neural variants (CAFN, concatenation, MRI only, spectrum only) use a regularised configuration fixed in advance (</w:t>
      </w:r>
      <w:r>
        <w:rPr>
          <w:rFonts w:ascii="Times New Roman" w:hAnsi="Times New Roman" w:cs="Times New Roman" w:eastAsia="Times New Roman"/>
          <w:i/>
        </w:rPr>
        <w:t xml:space="preserve">d</w:t>
      </w:r>
      <w:r>
        <w:rPr>
          <w:rFonts w:ascii="Times New Roman" w:hAnsi="Times New Roman" w:cs="Times New Roman" w:eastAsia="Times New Roman"/>
          <w:vertAlign w:val="subscript"/>
        </w:rPr>
        <w:t xml:space="preserve">model</w:t>
      </w:r>
      <w:r>
        <w:rPr>
          <w:rFonts w:ascii="Times New Roman" w:hAnsi="Times New Roman" w:cs="Times New Roman" w:eastAsia="Times New Roman"/>
        </w:rPr>
        <w:t xml:space="preserve"> = 64, dropout 0.3, weight decay 10⁻²) with 32³ MRI volumes.</w:t>
      </w:r>
    </w:p>
    <w:p>
      <w:pPr>
        <w:pStyle w:val="BodyJ"/>
      </w:pPr>
      <w:r>
        <w:rPr>
          <w:rFonts w:ascii="Times New Roman" w:hAnsi="Times New Roman" w:cs="Times New Roman" w:eastAsia="Times New Roman"/>
          <w:i/>
        </w:rPr>
        <w:t xml:space="preserve">Statistics.</w:t>
      </w:r>
      <w:r>
        <w:rPr>
          <w:rFonts w:ascii="Times New Roman" w:hAnsi="Times New Roman" w:cs="Times New Roman" w:eastAsia="Times New Roman"/>
        </w:rPr>
        <w:t xml:space="preserve"> The metrics are ROC-AUC and balanced accuracy, with a 1000-resample bootstrap 95% interval over subjects and a 200-permutation test that shuffles the labels within each cohort. Permuting within cohorts preserves each cohort's base rate, so that a cohort-identity shortcut cannot by itself produce a significant result.</w:t>
      </w:r>
    </w:p>
    <w:p>
      <w:pPr>
        <w:pStyle w:val="Heading3"/>
      </w:pPr>
      <w:r>
        <w:rPr>
          <w:rFonts w:ascii="Times New Roman" w:hAnsi="Times New Roman" w:cs="Times New Roman" w:eastAsia="Times New Roman"/>
          <w:b/>
          <w:sz w:val="24"/>
        </w:rPr>
        <w:t xml:space="preserve">3.9.3  METRICS AND REPORTING</w:t>
      </w:r>
    </w:p>
    <w:p>
      <w:pPr>
        <w:pStyle w:val="BodyJ"/>
      </w:pPr>
      <w:r>
        <w:rPr>
          <w:rFonts w:ascii="Times New Roman" w:hAnsi="Times New Roman" w:cs="Times New Roman" w:eastAsia="Times New Roman"/>
        </w:rPr>
        <w:t xml:space="preserve">Accuracy, macro-F1 and balanced accuracy are reported for the three-class synthetic task, and ROC-AUC and balanced accuracy for the binary real task (chance level for balanced accuracy is 0.33 and 0.50 respectively). Every number comes from data that were used neither for training nor for checkpoint selection. Metrics are labelled synthetic or real-cohort wherever they appear, and they are never presented as diagnostic ability: on the synthetic task they are the outcome of a controlled comparison between architectures on a generator designed to be separable, and on the real cohorts they test a pipeline on disorders other than the target ones. Because the real cohorts are small, confidence intervals and permutation p-values accompany the real-cohort metrics.</w:t>
      </w:r>
    </w:p>
    <w:p>
      <w:pPr>
        <w:pStyle w:val="Heading1"/>
      </w:pPr>
      <w:r>
        <w:rPr>
          <w:rFonts w:ascii="Times New Roman" w:hAnsi="Times New Roman" w:cs="Times New Roman" w:eastAsia="Times New Roman"/>
          <w:b/>
          <w:sz w:val="24"/>
        </w:rPr>
        <w:t>CHAPTER 4</w:t>
        <w:br/>
      </w:r>
      <w:r>
        <w:rPr>
          <w:rFonts w:ascii="Times New Roman" w:hAnsi="Times New Roman" w:cs="Times New Roman" w:eastAsia="Times New Roman"/>
          <w:b/>
          <w:sz w:val="32"/>
        </w:rPr>
        <w:t>SYSTEM DESIGN AND IMPLEMENTATION</w:t>
      </w:r>
    </w:p>
    <w:p>
      <w:pPr>
        <w:pStyle w:val="Heading2"/>
      </w:pPr>
      <w:r>
        <w:rPr>
          <w:rFonts w:ascii="Times New Roman" w:hAnsi="Times New Roman" w:cs="Times New Roman" w:eastAsia="Times New Roman"/>
          <w:b/>
          <w:sz w:val="28"/>
        </w:rPr>
        <w:t>4.1  ARCHITECTURE OVERVIEW</w:t>
      </w:r>
    </w:p>
    <w:p>
      <w:pPr>
        <w:pStyle w:val="BodyJ"/>
      </w:pPr>
      <w:r>
        <w:rPr>
          <w:rFonts w:ascii="Times New Roman" w:hAnsi="Times New Roman" w:cs="Times New Roman" w:eastAsia="Times New Roman"/>
        </w:rPr>
        <w:t xml:space="preserve">The Cross-Attention Fusion Network (CAFN), implemented in </w:t>
      </w:r>
      <w:r>
        <w:rPr>
          <w:rFonts w:ascii="Courier New" w:hAnsi="Courier New" w:cs="Courier New" w:eastAsia="Courier New"/>
        </w:rPr>
        <w:t xml:space="preserve">src/models/cafn.py</w:t>
      </w:r>
      <w:r>
        <w:rPr>
          <w:rFonts w:ascii="Times New Roman" w:hAnsi="Times New Roman" w:cs="Times New Roman" w:eastAsia="Times New Roman"/>
        </w:rPr>
        <w:t>, has three parts (Figure 4.1): two modality-specific encoders that turn each input into a sequence of 128-dimensional tokens (a 3D residual encoder with squeeze-and-excitation gates and a multi-scale 1D encoder), a gated bidirectional cross-attention fusion module in which each stream queries the other, and three linear classification heads (fused, spatial-auxiliary and temporal-auxiliary); the fused head reads a learned attention pool of the fused spatial tokens. Learned positional information is added to both token streams before fusion. This is the v2/v3 design. The original v1 prototype (one-way fusion, mean pooling, no positional information) remains available as a configuration, which allows like-for-like ablations (Chapter 5). Table 4.1 lists what changed.</w:t>
      </w:r>
    </w:p>
    <w:p>
      <w:pPr>
        <w:keepNext/>
        <w:spacing w:before="120" w:after="40" w:line="240" w:lineRule="auto"/>
        <w:jc w:val="center"/>
      </w:pPr>
      <w:r>
        <w:drawing>
          <wp:inline xmlns:a="http://schemas.openxmlformats.org/drawingml/2006/main" xmlns:pic="http://schemas.openxmlformats.org/drawingml/2006/picture">
            <wp:extent cx="5112000" cy="2417837"/>
            <wp:docPr id="35" name="Picture 35"/>
            <wp:cNvGraphicFramePr>
              <a:graphicFrameLocks noChangeAspect="1"/>
            </wp:cNvGraphicFramePr>
            <a:graphic>
              <a:graphicData uri="http://schemas.openxmlformats.org/drawingml/2006/picture">
                <pic:pic>
                  <pic:nvPicPr>
                    <pic:cNvPr id="0" name="fig_arch_v2.png"/>
                    <pic:cNvPicPr/>
                  </pic:nvPicPr>
                  <pic:blipFill>
                    <a:blip r:embed="rId43"/>
                    <a:stretch>
                      <a:fillRect/>
                    </a:stretch>
                  </pic:blipFill>
                  <pic:spPr>
                    <a:xfrm>
                      <a:off x="0" y="0"/>
                      <a:ext cx="5112000" cy="2417837"/>
                    </a:xfrm>
                    <a:prstGeom prst="rect"/>
                  </pic:spPr>
                </pic:pic>
              </a:graphicData>
            </a:graphic>
          </wp:inline>
        </w:drawing>
      </w:r>
    </w:p>
    <w:p>
      <w:pPr>
        <w:pStyle w:val="Caption"/>
      </w:pPr>
      <w:bookmarkStart w:id="1020" w:name="_Ref_Figure_4_1"/>
      <w:r>
        <w:rPr>
          <w:rFonts w:ascii="Times New Roman" w:hAnsi="Times New Roman" w:cs="Times New Roman" w:eastAsia="Times New Roman"/>
          <w:b/>
          <w:sz w:val="22"/>
        </w:rPr>
        <w:t xml:space="preserve">Figure 4.1: </w:t>
      </w:r>
      <w:r>
        <w:rPr>
          <w:rFonts w:ascii="Times New Roman" w:hAnsi="Times New Roman" w:cs="Times New Roman" w:eastAsia="Times New Roman"/>
          <w:sz w:val="22"/>
        </w:rPr>
        <w:t xml:space="preserve">CAFN architecture (v2/v3). Preprocessed MRI and signal streams are encoded into spatial and temporal tokens, exchanged through gated bidirectional cross-attention, pooled by a learned attention pool and classified; two auxiliary heads read the unimodal tokens. In the real-cohort experiments the 1-D stream is the log power spectrum of the resting recording and the head has two classes.</w:t>
      </w:r>
      <w:bookmarkEnd w:id="1020"/>
    </w:p>
    <w:p>
      <w:pPr>
        <w:pStyle w:val="BodyJ"/>
      </w:pPr>
      <w:r>
        <w:rPr>
          <w:rFonts w:ascii="Times New Roman" w:hAnsi="Times New Roman" w:cs="Times New Roman" w:eastAsia="Times New Roman"/>
        </w:rPr>
        <w:t>Figure 4.2 shows the layer-by-layer structure of the final v2/v3 model with the tensor shape after each operation for a batch of size B. The encoder widths and the token shapes (64 × 128 and 16 × 128) are the same as in the original v1 model.</w:t>
      </w:r>
    </w:p>
    <w:p>
      <w:pPr>
        <w:keepNext/>
        <w:spacing w:before="120" w:after="40" w:line="240" w:lineRule="auto"/>
        <w:jc w:val="center"/>
      </w:pPr>
      <w:r>
        <w:drawing>
          <wp:inline xmlns:a="http://schemas.openxmlformats.org/drawingml/2006/main" xmlns:pic="http://schemas.openxmlformats.org/drawingml/2006/picture">
            <wp:extent cx="4031999" cy="5085780"/>
            <wp:docPr id="17" name="Picture 17"/>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4031999" cy="5085780"/>
                    </a:xfrm>
                    <a:prstGeom prst="rect"/>
                  </pic:spPr>
                </pic:pic>
              </a:graphicData>
            </a:graphic>
          </wp:inline>
        </w:drawing>
      </w:r>
    </w:p>
    <w:p>
      <w:pPr>
        <w:pStyle w:val="Caption"/>
      </w:pPr>
      <w:bookmarkStart w:id="1021" w:name="_Ref_Figure_4_2"/>
      <w:r>
        <w:rPr>
          <w:rFonts w:ascii="Times New Roman" w:hAnsi="Times New Roman" w:cs="Times New Roman" w:eastAsia="Times New Roman"/>
          <w:b/>
          <w:sz w:val="22"/>
        </w:rPr>
        <w:t xml:space="preserve">Figure 4.2: </w:t>
      </w:r>
      <w:r>
        <w:rPr>
          <w:rFonts w:ascii="Times New Roman" w:hAnsi="Times New Roman" w:cs="Times New Roman" w:eastAsia="Times New Roman"/>
          <w:sz w:val="22"/>
        </w:rPr>
        <w:t>CAFN architecture (v2/v3) with tensor shapes (default configuration; B = batch size). The two encoders produce 64 spatial and 16 temporal tokens of width 128, the gated bidirectional fusion updates both, a learned attention pool of the fused spatial tokens feeds the fused head, and two auxiliary heads read the mean-pooled unimodal tokens. The original (v1) design is compared in Table 4.1.</w:t>
      </w:r>
      <w:bookmarkEnd w:id="1021"/>
    </w:p>
    <w:p>
      <w:pPr>
        <w:pStyle w:val="BodyJ"/>
      </w:pPr>
      <w:r>
        <w:rPr>
          <w:rFonts w:ascii="Times New Roman" w:hAnsi="Times New Roman" w:cs="Times New Roman" w:eastAsia="Times New Roman"/>
        </w:rPr>
        <w:t xml:space="preserve">The complete v2/v3 model has 1,955,140 trainable parameters for three classes, about 7.8 MB in 32-bit floating point (Section 5.4); the original v1 model had 1,055,081.</w:t>
      </w:r>
    </w:p>
    <w:p>
      <w:pPr>
        <w:pStyle w:val="Caption"/>
        <w:keepNext/>
        <w:spacing w:before="160" w:after="80"/>
      </w:pPr>
      <w:bookmarkStart w:id="1022" w:name="_Ref_Table_4_1"/>
      <w:r>
        <w:rPr>
          <w:rFonts w:ascii="Times New Roman" w:hAnsi="Times New Roman" w:cs="Times New Roman" w:eastAsia="Times New Roman"/>
          <w:b/>
          <w:sz w:val="22"/>
        </w:rPr>
        <w:t xml:space="preserve">Table 4.1: </w:t>
      </w:r>
      <w:r>
        <w:rPr>
          <w:rFonts w:ascii="Times New Roman" w:hAnsi="Times New Roman" w:cs="Times New Roman" w:eastAsia="Times New Roman"/>
          <w:sz w:val="22"/>
        </w:rPr>
        <w:t xml:space="preserve">Differences between the original prototype (v1) and the final design (v2/v3).</w:t>
      </w:r>
      <w:bookmarkEnd w:id="1022"/>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900"/>
        <w:gridCol w:w="3000"/>
        <w:gridCol w:w="3406"/>
      </w:tblGrid>
      <w:tr>
        <w:trPr>
          <w:cantSplit/>
          <w:tblHeader/>
        </w:trPr>
        <w:tc>
          <w:tcPr>
            <w:tcW w:type="dxa" w:w="1900"/>
            <w:shd w:val="clear" w:color="auto" w:fill="D9D9D9"/>
          </w:tcPr>
          <w:p>
            <w:pPr>
              <w:pStyle w:val="TableText"/>
              <w:keepNext/>
              <w:jc w:val="left"/>
            </w:pPr>
            <w:r>
              <w:rPr>
                <w:rFonts w:ascii="Times New Roman" w:hAnsi="Times New Roman" w:cs="Times New Roman" w:eastAsia="Times New Roman"/>
                <w:b/>
                <w:sz w:val="20"/>
              </w:rPr>
              <w:t xml:space="preserve">Aspect</w:t>
            </w:r>
          </w:p>
        </w:tc>
        <w:tc>
          <w:tcPr>
            <w:tcW w:type="dxa" w:w="3000"/>
            <w:shd w:val="clear" w:color="auto" w:fill="D9D9D9"/>
          </w:tcPr>
          <w:p>
            <w:pPr>
              <w:pStyle w:val="TableText"/>
              <w:keepNext/>
              <w:jc w:val="left"/>
            </w:pPr>
            <w:r>
              <w:rPr>
                <w:rFonts w:ascii="Times New Roman" w:hAnsi="Times New Roman" w:cs="Times New Roman" w:eastAsia="Times New Roman"/>
                <w:b/>
                <w:sz w:val="20"/>
              </w:rPr>
              <w:t xml:space="preserve">v1 (original prototype)</w:t>
            </w:r>
          </w:p>
        </w:tc>
        <w:tc>
          <w:tcPr>
            <w:tcW w:type="dxa" w:w="3406"/>
            <w:shd w:val="clear" w:color="auto" w:fill="D9D9D9"/>
          </w:tcPr>
          <w:p>
            <w:pPr>
              <w:pStyle w:val="TableText"/>
              <w:keepNext/>
              <w:jc w:val="left"/>
            </w:pPr>
            <w:r>
              <w:rPr>
                <w:rFonts w:ascii="Times New Roman" w:hAnsi="Times New Roman" w:cs="Times New Roman" w:eastAsia="Times New Roman"/>
                <w:b/>
                <w:sz w:val="20"/>
              </w:rPr>
              <w:t xml:space="preserve">v2/v3 (final design)</w:t>
            </w:r>
          </w:p>
        </w:tc>
      </w:tr>
      <w:tr>
        <w:trPr>
          <w:cantSplit/>
        </w:trPr>
        <w:tc>
          <w:tcPr>
            <w:tcW w:type="dxa" w:w="1900"/>
          </w:tcPr>
          <w:p>
            <w:pPr>
              <w:pStyle w:val="TableText"/>
              <w:keepNext/>
              <w:jc w:val="left"/>
            </w:pPr>
            <w:r>
              <w:rPr>
                <w:rFonts w:ascii="Times New Roman" w:hAnsi="Times New Roman" w:cs="Times New Roman" w:eastAsia="Times New Roman"/>
                <w:sz w:val="20"/>
              </w:rPr>
              <w:t xml:space="preserve">Fusion</w:t>
            </w:r>
          </w:p>
        </w:tc>
        <w:tc>
          <w:tcPr>
            <w:tcW w:type="dxa" w:w="3000"/>
          </w:tcPr>
          <w:p>
            <w:pPr>
              <w:pStyle w:val="TableText"/>
              <w:keepNext/>
              <w:jc w:val="left"/>
            </w:pPr>
            <w:r>
              <w:rPr>
                <w:rFonts w:ascii="Times New Roman" w:hAnsi="Times New Roman" w:cs="Times New Roman" w:eastAsia="Times New Roman"/>
                <w:sz w:val="20"/>
              </w:rPr>
              <w:t xml:space="preserve">One-way: spatial tokens query temporal tokens</w:t>
            </w:r>
          </w:p>
        </w:tc>
        <w:tc>
          <w:tcPr>
            <w:tcW w:type="dxa" w:w="3406"/>
          </w:tcPr>
          <w:p>
            <w:pPr>
              <w:pStyle w:val="TableText"/>
              <w:keepNext/>
              <w:jc w:val="left"/>
            </w:pPr>
            <w:r>
              <w:rPr>
                <w:rFonts w:ascii="Times New Roman" w:hAnsi="Times New Roman" w:cs="Times New Roman" w:eastAsia="Times New Roman"/>
                <w:sz w:val="20"/>
              </w:rPr>
              <w:t xml:space="preserve">Gated bidirectional: each stream queries the other; learned scalar gates (σ(0) = 0.5); pre-norm blocks; stackable</w:t>
            </w:r>
          </w:p>
        </w:tc>
      </w:tr>
      <w:tr>
        <w:trPr>
          <w:cantSplit/>
        </w:trPr>
        <w:tc>
          <w:tcPr>
            <w:tcW w:type="dxa" w:w="1900"/>
          </w:tcPr>
          <w:p>
            <w:pPr>
              <w:pStyle w:val="TableText"/>
              <w:keepNext/>
              <w:jc w:val="left"/>
            </w:pPr>
            <w:r>
              <w:rPr>
                <w:rFonts w:ascii="Times New Roman" w:hAnsi="Times New Roman" w:cs="Times New Roman" w:eastAsia="Times New Roman"/>
                <w:sz w:val="20"/>
              </w:rPr>
              <w:t xml:space="preserve">Positional information</w:t>
            </w:r>
          </w:p>
        </w:tc>
        <w:tc>
          <w:tcPr>
            <w:tcW w:type="dxa" w:w="3000"/>
          </w:tcPr>
          <w:p>
            <w:pPr>
              <w:pStyle w:val="TableText"/>
              <w:keepNext/>
              <w:jc w:val="left"/>
            </w:pPr>
            <w:r>
              <w:rPr>
                <w:rFonts w:ascii="Times New Roman" w:hAnsi="Times New Roman" w:cs="Times New Roman" w:eastAsia="Times New Roman"/>
                <w:sz w:val="20"/>
              </w:rPr>
              <w:t xml:space="preserve">None</w:t>
            </w:r>
          </w:p>
        </w:tc>
        <w:tc>
          <w:tcPr>
            <w:tcW w:type="dxa" w:w="3406"/>
          </w:tcPr>
          <w:p>
            <w:pPr>
              <w:pStyle w:val="TableText"/>
              <w:keepNext/>
              <w:jc w:val="left"/>
            </w:pPr>
            <w:r>
              <w:rPr>
                <w:rFonts w:ascii="Times New Roman" w:hAnsi="Times New Roman" w:cs="Times New Roman" w:eastAsia="Times New Roman"/>
                <w:sz w:val="20"/>
              </w:rPr>
              <w:t xml:space="preserve">Learned 3D embedding on the 4 × 4 × 4 token grid; sinusoidal encoding on the temporal tokens</w:t>
            </w:r>
          </w:p>
        </w:tc>
      </w:tr>
      <w:tr>
        <w:trPr>
          <w:cantSplit/>
        </w:trPr>
        <w:tc>
          <w:tcPr>
            <w:tcW w:type="dxa" w:w="1900"/>
          </w:tcPr>
          <w:p>
            <w:pPr>
              <w:pStyle w:val="TableText"/>
              <w:keepNext/>
              <w:jc w:val="left"/>
            </w:pPr>
            <w:r>
              <w:rPr>
                <w:rFonts w:ascii="Times New Roman" w:hAnsi="Times New Roman" w:cs="Times New Roman" w:eastAsia="Times New Roman"/>
                <w:sz w:val="20"/>
              </w:rPr>
              <w:t xml:space="preserve">Pooling of the fused tokens</w:t>
            </w:r>
          </w:p>
        </w:tc>
        <w:tc>
          <w:tcPr>
            <w:tcW w:type="dxa" w:w="3000"/>
          </w:tcPr>
          <w:p>
            <w:pPr>
              <w:pStyle w:val="TableText"/>
              <w:keepNext/>
              <w:jc w:val="left"/>
            </w:pPr>
            <w:r>
              <w:rPr>
                <w:rFonts w:ascii="Times New Roman" w:hAnsi="Times New Roman" w:cs="Times New Roman" w:eastAsia="Times New Roman"/>
                <w:sz w:val="20"/>
              </w:rPr>
              <w:t xml:space="preserve">Mean</w:t>
            </w:r>
          </w:p>
        </w:tc>
        <w:tc>
          <w:tcPr>
            <w:tcW w:type="dxa" w:w="3406"/>
          </w:tcPr>
          <w:p>
            <w:pPr>
              <w:pStyle w:val="TableText"/>
              <w:keepNext/>
              <w:jc w:val="left"/>
            </w:pPr>
            <w:r>
              <w:rPr>
                <w:rFonts w:ascii="Times New Roman" w:hAnsi="Times New Roman" w:cs="Times New Roman" w:eastAsia="Times New Roman"/>
                <w:sz w:val="20"/>
              </w:rPr>
              <w:t xml:space="preserve">Learned attention pool (starts as mean pooling)</w:t>
            </w:r>
          </w:p>
        </w:tc>
      </w:tr>
      <w:tr>
        <w:trPr>
          <w:cantSplit/>
        </w:trPr>
        <w:tc>
          <w:tcPr>
            <w:tcW w:type="dxa" w:w="1900"/>
          </w:tcPr>
          <w:p>
            <w:pPr>
              <w:pStyle w:val="TableText"/>
              <w:keepNext/>
              <w:jc w:val="left"/>
            </w:pPr>
            <w:r>
              <w:rPr>
                <w:rFonts w:ascii="Times New Roman" w:hAnsi="Times New Roman" w:cs="Times New Roman" w:eastAsia="Times New Roman"/>
                <w:sz w:val="20"/>
              </w:rPr>
              <w:t xml:space="preserve">Spatial encoder</w:t>
            </w:r>
          </w:p>
        </w:tc>
        <w:tc>
          <w:tcPr>
            <w:tcW w:type="dxa" w:w="3000"/>
          </w:tcPr>
          <w:p>
            <w:pPr>
              <w:pStyle w:val="TableText"/>
              <w:keepNext/>
              <w:jc w:val="left"/>
            </w:pPr>
            <w:r>
              <w:rPr>
                <w:rFonts w:ascii="Times New Roman" w:hAnsi="Times New Roman" w:cs="Times New Roman" w:eastAsia="Times New Roman"/>
                <w:sz w:val="20"/>
              </w:rPr>
              <w:t xml:space="preserve">3D residual blocks</w:t>
            </w:r>
          </w:p>
        </w:tc>
        <w:tc>
          <w:tcPr>
            <w:tcW w:type="dxa" w:w="3406"/>
          </w:tcPr>
          <w:p>
            <w:pPr>
              <w:pStyle w:val="TableText"/>
              <w:keepNext/>
              <w:jc w:val="left"/>
            </w:pPr>
            <w:r>
              <w:rPr>
                <w:rFonts w:ascii="Times New Roman" w:hAnsi="Times New Roman" w:cs="Times New Roman" w:eastAsia="Times New Roman"/>
                <w:sz w:val="20"/>
              </w:rPr>
              <w:t xml:space="preserve">3D residual blocks with squeeze-and-excitation (reduction 4)</w:t>
            </w:r>
          </w:p>
        </w:tc>
      </w:tr>
      <w:tr>
        <w:trPr>
          <w:cantSplit/>
        </w:trPr>
        <w:tc>
          <w:tcPr>
            <w:tcW w:type="dxa" w:w="1900"/>
          </w:tcPr>
          <w:p>
            <w:pPr>
              <w:pStyle w:val="TableText"/>
              <w:keepNext/>
              <w:jc w:val="left"/>
            </w:pPr>
            <w:r>
              <w:rPr>
                <w:rFonts w:ascii="Times New Roman" w:hAnsi="Times New Roman" w:cs="Times New Roman" w:eastAsia="Times New Roman"/>
                <w:sz w:val="20"/>
              </w:rPr>
              <w:t xml:space="preserve">Temporal encoder</w:t>
            </w:r>
          </w:p>
        </w:tc>
        <w:tc>
          <w:tcPr>
            <w:tcW w:type="dxa" w:w="3000"/>
          </w:tcPr>
          <w:p>
            <w:pPr>
              <w:pStyle w:val="TableText"/>
              <w:keepNext/>
              <w:jc w:val="left"/>
            </w:pPr>
            <w:r>
              <w:rPr>
                <w:rFonts w:ascii="Times New Roman" w:hAnsi="Times New Roman" w:cs="Times New Roman" w:eastAsia="Times New Roman"/>
                <w:sz w:val="20"/>
              </w:rPr>
              <w:t xml:space="preserve">Four convolutional stages, one kernel per stage</w:t>
            </w:r>
          </w:p>
        </w:tc>
        <w:tc>
          <w:tcPr>
            <w:tcW w:type="dxa" w:w="3406"/>
          </w:tcPr>
          <w:p>
            <w:pPr>
              <w:pStyle w:val="TableText"/>
              <w:keepNext/>
              <w:jc w:val="left"/>
            </w:pPr>
            <w:r>
              <w:rPr>
                <w:rFonts w:ascii="Times New Roman" w:hAnsi="Times New Roman" w:cs="Times New Roman" w:eastAsia="Times New Roman"/>
                <w:sz w:val="20"/>
              </w:rPr>
              <w:t xml:space="preserve">Stem and three strided stages, each followed by a multi-scale residual block (kernels 3, 9 and 19)</w:t>
            </w:r>
          </w:p>
        </w:tc>
      </w:tr>
      <w:tr>
        <w:trPr>
          <w:cantSplit/>
        </w:trPr>
        <w:tc>
          <w:tcPr>
            <w:tcW w:type="dxa" w:w="1900"/>
          </w:tcPr>
          <w:p>
            <w:pPr>
              <w:pStyle w:val="TableText"/>
              <w:keepNext/>
              <w:jc w:val="left"/>
            </w:pPr>
            <w:r>
              <w:rPr>
                <w:rFonts w:ascii="Times New Roman" w:hAnsi="Times New Roman" w:cs="Times New Roman" w:eastAsia="Times New Roman"/>
                <w:sz w:val="20"/>
              </w:rPr>
              <w:t xml:space="preserve">Adaptive pooling</w:t>
            </w:r>
          </w:p>
        </w:tc>
        <w:tc>
          <w:tcPr>
            <w:tcW w:type="dxa" w:w="3000"/>
          </w:tcPr>
          <w:p>
            <w:pPr>
              <w:pStyle w:val="TableText"/>
              <w:keepNext/>
              <w:jc w:val="left"/>
            </w:pPr>
            <w:r>
              <w:rPr>
                <w:rFonts w:ascii="Times New Roman" w:hAnsi="Times New Roman" w:cs="Times New Roman" w:eastAsia="Times New Roman"/>
                <w:sz w:val="20"/>
              </w:rPr>
              <w:t xml:space="preserve">PyTorch adaptive average pooling</w:t>
            </w:r>
          </w:p>
        </w:tc>
        <w:tc>
          <w:tcPr>
            <w:tcW w:type="dxa" w:w="3406"/>
          </w:tcPr>
          <w:p>
            <w:pPr>
              <w:pStyle w:val="TableText"/>
              <w:keepNext/>
              <w:jc w:val="left"/>
            </w:pPr>
            <w:r>
              <w:rPr>
                <w:rFonts w:ascii="Times New Roman" w:hAnsi="Times New Roman" w:cs="Times New Roman" w:eastAsia="Times New Roman"/>
                <w:sz w:val="20"/>
              </w:rPr>
              <w:t xml:space="preserve">Deterministic matrix-product pooling (equal to the PyTorch operation)</w:t>
            </w:r>
          </w:p>
        </w:tc>
      </w:tr>
      <w:tr>
        <w:trPr>
          <w:cantSplit/>
        </w:trPr>
        <w:tc>
          <w:tcPr>
            <w:tcW w:type="dxa" w:w="1900"/>
          </w:tcPr>
          <w:p>
            <w:pPr>
              <w:pStyle w:val="TableText"/>
              <w:keepNext/>
              <w:jc w:val="left"/>
            </w:pPr>
            <w:r>
              <w:rPr>
                <w:rFonts w:ascii="Times New Roman" w:hAnsi="Times New Roman" w:cs="Times New Roman" w:eastAsia="Times New Roman"/>
                <w:sz w:val="20"/>
              </w:rPr>
              <w:t xml:space="preserve">Optimisation</w:t>
            </w:r>
          </w:p>
        </w:tc>
        <w:tc>
          <w:tcPr>
            <w:tcW w:type="dxa" w:w="3000"/>
          </w:tcPr>
          <w:p>
            <w:pPr>
              <w:pStyle w:val="TableText"/>
              <w:keepNext/>
              <w:jc w:val="left"/>
            </w:pPr>
            <w:r>
              <w:rPr>
                <w:rFonts w:ascii="Times New Roman" w:hAnsi="Times New Roman" w:cs="Times New Roman" w:eastAsia="Times New Roman"/>
                <w:sz w:val="20"/>
              </w:rPr>
              <w:t xml:space="preserve">Adam, constant learning rate, validation-loss checkpoint</w:t>
            </w:r>
          </w:p>
        </w:tc>
        <w:tc>
          <w:tcPr>
            <w:tcW w:type="dxa" w:w="3406"/>
          </w:tcPr>
          <w:p>
            <w:pPr>
              <w:pStyle w:val="TableText"/>
              <w:keepNext/>
              <w:jc w:val="left"/>
            </w:pPr>
            <w:r>
              <w:rPr>
                <w:rFonts w:ascii="Times New Roman" w:hAnsi="Times New Roman" w:cs="Times New Roman" w:eastAsia="Times New Roman"/>
                <w:sz w:val="20"/>
              </w:rPr>
              <w:t xml:space="preserve">AdamW, warm-up and cosine schedule, gradient clipping, early stopping, mixed precision, selectable checkpoint metric, class weights</w:t>
            </w:r>
          </w:p>
        </w:tc>
      </w:tr>
      <w:tr>
        <w:trPr>
          <w:cantSplit/>
        </w:trPr>
        <w:tc>
          <w:tcPr>
            <w:tcW w:type="dxa" w:w="1900"/>
          </w:tcPr>
          <w:p>
            <w:pPr>
              <w:pStyle w:val="TableText"/>
              <w:keepNext/>
              <w:jc w:val="left"/>
            </w:pPr>
            <w:r>
              <w:rPr>
                <w:rFonts w:ascii="Times New Roman" w:hAnsi="Times New Roman" w:cs="Times New Roman" w:eastAsia="Times New Roman"/>
                <w:sz w:val="20"/>
              </w:rPr>
              <w:t xml:space="preserve">Fusion baselines</w:t>
            </w:r>
          </w:p>
        </w:tc>
        <w:tc>
          <w:tcPr>
            <w:tcW w:type="dxa" w:w="3000"/>
          </w:tcPr>
          <w:p>
            <w:pPr>
              <w:pStyle w:val="TableText"/>
              <w:keepNext/>
              <w:jc w:val="left"/>
            </w:pPr>
            <w:r>
              <w:rPr>
                <w:rFonts w:ascii="Times New Roman" w:hAnsi="Times New Roman" w:cs="Times New Roman" w:eastAsia="Times New Roman"/>
                <w:sz w:val="20"/>
              </w:rPr>
              <w:t xml:space="preserve">None</w:t>
            </w:r>
          </w:p>
        </w:tc>
        <w:tc>
          <w:tcPr>
            <w:tcW w:type="dxa" w:w="3406"/>
          </w:tcPr>
          <w:p>
            <w:pPr>
              <w:pStyle w:val="TableText"/>
              <w:keepNext/>
              <w:jc w:val="left"/>
            </w:pPr>
            <w:r>
              <w:rPr>
                <w:rFonts w:ascii="Times New Roman" w:hAnsi="Times New Roman" w:cs="Times New Roman" w:eastAsia="Times New Roman"/>
                <w:sz w:val="20"/>
              </w:rPr>
              <w:t xml:space="preserve">Concatenation, element-wise sum, MRI only, VEP only</w:t>
            </w:r>
          </w:p>
        </w:tc>
      </w:tr>
      <w:tr>
        <w:trPr>
          <w:cantSplit/>
        </w:trPr>
        <w:tc>
          <w:tcPr>
            <w:tcW w:type="dxa" w:w="1900"/>
          </w:tcPr>
          <w:p>
            <w:pPr>
              <w:pStyle w:val="TableText"/>
              <w:keepNext/>
              <w:jc w:val="left"/>
            </w:pPr>
            <w:r>
              <w:rPr>
                <w:rFonts w:ascii="Times New Roman" w:hAnsi="Times New Roman" w:cs="Times New Roman" w:eastAsia="Times New Roman"/>
                <w:sz w:val="20"/>
              </w:rPr>
              <w:t xml:space="preserve">Trainable parameters</w:t>
            </w:r>
          </w:p>
        </w:tc>
        <w:tc>
          <w:tcPr>
            <w:tcW w:type="dxa" w:w="3000"/>
          </w:tcPr>
          <w:p>
            <w:pPr>
              <w:pStyle w:val="TableText"/>
              <w:keepNext/>
              <w:jc w:val="left"/>
            </w:pPr>
            <w:r>
              <w:rPr>
                <w:rFonts w:ascii="Times New Roman" w:hAnsi="Times New Roman" w:cs="Times New Roman" w:eastAsia="Times New Roman"/>
                <w:sz w:val="20"/>
              </w:rPr>
              <w:t xml:space="preserve">1,055,081</w:t>
            </w:r>
          </w:p>
        </w:tc>
        <w:tc>
          <w:tcPr>
            <w:tcW w:type="dxa" w:w="3406"/>
          </w:tcPr>
          <w:p>
            <w:pPr>
              <w:pStyle w:val="TableText"/>
              <w:keepNext/>
              <w:jc w:val="left"/>
            </w:pPr>
            <w:r>
              <w:rPr>
                <w:rFonts w:ascii="Times New Roman" w:hAnsi="Times New Roman" w:cs="Times New Roman" w:eastAsia="Times New Roman"/>
                <w:sz w:val="20"/>
              </w:rPr>
              <w:t xml:space="preserve">1,955,140</w:t>
            </w:r>
          </w:p>
        </w:tc>
      </w:tr>
      <w:tr>
        <w:trPr>
          <w:cantSplit/>
        </w:trPr>
        <w:tc>
          <w:tcPr>
            <w:tcW w:type="dxa" w:w="1900"/>
          </w:tcPr>
          <w:p>
            <w:pPr>
              <w:pStyle w:val="TableText"/>
              <w:keepNext/>
              <w:jc w:val="left"/>
            </w:pPr>
            <w:r>
              <w:rPr>
                <w:rFonts w:ascii="Times New Roman" w:hAnsi="Times New Roman" w:cs="Times New Roman" w:eastAsia="Times New Roman"/>
                <w:sz w:val="20"/>
              </w:rPr>
              <w:t xml:space="preserve">MACs per sample at 64³</w:t>
            </w:r>
          </w:p>
        </w:tc>
        <w:tc>
          <w:tcPr>
            <w:tcW w:type="dxa" w:w="3000"/>
          </w:tcPr>
          <w:p>
            <w:pPr>
              <w:pStyle w:val="TableText"/>
              <w:keepNext/>
              <w:jc w:val="left"/>
            </w:pPr>
            <w:r>
              <w:rPr>
                <w:rFonts w:ascii="Times New Roman" w:hAnsi="Times New Roman" w:cs="Times New Roman" w:eastAsia="Times New Roman"/>
                <w:sz w:val="20"/>
              </w:rPr>
              <w:t xml:space="preserve">2.53 G</w:t>
            </w:r>
          </w:p>
        </w:tc>
        <w:tc>
          <w:tcPr>
            <w:tcW w:type="dxa" w:w="3406"/>
          </w:tcPr>
          <w:p>
            <w:pPr>
              <w:pStyle w:val="TableText"/>
              <w:keepNext/>
              <w:jc w:val="left"/>
            </w:pPr>
            <w:r>
              <w:rPr>
                <w:rFonts w:ascii="Times New Roman" w:hAnsi="Times New Roman" w:cs="Times New Roman" w:eastAsia="Times New Roman"/>
                <w:sz w:val="20"/>
              </w:rPr>
              <w:t xml:space="preserve">2.60 G</w:t>
            </w:r>
          </w:p>
        </w:tc>
      </w:tr>
      <w:tr>
        <w:trPr>
          <w:cantSplit/>
        </w:trPr>
        <w:tc>
          <w:tcPr>
            <w:tcW w:type="dxa" w:w="1900"/>
          </w:tcPr>
          <w:p>
            <w:pPr>
              <w:pStyle w:val="TableText"/>
              <w:jc w:val="left"/>
            </w:pPr>
            <w:r>
              <w:rPr>
                <w:rFonts w:ascii="Times New Roman" w:hAnsi="Times New Roman" w:cs="Times New Roman" w:eastAsia="Times New Roman"/>
                <w:sz w:val="20"/>
              </w:rPr>
              <w:t xml:space="preserve">Automated tests</w:t>
            </w:r>
          </w:p>
        </w:tc>
        <w:tc>
          <w:tcPr>
            <w:tcW w:type="dxa" w:w="3000"/>
          </w:tcPr>
          <w:p>
            <w:pPr>
              <w:pStyle w:val="TableText"/>
              <w:jc w:val="left"/>
            </w:pPr>
            <w:r>
              <w:rPr>
                <w:rFonts w:ascii="Times New Roman" w:hAnsi="Times New Roman" w:cs="Times New Roman" w:eastAsia="Times New Roman"/>
                <w:sz w:val="20"/>
              </w:rPr>
              <w:t xml:space="preserve">86</w:t>
            </w:r>
          </w:p>
        </w:tc>
        <w:tc>
          <w:tcPr>
            <w:tcW w:type="dxa" w:w="3406"/>
          </w:tcPr>
          <w:p>
            <w:pPr>
              <w:pStyle w:val="TableText"/>
              <w:jc w:val="left"/>
            </w:pPr>
            <w:r>
              <w:rPr>
                <w:rFonts w:ascii="Times New Roman" w:hAnsi="Times New Roman" w:cs="Times New Roman" w:eastAsia="Times New Roman"/>
                <w:sz w:val="20"/>
              </w:rPr>
              <w:t xml:space="preserve">340</w:t>
            </w:r>
          </w:p>
        </w:tc>
      </w:tr>
    </w:tbl>
    <w:p>
      <w:pPr>
        <w:spacing w:after="80" w:line="240" w:lineRule="auto"/>
      </w:pPr>
    </w:p>
    <w:p>
      <w:pPr>
        <w:pStyle w:val="Heading2"/>
      </w:pPr>
      <w:r>
        <w:rPr>
          <w:rFonts w:ascii="Times New Roman" w:hAnsi="Times New Roman" w:cs="Times New Roman" w:eastAsia="Times New Roman"/>
          <w:b/>
          <w:sz w:val="28"/>
        </w:rPr>
        <w:t>4.2  SPATIAL ENCODER (3D RESIDUAL CNN)</w:t>
      </w:r>
    </w:p>
    <w:p>
      <w:pPr>
        <w:pStyle w:val="BodyJ"/>
      </w:pPr>
      <w:r>
        <w:rPr>
          <w:rFonts w:ascii="Courier New" w:hAnsi="Courier New" w:cs="Courier New" w:eastAsia="Courier New"/>
        </w:rPr>
        <w:t xml:space="preserve">SpatialEncoder3D</w:t>
      </w:r>
      <w:r>
        <w:rPr>
          <w:rFonts w:ascii="Times New Roman" w:hAnsi="Times New Roman" w:cs="Times New Roman" w:eastAsia="Times New Roman"/>
        </w:rPr>
        <w:t xml:space="preserve"> (</w:t>
      </w:r>
      <w:r>
        <w:rPr>
          <w:rFonts w:ascii="Courier New" w:hAnsi="Courier New" w:cs="Courier New" w:eastAsia="Courier New"/>
        </w:rPr>
        <w:t xml:space="preserve">src/models/spatial_encoder.py</w:t>
      </w:r>
      <w:r>
        <w:rPr>
          <w:rFonts w:ascii="Times New Roman" w:hAnsi="Times New Roman" w:cs="Times New Roman" w:eastAsia="Times New Roman"/>
        </w:rPr>
        <w:t xml:space="preserve">) converts a standardised MRI volume of shape (B, 1, 64, 64, 64) into a sequence of 64 tokens. It consists of a convolutional stem, three residual blocks that each halve the spatial resolution, increase the channel count and end with a squeeze-and-excitation gate, and a deterministic adaptive average pool to a 4 × 4 × 4 grid (Table 4.2).</w:t>
      </w:r>
    </w:p>
    <w:p>
      <w:pPr>
        <w:pStyle w:val="Caption"/>
        <w:keepNext/>
        <w:spacing w:before="160" w:after="80"/>
      </w:pPr>
      <w:bookmarkStart w:id="1023" w:name="_Ref_Table_4_2"/>
      <w:r>
        <w:rPr>
          <w:rFonts w:ascii="Times New Roman" w:hAnsi="Times New Roman" w:cs="Times New Roman" w:eastAsia="Times New Roman"/>
          <w:b/>
          <w:sz w:val="22"/>
        </w:rPr>
        <w:t xml:space="preserve">Table 4.2: </w:t>
      </w:r>
      <w:r>
        <w:rPr>
          <w:rFonts w:ascii="Times New Roman" w:hAnsi="Times New Roman" w:cs="Times New Roman" w:eastAsia="Times New Roman"/>
          <w:sz w:val="22"/>
        </w:rPr>
        <w:t xml:space="preserve">Spatial encoder layers (batch size 1) and trainable parameters (default model; the squeeze-and-excitation gates are included).</w:t>
      </w:r>
      <w:bookmarkEnd w:id="1023"/>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644"/>
        <w:gridCol w:w="3657"/>
        <w:gridCol w:w="1701"/>
        <w:gridCol w:w="1304"/>
      </w:tblGrid>
      <w:tr>
        <w:trPr>
          <w:cantSplit/>
          <w:tblHeader/>
        </w:trPr>
        <w:tc>
          <w:tcPr>
            <w:tcW w:type="dxa" w:w="1644"/>
            <w:shd w:val="clear" w:color="auto" w:fill="D9D9D9"/>
          </w:tcPr>
          <w:p>
            <w:pPr>
              <w:pStyle w:val="TableText"/>
              <w:keepNext/>
              <w:jc w:val="left"/>
            </w:pPr>
            <w:r>
              <w:rPr>
                <w:rFonts w:ascii="Times New Roman" w:hAnsi="Times New Roman" w:cs="Times New Roman" w:eastAsia="Times New Roman"/>
                <w:b/>
                <w:sz w:val="20"/>
              </w:rPr>
              <w:t>Layer</w:t>
            </w:r>
          </w:p>
        </w:tc>
        <w:tc>
          <w:tcPr>
            <w:tcW w:type="dxa" w:w="3657"/>
            <w:shd w:val="clear" w:color="auto" w:fill="D9D9D9"/>
          </w:tcPr>
          <w:p>
            <w:pPr>
              <w:pStyle w:val="TableText"/>
              <w:keepNext/>
              <w:jc w:val="left"/>
            </w:pPr>
            <w:r>
              <w:rPr>
                <w:rFonts w:ascii="Times New Roman" w:hAnsi="Times New Roman" w:cs="Times New Roman" w:eastAsia="Times New Roman"/>
                <w:b/>
                <w:sz w:val="20"/>
              </w:rPr>
              <w:t>Operation</w:t>
            </w:r>
          </w:p>
        </w:tc>
        <w:tc>
          <w:tcPr>
            <w:tcW w:type="dxa" w:w="1701"/>
            <w:shd w:val="clear" w:color="auto" w:fill="D9D9D9"/>
          </w:tcPr>
          <w:p>
            <w:pPr>
              <w:pStyle w:val="TableText"/>
              <w:keepNext/>
              <w:jc w:val="center"/>
            </w:pPr>
            <w:r>
              <w:rPr>
                <w:rFonts w:ascii="Times New Roman" w:hAnsi="Times New Roman" w:cs="Times New Roman" w:eastAsia="Times New Roman"/>
                <w:b/>
                <w:sz w:val="20"/>
              </w:rPr>
              <w:t>Output shape</w:t>
            </w:r>
          </w:p>
        </w:tc>
        <w:tc>
          <w:tcPr>
            <w:tcW w:type="dxa" w:w="1304"/>
            <w:shd w:val="clear" w:color="auto" w:fill="D9D9D9"/>
          </w:tcPr>
          <w:p>
            <w:pPr>
              <w:pStyle w:val="TableText"/>
              <w:keepNext/>
              <w:jc w:val="center"/>
            </w:pPr>
            <w:r>
              <w:rPr>
                <w:rFonts w:ascii="Times New Roman" w:hAnsi="Times New Roman" w:cs="Times New Roman" w:eastAsia="Times New Roman"/>
                <w:b/>
                <w:sz w:val="20"/>
              </w:rPr>
              <w:t>Parameters</w:t>
            </w:r>
          </w:p>
        </w:tc>
      </w:tr>
      <w:tr>
        <w:trPr>
          <w:cantSplit/>
        </w:trPr>
        <w:tc>
          <w:tcPr>
            <w:tcW w:type="dxa" w:w="1644"/>
          </w:tcPr>
          <w:p>
            <w:pPr>
              <w:pStyle w:val="TableText"/>
              <w:keepNext/>
              <w:jc w:val="left"/>
            </w:pPr>
            <w:r>
              <w:rPr>
                <w:rFonts w:ascii="Times New Roman" w:hAnsi="Times New Roman" w:cs="Times New Roman" w:eastAsia="Times New Roman"/>
                <w:sz w:val="20"/>
              </w:rPr>
              <w:t>Stem</w:t>
            </w:r>
          </w:p>
        </w:tc>
        <w:tc>
          <w:tcPr>
            <w:tcW w:type="dxa" w:w="3657"/>
          </w:tcPr>
          <w:p>
            <w:pPr>
              <w:pStyle w:val="TableText"/>
              <w:keepNext/>
              <w:jc w:val="left"/>
            </w:pPr>
            <w:r>
              <w:rPr>
                <w:rFonts w:ascii="Times New Roman" w:hAnsi="Times New Roman" w:cs="Times New Roman" w:eastAsia="Times New Roman"/>
                <w:sz w:val="20"/>
              </w:rPr>
              <w:t>Conv3d 1→16 (3×3×3, stride 1) + BatchNorm + ReLU</w:t>
            </w:r>
          </w:p>
        </w:tc>
        <w:tc>
          <w:tcPr>
            <w:tcW w:type="dxa" w:w="1701"/>
          </w:tcPr>
          <w:p>
            <w:pPr>
              <w:pStyle w:val="TableText"/>
              <w:keepNext/>
              <w:jc w:val="center"/>
            </w:pPr>
            <w:r>
              <w:rPr>
                <w:rFonts w:ascii="Times New Roman" w:hAnsi="Times New Roman" w:cs="Times New Roman" w:eastAsia="Times New Roman"/>
                <w:sz w:val="20"/>
              </w:rPr>
              <w:t>(16, 64, 64, 64)</w:t>
            </w:r>
          </w:p>
        </w:tc>
        <w:tc>
          <w:tcPr>
            <w:tcW w:type="dxa" w:w="1304"/>
          </w:tcPr>
          <w:p>
            <w:pPr>
              <w:pStyle w:val="TableText"/>
              <w:keepNext/>
              <w:jc w:val="right"/>
            </w:pPr>
            <w:r>
              <w:rPr>
                <w:rFonts w:ascii="Times New Roman" w:hAnsi="Times New Roman" w:cs="Times New Roman" w:eastAsia="Times New Roman"/>
                <w:sz w:val="20"/>
              </w:rPr>
              <w:t>464</w:t>
            </w:r>
          </w:p>
        </w:tc>
      </w:tr>
      <w:tr>
        <w:trPr>
          <w:cantSplit/>
        </w:trPr>
        <w:tc>
          <w:tcPr>
            <w:tcW w:type="dxa" w:w="1644"/>
          </w:tcPr>
          <w:p>
            <w:pPr>
              <w:pStyle w:val="TableText"/>
              <w:keepNext/>
              <w:jc w:val="left"/>
            </w:pPr>
            <w:r>
              <w:rPr>
                <w:rFonts w:ascii="Times New Roman" w:hAnsi="Times New Roman" w:cs="Times New Roman" w:eastAsia="Times New Roman"/>
                <w:sz w:val="20"/>
              </w:rPr>
              <w:t>Residual block 1</w:t>
            </w:r>
          </w:p>
        </w:tc>
        <w:tc>
          <w:tcPr>
            <w:tcW w:type="dxa" w:w="3657"/>
          </w:tcPr>
          <w:p>
            <w:pPr>
              <w:pStyle w:val="TableText"/>
              <w:keepNext/>
              <w:jc w:val="left"/>
            </w:pPr>
            <w:r>
              <w:rPr>
                <w:rFonts w:ascii="Times New Roman" w:hAnsi="Times New Roman" w:cs="Times New Roman" w:eastAsia="Times New Roman"/>
                <w:sz w:val="20"/>
              </w:rPr>
              <w:t xml:space="preserve">16→32, stride 2, SE</w:t>
            </w:r>
          </w:p>
        </w:tc>
        <w:tc>
          <w:tcPr>
            <w:tcW w:type="dxa" w:w="1701"/>
          </w:tcPr>
          <w:p>
            <w:pPr>
              <w:pStyle w:val="TableText"/>
              <w:keepNext/>
              <w:jc w:val="center"/>
            </w:pPr>
            <w:r>
              <w:rPr>
                <w:rFonts w:ascii="Times New Roman" w:hAnsi="Times New Roman" w:cs="Times New Roman" w:eastAsia="Times New Roman"/>
                <w:sz w:val="20"/>
              </w:rPr>
              <w:t>(32, 32, 32, 32)</w:t>
            </w:r>
          </w:p>
        </w:tc>
        <w:tc>
          <w:tcPr>
            <w:tcW w:type="dxa" w:w="1304"/>
          </w:tcPr>
          <w:p>
            <w:pPr>
              <w:pStyle w:val="TableText"/>
              <w:keepNext/>
              <w:jc w:val="right"/>
            </w:pPr>
            <w:r>
              <w:rPr>
                <w:rFonts w:ascii="Times New Roman" w:hAnsi="Times New Roman" w:cs="Times New Roman" w:eastAsia="Times New Roman"/>
                <w:sz w:val="20"/>
              </w:rPr>
              <w:t xml:space="preserve">42,728</w:t>
            </w:r>
          </w:p>
        </w:tc>
      </w:tr>
      <w:tr>
        <w:trPr>
          <w:cantSplit/>
        </w:trPr>
        <w:tc>
          <w:tcPr>
            <w:tcW w:type="dxa" w:w="1644"/>
          </w:tcPr>
          <w:p>
            <w:pPr>
              <w:pStyle w:val="TableText"/>
              <w:jc w:val="left"/>
            </w:pPr>
            <w:r>
              <w:rPr>
                <w:rFonts w:ascii="Times New Roman" w:hAnsi="Times New Roman" w:cs="Times New Roman" w:eastAsia="Times New Roman"/>
                <w:sz w:val="20"/>
              </w:rPr>
              <w:t>Residual block 2</w:t>
            </w:r>
          </w:p>
        </w:tc>
        <w:tc>
          <w:tcPr>
            <w:tcW w:type="dxa" w:w="3657"/>
          </w:tcPr>
          <w:p>
            <w:pPr>
              <w:pStyle w:val="TableText"/>
              <w:jc w:val="left"/>
            </w:pPr>
            <w:r>
              <w:rPr>
                <w:rFonts w:ascii="Times New Roman" w:hAnsi="Times New Roman" w:cs="Times New Roman" w:eastAsia="Times New Roman"/>
                <w:sz w:val="20"/>
              </w:rPr>
              <w:t xml:space="preserve">32→64, stride 2, SE</w:t>
            </w:r>
          </w:p>
        </w:tc>
        <w:tc>
          <w:tcPr>
            <w:tcW w:type="dxa" w:w="1701"/>
          </w:tcPr>
          <w:p>
            <w:pPr>
              <w:pStyle w:val="TableText"/>
              <w:jc w:val="center"/>
            </w:pPr>
            <w:r>
              <w:rPr>
                <w:rFonts w:ascii="Times New Roman" w:hAnsi="Times New Roman" w:cs="Times New Roman" w:eastAsia="Times New Roman"/>
                <w:sz w:val="20"/>
              </w:rPr>
              <w:t>(64, 16, 16, 16)</w:t>
            </w:r>
          </w:p>
        </w:tc>
        <w:tc>
          <w:tcPr>
            <w:tcW w:type="dxa" w:w="1304"/>
          </w:tcPr>
          <w:p>
            <w:pPr>
              <w:pStyle w:val="TableText"/>
              <w:jc w:val="right"/>
            </w:pPr>
            <w:r>
              <w:rPr>
                <w:rFonts w:ascii="Times New Roman" w:hAnsi="Times New Roman" w:cs="Times New Roman" w:eastAsia="Times New Roman"/>
                <w:sz w:val="20"/>
              </w:rPr>
              <w:t xml:space="preserve">170,448</w:t>
            </w:r>
          </w:p>
        </w:tc>
      </w:tr>
      <w:tr>
        <w:trPr>
          <w:cantSplit/>
        </w:trPr>
        <w:tc>
          <w:tcPr>
            <w:tcW w:type="dxa" w:w="1644"/>
          </w:tcPr>
          <w:p>
            <w:pPr>
              <w:pStyle w:val="TableText"/>
              <w:jc w:val="left"/>
            </w:pPr>
            <w:r>
              <w:rPr>
                <w:rFonts w:ascii="Times New Roman" w:hAnsi="Times New Roman" w:cs="Times New Roman" w:eastAsia="Times New Roman"/>
                <w:sz w:val="20"/>
              </w:rPr>
              <w:t>Residual block 3</w:t>
            </w:r>
          </w:p>
        </w:tc>
        <w:tc>
          <w:tcPr>
            <w:tcW w:type="dxa" w:w="3657"/>
          </w:tcPr>
          <w:p>
            <w:pPr>
              <w:pStyle w:val="TableText"/>
              <w:jc w:val="left"/>
            </w:pPr>
            <w:r>
              <w:rPr>
                <w:rFonts w:ascii="Times New Roman" w:hAnsi="Times New Roman" w:cs="Times New Roman" w:eastAsia="Times New Roman"/>
                <w:sz w:val="20"/>
              </w:rPr>
              <w:t xml:space="preserve">64→128, stride 2, SE (Grad-CAM target </w:t>
            </w:r>
            <w:r>
              <w:rPr>
                <w:rFonts w:ascii="Courier New" w:hAnsi="Courier New" w:cs="Courier New" w:eastAsia="Courier New"/>
                <w:sz w:val="20"/>
              </w:rPr>
              <w:t xml:space="preserve">last_conv</w:t>
            </w:r>
            <w:r>
              <w:rPr>
                <w:rFonts w:ascii="Times New Roman" w:hAnsi="Times New Roman" w:cs="Times New Roman" w:eastAsia="Times New Roman"/>
                <w:sz w:val="20"/>
              </w:rPr>
              <w:t xml:space="preserve">)</w:t>
            </w:r>
          </w:p>
        </w:tc>
        <w:tc>
          <w:tcPr>
            <w:tcW w:type="dxa" w:w="1701"/>
          </w:tcPr>
          <w:p>
            <w:pPr>
              <w:pStyle w:val="TableText"/>
              <w:jc w:val="center"/>
            </w:pPr>
            <w:r>
              <w:rPr>
                <w:rFonts w:ascii="Times New Roman" w:hAnsi="Times New Roman" w:cs="Times New Roman" w:eastAsia="Times New Roman"/>
                <w:sz w:val="20"/>
              </w:rPr>
              <w:t>(128, 8, 8, 8)</w:t>
            </w:r>
          </w:p>
        </w:tc>
        <w:tc>
          <w:tcPr>
            <w:tcW w:type="dxa" w:w="1304"/>
          </w:tcPr>
          <w:p>
            <w:pPr>
              <w:pStyle w:val="TableText"/>
              <w:jc w:val="right"/>
            </w:pPr>
            <w:r>
              <w:rPr>
                <w:rFonts w:ascii="Times New Roman" w:hAnsi="Times New Roman" w:cs="Times New Roman" w:eastAsia="Times New Roman"/>
                <w:sz w:val="20"/>
              </w:rPr>
              <w:t xml:space="preserve">680,864</w:t>
            </w:r>
          </w:p>
        </w:tc>
      </w:tr>
      <w:tr>
        <w:trPr>
          <w:cantSplit/>
        </w:trPr>
        <w:tc>
          <w:tcPr>
            <w:tcW w:type="dxa" w:w="1644"/>
          </w:tcPr>
          <w:p>
            <w:pPr>
              <w:pStyle w:val="TableText"/>
              <w:jc w:val="left"/>
            </w:pPr>
            <w:r>
              <w:rPr>
                <w:rFonts w:ascii="Times New Roman" w:hAnsi="Times New Roman" w:cs="Times New Roman" w:eastAsia="Times New Roman"/>
                <w:sz w:val="20"/>
              </w:rPr>
              <w:t>Pool and tokens</w:t>
            </w:r>
          </w:p>
        </w:tc>
        <w:tc>
          <w:tcPr>
            <w:tcW w:type="dxa" w:w="3657"/>
          </w:tcPr>
          <w:p>
            <w:pPr>
              <w:pStyle w:val="TableText"/>
              <w:jc w:val="left"/>
            </w:pPr>
            <w:r>
              <w:rPr>
                <w:rFonts w:ascii="Times New Roman" w:hAnsi="Times New Roman" w:cs="Times New Roman" w:eastAsia="Times New Roman"/>
                <w:sz w:val="20"/>
              </w:rPr>
              <w:t xml:space="preserve">Deterministic adaptive average pool (4,4,4); flatten; transpose</w:t>
            </w:r>
          </w:p>
        </w:tc>
        <w:tc>
          <w:tcPr>
            <w:tcW w:type="dxa" w:w="1701"/>
          </w:tcPr>
          <w:p>
            <w:pPr>
              <w:pStyle w:val="TableText"/>
              <w:jc w:val="center"/>
            </w:pPr>
            <w:r>
              <w:rPr>
                <w:rFonts w:ascii="Times New Roman" w:hAnsi="Times New Roman" w:cs="Times New Roman" w:eastAsia="Times New Roman"/>
                <w:sz w:val="20"/>
              </w:rPr>
              <w:t>(64, 128)</w:t>
            </w:r>
          </w:p>
        </w:tc>
        <w:tc>
          <w:tcPr>
            <w:tcW w:type="dxa" w:w="1304"/>
          </w:tcPr>
          <w:p>
            <w:pPr>
              <w:pStyle w:val="TableText"/>
              <w:jc w:val="right"/>
            </w:pPr>
            <w:r>
              <w:rPr>
                <w:rFonts w:ascii="Times New Roman" w:hAnsi="Times New Roman" w:cs="Times New Roman" w:eastAsia="Times New Roman"/>
                <w:sz w:val="20"/>
              </w:rPr>
              <w:t>0</w:t>
            </w:r>
          </w:p>
        </w:tc>
      </w:tr>
      <w:tr>
        <w:trPr>
          <w:cantSplit/>
        </w:trPr>
        <w:tc>
          <w:tcPr>
            <w:tcW w:type="dxa" w:w="1644"/>
          </w:tcPr>
          <w:p>
            <w:pPr>
              <w:pStyle w:val="TableText"/>
              <w:jc w:val="left"/>
            </w:pPr>
            <w:r>
              <w:rPr>
                <w:rFonts w:ascii="Times New Roman" w:hAnsi="Times New Roman" w:cs="Times New Roman" w:eastAsia="Times New Roman"/>
                <w:b/>
                <w:sz w:val="20"/>
              </w:rPr>
              <w:t>Total</w:t>
            </w:r>
          </w:p>
        </w:tc>
        <w:tc>
          <w:tcPr>
            <w:tcW w:type="dxa" w:w="3657"/>
          </w:tcPr>
          <w:p>
            <w:pPr>
              <w:pStyle w:val="TableText"/>
              <w:jc w:val="left"/>
            </w:pPr>
          </w:p>
        </w:tc>
        <w:tc>
          <w:tcPr>
            <w:tcW w:type="dxa" w:w="1701"/>
          </w:tcPr>
          <w:p>
            <w:pPr>
              <w:pStyle w:val="TableText"/>
              <w:jc w:val="center"/>
            </w:pPr>
          </w:p>
        </w:tc>
        <w:tc>
          <w:tcPr>
            <w:tcW w:type="dxa" w:w="1304"/>
          </w:tcPr>
          <w:p>
            <w:pPr>
              <w:pStyle w:val="TableText"/>
              <w:jc w:val="right"/>
            </w:pPr>
            <w:r>
              <w:rPr>
                <w:rFonts w:ascii="Times New Roman" w:hAnsi="Times New Roman" w:cs="Times New Roman" w:eastAsia="Times New Roman"/>
                <w:b/>
                <w:sz w:val="20"/>
              </w:rPr>
              <w:t xml:space="preserve">894,504</w:t>
            </w:r>
          </w:p>
        </w:tc>
      </w:tr>
    </w:tbl>
    <w:p>
      <w:pPr>
        <w:spacing w:after="80" w:line="240" w:lineRule="auto"/>
      </w:pPr>
    </w:p>
    <w:p>
      <w:pPr>
        <w:pStyle w:val="BodyJ"/>
      </w:pPr>
      <w:r>
        <w:rPr>
          <w:rFonts w:ascii="Times New Roman" w:hAnsi="Times New Roman" w:cs="Times New Roman" w:eastAsia="Times New Roman"/>
        </w:rPr>
        <w:t xml:space="preserve">Each residual block applies two 3 × 3 × 3 convolutions with batch normalisation (Ioffe &amp; Szegedy, 2015); the first has the block's stride. A squeeze-and-excitation gate (Hu et al., 2018) recalibrates the channels of the second convolution's output before the shortcut is added: global average pooling gives one value per channel, two linear layers with a reduction factor of 4 and a ReLU between them followed by a sigmoid give a weight per channel, and the feature map is multiplied by these weights. The three gates add 11,032 parameters. The input is added to the output through an identity shortcut, or through a 1 × 1 × 1 convolution with batch normalisation when the stride or the channel count changes, and a ReLU follows the addition (He et al., 2016). The spatial size of a convolutional layer with kernel k, stride s and padding p follows Equation 4.1.</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sSub>
                  <m:e>
                    <m:r>
                      <m:t>L</m:t>
                    </m:r>
                  </m:e>
                  <m:sub>
                    <m:r>
                      <m:rPr>
                        <m:sty m:val="p"/>
                      </m:rPr>
                      <m:t>out</m:t>
                    </m:r>
                  </m:sub>
                </m:sSub>
                <m:r>
                  <m:t>=</m:t>
                </m:r>
                <m:d>
                  <m:dPr>
                    <m:begChr m:val="⌊"/>
                    <m:endChr m:val="⌋"/>
                    <m:grow/>
                  </m:dPr>
                  <m:e>
                    <m:f>
                      <m:fPr>
                        <m:type m:val="bar"/>
                      </m:fPr>
                      <m:num>
                        <m:sSub>
                          <m:e>
                            <m:r>
                              <m:t>L</m:t>
                            </m:r>
                          </m:e>
                          <m:sub>
                            <m:r>
                              <m:rPr>
                                <m:sty m:val="p"/>
                              </m:rPr>
                              <m:t>in</m:t>
                            </m:r>
                          </m:sub>
                        </m:sSub>
                        <m:r>
                          <m:t>+</m:t>
                        </m:r>
                        <m:r>
                          <m:t>2</m:t>
                        </m:r>
                        <m:r>
                          <m:t>p</m:t>
                        </m:r>
                        <m:r>
                          <m:t>−</m:t>
                        </m:r>
                        <m:r>
                          <m:t>k</m:t>
                        </m:r>
                      </m:num>
                      <m:den>
                        <m:r>
                          <m:t>s</m:t>
                        </m:r>
                      </m:den>
                    </m:f>
                  </m:e>
                </m:d>
                <m:r>
                  <m:t>+</m:t>
                </m:r>
                <m:r>
                  <m:t>1</m:t>
                </m:r>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(4.1)</w:t>
            </w:r>
          </w:p>
        </w:tc>
      </w:tr>
    </w:tbl>
    <w:p>
      <w:pPr>
        <w:pStyle w:val="BodyJ"/>
        <w:ind w:firstLine="0"/>
      </w:pPr>
      <w:r>
        <w:rPr>
          <w:rFonts w:ascii="Times New Roman" w:hAnsi="Times New Roman" w:cs="Times New Roman" w:eastAsia="Times New Roman"/>
        </w:rPr>
        <w:t xml:space="preserve">After the three stride-2 blocks the feature map is 8 × 8 × 8; adaptive average pooling reduces it to 4 × 4 × 4, so each of the 64 tokens summarises a 2 × 2 × 2 neighbourhood of feature-map positions, i.e. a nominal 16 × 16 × 16 voxel cube of the standardised (1 mm) volume. In CAFN a learned positional embedding of shape 64 × 128 (8,192 parameters), indexed like the token grid, is added to these tokens before fusion. The final residual block is stored under the name </w:t>
      </w:r>
      <w:r>
        <w:rPr>
          <w:rFonts w:ascii="Courier New" w:hAnsi="Courier New" w:cs="Courier New" w:eastAsia="Courier New"/>
        </w:rPr>
        <w:t xml:space="preserve">last_conv</w:t>
      </w:r>
      <w:r>
        <w:rPr>
          <w:rFonts w:ascii="Times New Roman" w:hAnsi="Times New Roman" w:cs="Times New Roman" w:eastAsia="Times New Roman"/>
        </w:rPr>
        <w:t xml:space="preserve"> so that the Grad-CAM implementation can attach its hooks to it.</w:t>
      </w:r>
    </w:p>
    <w:p>
      <w:pPr>
        <w:pStyle w:val="Heading2"/>
      </w:pPr>
      <w:r>
        <w:rPr>
          <w:rFonts w:ascii="Times New Roman" w:hAnsi="Times New Roman" w:cs="Times New Roman" w:eastAsia="Times New Roman"/>
          <w:b/>
          <w:sz w:val="28"/>
        </w:rPr>
        <w:t>4.3  TEMPORAL ENCODER (1D CNN)</w:t>
      </w:r>
    </w:p>
    <w:p>
      <w:pPr>
        <w:pStyle w:val="BodyJ"/>
      </w:pPr>
      <w:r>
        <w:rPr>
          <w:rFonts w:ascii="Courier New" w:hAnsi="Courier New" w:cs="Courier New" w:eastAsia="Courier New"/>
        </w:rPr>
        <w:t xml:space="preserve">TemporalEncoder1D</w:t>
      </w:r>
      <w:r>
        <w:rPr>
          <w:rFonts w:ascii="Times New Roman" w:hAnsi="Times New Roman" w:cs="Times New Roman" w:eastAsia="Times New Roman"/>
        </w:rPr>
        <w:t xml:space="preserve"> (</w:t>
      </w:r>
      <w:r>
        <w:rPr>
          <w:rFonts w:ascii="Courier New" w:hAnsi="Courier New" w:cs="Courier New" w:eastAsia="Courier New"/>
        </w:rPr>
        <w:t xml:space="preserve">src/models/temporal_encoder.py</w:t>
      </w:r>
      <w:r>
        <w:rPr>
          <w:rFonts w:ascii="Times New Roman" w:hAnsi="Times New Roman" w:cs="Times New Roman" w:eastAsia="Times New Roman"/>
        </w:rPr>
        <w:t xml:space="preserve">) maps a conditioned VEP, or a spectrum, of shape (B, 1, 500) to 16 tokens through a stem and three strided stages, each followed by a multi-scale residual block, and a deterministic adaptive average pool (Table 4.3). A multi-scale block applies three parallel 1D convolutions with kernels of 3, 9 and 19 samples to its input, concatenates their outputs, fuses them with a 1 × 1 convolution and batch normalisation, and adds the result to the input through a residual connection followed by a GELU. The short kernels see fine waveform detail such as the P100 peak and the long kernels the extent of the N75–P100–N145 complex.</w:t>
      </w:r>
    </w:p>
    <w:p>
      <w:pPr>
        <w:pStyle w:val="Caption"/>
        <w:keepNext/>
        <w:spacing w:before="160" w:after="80"/>
      </w:pPr>
      <w:bookmarkStart w:id="1024" w:name="_Ref_Table_4_3"/>
      <w:r>
        <w:rPr>
          <w:rFonts w:ascii="Times New Roman" w:hAnsi="Times New Roman" w:cs="Times New Roman" w:eastAsia="Times New Roman"/>
          <w:b/>
          <w:sz w:val="22"/>
        </w:rPr>
        <w:t xml:space="preserve">Table 4.3: </w:t>
      </w:r>
      <w:r>
        <w:rPr>
          <w:rFonts w:ascii="Times New Roman" w:hAnsi="Times New Roman" w:cs="Times New Roman" w:eastAsia="Times New Roman"/>
          <w:sz w:val="22"/>
        </w:rPr>
        <w:t>Temporal encoder layers (batch size 1) and trainable parameters.</w:t>
      </w:r>
      <w:bookmarkEnd w:id="1024"/>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500"/>
        <w:gridCol w:w="3700"/>
        <w:gridCol w:w="1400"/>
        <w:gridCol w:w="1706"/>
      </w:tblGrid>
      <w:tr>
        <w:trPr>
          <w:cantSplit/>
          <w:tblHeader/>
        </w:trPr>
        <w:tc>
          <w:tcPr>
            <w:tcW w:type="dxa" w:w="1500"/>
            <w:shd w:val="clear" w:color="auto" w:fill="D9D9D9"/>
          </w:tcPr>
          <w:p>
            <w:pPr>
              <w:pStyle w:val="TableText"/>
              <w:keepNext/>
              <w:jc w:val="left"/>
            </w:pPr>
            <w:r>
              <w:rPr>
                <w:rFonts w:ascii="Times New Roman" w:hAnsi="Times New Roman" w:cs="Times New Roman" w:eastAsia="Times New Roman"/>
                <w:b/>
                <w:sz w:val="20"/>
              </w:rPr>
              <w:t xml:space="preserve">Stage</w:t>
            </w:r>
          </w:p>
        </w:tc>
        <w:tc>
          <w:tcPr>
            <w:tcW w:type="dxa" w:w="3700"/>
            <w:shd w:val="clear" w:color="auto" w:fill="D9D9D9"/>
          </w:tcPr>
          <w:p>
            <w:pPr>
              <w:pStyle w:val="TableText"/>
              <w:keepNext/>
              <w:jc w:val="left"/>
            </w:pPr>
            <w:r>
              <w:rPr>
                <w:rFonts w:ascii="Times New Roman" w:hAnsi="Times New Roman" w:cs="Times New Roman" w:eastAsia="Times New Roman"/>
                <w:b/>
                <w:sz w:val="20"/>
              </w:rPr>
              <w:t xml:space="preserve">Operation</w:t>
            </w:r>
          </w:p>
        </w:tc>
        <w:tc>
          <w:tcPr>
            <w:tcW w:type="dxa" w:w="1400"/>
            <w:shd w:val="clear" w:color="auto" w:fill="D9D9D9"/>
          </w:tcPr>
          <w:p>
            <w:pPr>
              <w:pStyle w:val="TableText"/>
              <w:keepNext/>
              <w:jc w:val="left"/>
            </w:pPr>
            <w:r>
              <w:rPr>
                <w:rFonts w:ascii="Times New Roman" w:hAnsi="Times New Roman" w:cs="Times New Roman" w:eastAsia="Times New Roman"/>
                <w:b/>
                <w:sz w:val="20"/>
              </w:rPr>
              <w:t xml:space="preserve">Output length</w:t>
            </w:r>
          </w:p>
        </w:tc>
        <w:tc>
          <w:tcPr>
            <w:tcW w:type="dxa" w:w="1706"/>
            <w:shd w:val="clear" w:color="auto" w:fill="D9D9D9"/>
          </w:tcPr>
          <w:p>
            <w:pPr>
              <w:pStyle w:val="TableText"/>
              <w:keepNext/>
              <w:jc w:val="left"/>
            </w:pPr>
            <w:r>
              <w:rPr>
                <w:rFonts w:ascii="Times New Roman" w:hAnsi="Times New Roman" w:cs="Times New Roman" w:eastAsia="Times New Roman"/>
                <w:b/>
                <w:sz w:val="20"/>
              </w:rPr>
              <w:t xml:space="preserve">Parameters</w:t>
            </w:r>
          </w:p>
        </w:tc>
      </w:tr>
      <w:tr>
        <w:trPr>
          <w:cantSplit/>
        </w:trPr>
        <w:tc>
          <w:tcPr>
            <w:tcW w:type="dxa" w:w="1500"/>
          </w:tcPr>
          <w:p>
            <w:pPr>
              <w:pStyle w:val="TableText"/>
              <w:keepNext/>
              <w:jc w:val="left"/>
            </w:pPr>
            <w:r>
              <w:rPr>
                <w:rFonts w:ascii="Times New Roman" w:hAnsi="Times New Roman" w:cs="Times New Roman" w:eastAsia="Times New Roman"/>
                <w:sz w:val="20"/>
              </w:rPr>
              <w:t xml:space="preserve">Stem</w:t>
            </w:r>
          </w:p>
        </w:tc>
        <w:tc>
          <w:tcPr>
            <w:tcW w:type="dxa" w:w="3700"/>
          </w:tcPr>
          <w:p>
            <w:pPr>
              <w:pStyle w:val="TableText"/>
              <w:keepNext/>
              <w:jc w:val="left"/>
            </w:pPr>
            <w:r>
              <w:rPr>
                <w:rFonts w:ascii="Times New Roman" w:hAnsi="Times New Roman" w:cs="Times New Roman" w:eastAsia="Times New Roman"/>
                <w:sz w:val="20"/>
              </w:rPr>
              <w:t xml:space="preserve">Conv1d 1→16, kernel 7, stride 1 + BatchNorm + GELU</w:t>
            </w:r>
          </w:p>
        </w:tc>
        <w:tc>
          <w:tcPr>
            <w:tcW w:type="dxa" w:w="1400"/>
          </w:tcPr>
          <w:p>
            <w:pPr>
              <w:pStyle w:val="TableText"/>
              <w:keepNext/>
              <w:jc w:val="left"/>
            </w:pPr>
            <w:r>
              <w:rPr>
                <w:rFonts w:ascii="Times New Roman" w:hAnsi="Times New Roman" w:cs="Times New Roman" w:eastAsia="Times New Roman"/>
                <w:sz w:val="20"/>
              </w:rPr>
              <w:t xml:space="preserve">500</w:t>
            </w:r>
          </w:p>
        </w:tc>
        <w:tc>
          <w:tcPr>
            <w:tcW w:type="dxa" w:w="1706"/>
          </w:tcPr>
          <w:p>
            <w:pPr>
              <w:pStyle w:val="TableText"/>
              <w:keepNext/>
              <w:jc w:val="left"/>
            </w:pPr>
            <w:r>
              <w:rPr>
                <w:rFonts w:ascii="Times New Roman" w:hAnsi="Times New Roman" w:cs="Times New Roman" w:eastAsia="Times New Roman"/>
                <w:sz w:val="20"/>
              </w:rPr>
              <w:t xml:space="preserve">144</w:t>
            </w:r>
          </w:p>
        </w:tc>
      </w:tr>
      <w:tr>
        <w:trPr>
          <w:cantSplit/>
        </w:trPr>
        <w:tc>
          <w:tcPr>
            <w:tcW w:type="dxa" w:w="1500"/>
          </w:tcPr>
          <w:p>
            <w:pPr>
              <w:pStyle w:val="TableText"/>
              <w:keepNext/>
              <w:jc w:val="left"/>
            </w:pPr>
            <w:r>
              <w:rPr>
                <w:rFonts w:ascii="Times New Roman" w:hAnsi="Times New Roman" w:cs="Times New Roman" w:eastAsia="Times New Roman"/>
                <w:sz w:val="20"/>
              </w:rPr>
              <w:t xml:space="preserve">Stage 1</w:t>
            </w:r>
          </w:p>
        </w:tc>
        <w:tc>
          <w:tcPr>
            <w:tcW w:type="dxa" w:w="3700"/>
          </w:tcPr>
          <w:p>
            <w:pPr>
              <w:pStyle w:val="TableText"/>
              <w:keepNext/>
              <w:jc w:val="left"/>
            </w:pPr>
            <w:r>
              <w:rPr>
                <w:rFonts w:ascii="Times New Roman" w:hAnsi="Times New Roman" w:cs="Times New Roman" w:eastAsia="Times New Roman"/>
                <w:sz w:val="20"/>
              </w:rPr>
              <w:t xml:space="preserve">Conv1d 16→32, kernel 5, stride 2 + BatchNorm + GELU</w:t>
            </w:r>
          </w:p>
        </w:tc>
        <w:tc>
          <w:tcPr>
            <w:tcW w:type="dxa" w:w="1400"/>
          </w:tcPr>
          <w:p>
            <w:pPr>
              <w:pStyle w:val="TableText"/>
              <w:keepNext/>
              <w:jc w:val="left"/>
            </w:pPr>
            <w:r>
              <w:rPr>
                <w:rFonts w:ascii="Times New Roman" w:hAnsi="Times New Roman" w:cs="Times New Roman" w:eastAsia="Times New Roman"/>
                <w:sz w:val="20"/>
              </w:rPr>
              <w:t xml:space="preserve">250</w:t>
            </w:r>
          </w:p>
        </w:tc>
        <w:tc>
          <w:tcPr>
            <w:tcW w:type="dxa" w:w="1706"/>
          </w:tcPr>
          <w:p>
            <w:pPr>
              <w:pStyle w:val="TableText"/>
              <w:keepNext/>
              <w:jc w:val="left"/>
            </w:pPr>
            <w:r>
              <w:rPr>
                <w:rFonts w:ascii="Times New Roman" w:hAnsi="Times New Roman" w:cs="Times New Roman" w:eastAsia="Times New Roman"/>
                <w:sz w:val="20"/>
              </w:rPr>
              <w:t xml:space="preserve">2,624</w:t>
            </w:r>
          </w:p>
        </w:tc>
      </w:tr>
      <w:tr>
        <w:trPr>
          <w:cantSplit/>
        </w:trPr>
        <w:tc>
          <w:tcPr>
            <w:tcW w:type="dxa" w:w="1500"/>
          </w:tcPr>
          <w:p>
            <w:pPr>
              <w:pStyle w:val="TableText"/>
              <w:keepNext/>
              <w:jc w:val="left"/>
            </w:pPr>
            <w:r>
              <w:rPr>
                <w:rFonts w:ascii="Times New Roman" w:hAnsi="Times New Roman" w:cs="Times New Roman" w:eastAsia="Times New Roman"/>
                <w:sz w:val="20"/>
              </w:rPr>
              <w:t xml:space="preserve">Multi-scale block 1</w:t>
            </w:r>
          </w:p>
        </w:tc>
        <w:tc>
          <w:tcPr>
            <w:tcW w:type="dxa" w:w="3700"/>
          </w:tcPr>
          <w:p>
            <w:pPr>
              <w:pStyle w:val="TableText"/>
              <w:keepNext/>
              <w:jc w:val="left"/>
            </w:pPr>
            <w:r>
              <w:rPr>
                <w:rFonts w:ascii="Times New Roman" w:hAnsi="Times New Roman" w:cs="Times New Roman" w:eastAsia="Times New Roman"/>
                <w:sz w:val="20"/>
              </w:rPr>
              <w:t xml:space="preserve">Kernels 3/9/19 on 32 channels, 1×1 fusion, residual</w:t>
            </w:r>
          </w:p>
        </w:tc>
        <w:tc>
          <w:tcPr>
            <w:tcW w:type="dxa" w:w="1400"/>
          </w:tcPr>
          <w:p>
            <w:pPr>
              <w:pStyle w:val="TableText"/>
              <w:keepNext/>
              <w:jc w:val="left"/>
            </w:pPr>
            <w:r>
              <w:rPr>
                <w:rFonts w:ascii="Times New Roman" w:hAnsi="Times New Roman" w:cs="Times New Roman" w:eastAsia="Times New Roman"/>
                <w:sz w:val="20"/>
              </w:rPr>
              <w:t xml:space="preserve">250</w:t>
            </w:r>
          </w:p>
        </w:tc>
        <w:tc>
          <w:tcPr>
            <w:tcW w:type="dxa" w:w="1706"/>
          </w:tcPr>
          <w:p>
            <w:pPr>
              <w:pStyle w:val="TableText"/>
              <w:keepNext/>
              <w:jc w:val="left"/>
            </w:pPr>
            <w:r>
              <w:rPr>
                <w:rFonts w:ascii="Times New Roman" w:hAnsi="Times New Roman" w:cs="Times New Roman" w:eastAsia="Times New Roman"/>
                <w:sz w:val="20"/>
              </w:rPr>
              <w:t xml:space="preserve">34,880</w:t>
            </w:r>
          </w:p>
        </w:tc>
      </w:tr>
      <w:tr>
        <w:trPr>
          <w:cantSplit/>
        </w:trPr>
        <w:tc>
          <w:tcPr>
            <w:tcW w:type="dxa" w:w="1500"/>
          </w:tcPr>
          <w:p>
            <w:pPr>
              <w:pStyle w:val="TableText"/>
              <w:keepNext/>
              <w:jc w:val="left"/>
            </w:pPr>
            <w:r>
              <w:rPr>
                <w:rFonts w:ascii="Times New Roman" w:hAnsi="Times New Roman" w:cs="Times New Roman" w:eastAsia="Times New Roman"/>
                <w:sz w:val="20"/>
              </w:rPr>
              <w:t xml:space="preserve">Stage 2</w:t>
            </w:r>
          </w:p>
        </w:tc>
        <w:tc>
          <w:tcPr>
            <w:tcW w:type="dxa" w:w="3700"/>
          </w:tcPr>
          <w:p>
            <w:pPr>
              <w:pStyle w:val="TableText"/>
              <w:keepNext/>
              <w:jc w:val="left"/>
            </w:pPr>
            <w:r>
              <w:rPr>
                <w:rFonts w:ascii="Times New Roman" w:hAnsi="Times New Roman" w:cs="Times New Roman" w:eastAsia="Times New Roman"/>
                <w:sz w:val="20"/>
              </w:rPr>
              <w:t xml:space="preserve">Conv1d 32→64, kernel 5, stride 2 + BatchNorm + GELU</w:t>
            </w:r>
          </w:p>
        </w:tc>
        <w:tc>
          <w:tcPr>
            <w:tcW w:type="dxa" w:w="1400"/>
          </w:tcPr>
          <w:p>
            <w:pPr>
              <w:pStyle w:val="TableText"/>
              <w:keepNext/>
              <w:jc w:val="left"/>
            </w:pPr>
            <w:r>
              <w:rPr>
                <w:rFonts w:ascii="Times New Roman" w:hAnsi="Times New Roman" w:cs="Times New Roman" w:eastAsia="Times New Roman"/>
                <w:sz w:val="20"/>
              </w:rPr>
              <w:t xml:space="preserve">125</w:t>
            </w:r>
          </w:p>
        </w:tc>
        <w:tc>
          <w:tcPr>
            <w:tcW w:type="dxa" w:w="1706"/>
          </w:tcPr>
          <w:p>
            <w:pPr>
              <w:pStyle w:val="TableText"/>
              <w:keepNext/>
              <w:jc w:val="left"/>
            </w:pPr>
            <w:r>
              <w:rPr>
                <w:rFonts w:ascii="Times New Roman" w:hAnsi="Times New Roman" w:cs="Times New Roman" w:eastAsia="Times New Roman"/>
                <w:sz w:val="20"/>
              </w:rPr>
              <w:t xml:space="preserve">10,368</w:t>
            </w:r>
          </w:p>
        </w:tc>
      </w:tr>
      <w:tr>
        <w:trPr>
          <w:cantSplit/>
        </w:trPr>
        <w:tc>
          <w:tcPr>
            <w:tcW w:type="dxa" w:w="1500"/>
          </w:tcPr>
          <w:p>
            <w:pPr>
              <w:pStyle w:val="TableText"/>
              <w:keepNext/>
              <w:jc w:val="left"/>
            </w:pPr>
            <w:r>
              <w:rPr>
                <w:rFonts w:ascii="Times New Roman" w:hAnsi="Times New Roman" w:cs="Times New Roman" w:eastAsia="Times New Roman"/>
                <w:sz w:val="20"/>
              </w:rPr>
              <w:t xml:space="preserve">Multi-scale block 2</w:t>
            </w:r>
          </w:p>
        </w:tc>
        <w:tc>
          <w:tcPr>
            <w:tcW w:type="dxa" w:w="3700"/>
          </w:tcPr>
          <w:p>
            <w:pPr>
              <w:pStyle w:val="TableText"/>
              <w:keepNext/>
              <w:jc w:val="left"/>
            </w:pPr>
            <w:r>
              <w:rPr>
                <w:rFonts w:ascii="Times New Roman" w:hAnsi="Times New Roman" w:cs="Times New Roman" w:eastAsia="Times New Roman"/>
                <w:sz w:val="20"/>
              </w:rPr>
              <w:t xml:space="preserve">Kernels 3/9/19 on 64 channels, 1×1 fusion, residual</w:t>
            </w:r>
          </w:p>
        </w:tc>
        <w:tc>
          <w:tcPr>
            <w:tcW w:type="dxa" w:w="1400"/>
          </w:tcPr>
          <w:p>
            <w:pPr>
              <w:pStyle w:val="TableText"/>
              <w:keepNext/>
              <w:jc w:val="left"/>
            </w:pPr>
            <w:r>
              <w:rPr>
                <w:rFonts w:ascii="Times New Roman" w:hAnsi="Times New Roman" w:cs="Times New Roman" w:eastAsia="Times New Roman"/>
                <w:sz w:val="20"/>
              </w:rPr>
              <w:t xml:space="preserve">125</w:t>
            </w:r>
          </w:p>
        </w:tc>
        <w:tc>
          <w:tcPr>
            <w:tcW w:type="dxa" w:w="1706"/>
          </w:tcPr>
          <w:p>
            <w:pPr>
              <w:pStyle w:val="TableText"/>
              <w:keepNext/>
              <w:jc w:val="left"/>
            </w:pPr>
            <w:r>
              <w:rPr>
                <w:rFonts w:ascii="Times New Roman" w:hAnsi="Times New Roman" w:cs="Times New Roman" w:eastAsia="Times New Roman"/>
                <w:sz w:val="20"/>
              </w:rPr>
              <w:t xml:space="preserve">139,392</w:t>
            </w:r>
          </w:p>
        </w:tc>
      </w:tr>
      <w:tr>
        <w:trPr>
          <w:cantSplit/>
        </w:trPr>
        <w:tc>
          <w:tcPr>
            <w:tcW w:type="dxa" w:w="1500"/>
          </w:tcPr>
          <w:p>
            <w:pPr>
              <w:pStyle w:val="TableText"/>
              <w:keepNext/>
              <w:jc w:val="left"/>
            </w:pPr>
            <w:r>
              <w:rPr>
                <w:rFonts w:ascii="Times New Roman" w:hAnsi="Times New Roman" w:cs="Times New Roman" w:eastAsia="Times New Roman"/>
                <w:sz w:val="20"/>
              </w:rPr>
              <w:t xml:space="preserve">Stage 3</w:t>
            </w:r>
          </w:p>
        </w:tc>
        <w:tc>
          <w:tcPr>
            <w:tcW w:type="dxa" w:w="3700"/>
          </w:tcPr>
          <w:p>
            <w:pPr>
              <w:pStyle w:val="TableText"/>
              <w:keepNext/>
              <w:jc w:val="left"/>
            </w:pPr>
            <w:r>
              <w:rPr>
                <w:rFonts w:ascii="Times New Roman" w:hAnsi="Times New Roman" w:cs="Times New Roman" w:eastAsia="Times New Roman"/>
                <w:sz w:val="20"/>
              </w:rPr>
              <w:t xml:space="preserve">Conv1d 64→128, kernel 5, stride 2 + BatchNorm + GELU</w:t>
            </w:r>
          </w:p>
        </w:tc>
        <w:tc>
          <w:tcPr>
            <w:tcW w:type="dxa" w:w="1400"/>
          </w:tcPr>
          <w:p>
            <w:pPr>
              <w:pStyle w:val="TableText"/>
              <w:keepNext/>
              <w:jc w:val="left"/>
            </w:pPr>
            <w:r>
              <w:rPr>
                <w:rFonts w:ascii="Times New Roman" w:hAnsi="Times New Roman" w:cs="Times New Roman" w:eastAsia="Times New Roman"/>
                <w:sz w:val="20"/>
              </w:rPr>
              <w:t xml:space="preserve">63</w:t>
            </w:r>
          </w:p>
        </w:tc>
        <w:tc>
          <w:tcPr>
            <w:tcW w:type="dxa" w:w="1706"/>
          </w:tcPr>
          <w:p>
            <w:pPr>
              <w:pStyle w:val="TableText"/>
              <w:keepNext/>
              <w:jc w:val="left"/>
            </w:pPr>
            <w:r>
              <w:rPr>
                <w:rFonts w:ascii="Times New Roman" w:hAnsi="Times New Roman" w:cs="Times New Roman" w:eastAsia="Times New Roman"/>
                <w:sz w:val="20"/>
              </w:rPr>
              <w:t xml:space="preserve">41,216</w:t>
            </w:r>
          </w:p>
        </w:tc>
      </w:tr>
      <w:tr>
        <w:trPr>
          <w:cantSplit/>
        </w:trPr>
        <w:tc>
          <w:tcPr>
            <w:tcW w:type="dxa" w:w="1500"/>
          </w:tcPr>
          <w:p>
            <w:pPr>
              <w:pStyle w:val="TableText"/>
              <w:keepNext/>
              <w:jc w:val="left"/>
            </w:pPr>
            <w:r>
              <w:rPr>
                <w:rFonts w:ascii="Times New Roman" w:hAnsi="Times New Roman" w:cs="Times New Roman" w:eastAsia="Times New Roman"/>
                <w:sz w:val="20"/>
              </w:rPr>
              <w:t xml:space="preserve">Multi-scale block 3</w:t>
            </w:r>
          </w:p>
        </w:tc>
        <w:tc>
          <w:tcPr>
            <w:tcW w:type="dxa" w:w="3700"/>
          </w:tcPr>
          <w:p>
            <w:pPr>
              <w:pStyle w:val="TableText"/>
              <w:keepNext/>
              <w:jc w:val="left"/>
            </w:pPr>
            <w:r>
              <w:rPr>
                <w:rFonts w:ascii="Times New Roman" w:hAnsi="Times New Roman" w:cs="Times New Roman" w:eastAsia="Times New Roman"/>
                <w:sz w:val="20"/>
              </w:rPr>
              <w:t xml:space="preserve">Kernels 3/9/19 on 128 channels, 1×1 fusion, residual</w:t>
            </w:r>
          </w:p>
        </w:tc>
        <w:tc>
          <w:tcPr>
            <w:tcW w:type="dxa" w:w="1400"/>
          </w:tcPr>
          <w:p>
            <w:pPr>
              <w:pStyle w:val="TableText"/>
              <w:keepNext/>
              <w:jc w:val="left"/>
            </w:pPr>
            <w:r>
              <w:rPr>
                <w:rFonts w:ascii="Times New Roman" w:hAnsi="Times New Roman" w:cs="Times New Roman" w:eastAsia="Times New Roman"/>
                <w:sz w:val="20"/>
              </w:rPr>
              <w:t xml:space="preserve">63</w:t>
            </w:r>
          </w:p>
        </w:tc>
        <w:tc>
          <w:tcPr>
            <w:tcW w:type="dxa" w:w="1706"/>
          </w:tcPr>
          <w:p>
            <w:pPr>
              <w:pStyle w:val="TableText"/>
              <w:keepNext/>
              <w:jc w:val="left"/>
            </w:pPr>
            <w:r>
              <w:rPr>
                <w:rFonts w:ascii="Times New Roman" w:hAnsi="Times New Roman" w:cs="Times New Roman" w:eastAsia="Times New Roman"/>
                <w:sz w:val="20"/>
              </w:rPr>
              <w:t xml:space="preserve">557,312</w:t>
            </w:r>
          </w:p>
        </w:tc>
      </w:tr>
      <w:tr>
        <w:trPr>
          <w:cantSplit/>
        </w:trPr>
        <w:tc>
          <w:tcPr>
            <w:tcW w:type="dxa" w:w="1500"/>
          </w:tcPr>
          <w:p>
            <w:pPr>
              <w:pStyle w:val="TableText"/>
              <w:keepNext/>
              <w:jc w:val="left"/>
            </w:pPr>
            <w:r>
              <w:rPr>
                <w:rFonts w:ascii="Times New Roman" w:hAnsi="Times New Roman" w:cs="Times New Roman" w:eastAsia="Times New Roman"/>
                <w:sz w:val="20"/>
              </w:rPr>
              <w:t xml:space="preserve">Pool</w:t>
            </w:r>
          </w:p>
        </w:tc>
        <w:tc>
          <w:tcPr>
            <w:tcW w:type="dxa" w:w="3700"/>
          </w:tcPr>
          <w:p>
            <w:pPr>
              <w:pStyle w:val="TableText"/>
              <w:keepNext/>
              <w:jc w:val="left"/>
            </w:pPr>
            <w:r>
              <w:rPr>
                <w:rFonts w:ascii="Times New Roman" w:hAnsi="Times New Roman" w:cs="Times New Roman" w:eastAsia="Times New Roman"/>
                <w:sz w:val="20"/>
              </w:rPr>
              <w:t xml:space="preserve">Deterministic adaptive average pool (16); transpose → (16, 128)</w:t>
            </w:r>
          </w:p>
        </w:tc>
        <w:tc>
          <w:tcPr>
            <w:tcW w:type="dxa" w:w="1400"/>
          </w:tcPr>
          <w:p>
            <w:pPr>
              <w:pStyle w:val="TableText"/>
              <w:keepNext/>
              <w:jc w:val="left"/>
            </w:pPr>
            <w:r>
              <w:rPr>
                <w:rFonts w:ascii="Times New Roman" w:hAnsi="Times New Roman" w:cs="Times New Roman" w:eastAsia="Times New Roman"/>
                <w:sz w:val="20"/>
              </w:rPr>
              <w:t xml:space="preserve">16</w:t>
            </w:r>
          </w:p>
        </w:tc>
        <w:tc>
          <w:tcPr>
            <w:tcW w:type="dxa" w:w="1706"/>
          </w:tcPr>
          <w:p>
            <w:pPr>
              <w:pStyle w:val="TableText"/>
              <w:keepNext/>
              <w:jc w:val="left"/>
            </w:pPr>
            <w:r>
              <w:rPr>
                <w:rFonts w:ascii="Times New Roman" w:hAnsi="Times New Roman" w:cs="Times New Roman" w:eastAsia="Times New Roman"/>
                <w:sz w:val="20"/>
              </w:rPr>
              <w:t xml:space="preserve">0</w:t>
            </w:r>
          </w:p>
        </w:tc>
      </w:tr>
      <w:tr>
        <w:trPr>
          <w:cantSplit/>
        </w:trPr>
        <w:tc>
          <w:tcPr>
            <w:tcW w:type="dxa" w:w="1500"/>
          </w:tcPr>
          <w:p>
            <w:pPr>
              <w:pStyle w:val="TableText"/>
              <w:jc w:val="left"/>
            </w:pPr>
            <w:r>
              <w:rPr>
                <w:rFonts w:ascii="Times New Roman" w:hAnsi="Times New Roman" w:cs="Times New Roman" w:eastAsia="Times New Roman"/>
                <w:b/>
                <w:sz w:val="20"/>
              </w:rPr>
              <w:t xml:space="preserve">Total</w:t>
            </w:r>
          </w:p>
        </w:tc>
        <w:tc>
          <w:tcPr>
            <w:tcW w:type="dxa" w:w="3700"/>
          </w:tcPr>
          <w:p>
            <w:pPr>
              <w:pStyle w:val="TableText"/>
              <w:jc w:val="left"/>
            </w:pPr>
          </w:p>
        </w:tc>
        <w:tc>
          <w:tcPr>
            <w:tcW w:type="dxa" w:w="1400"/>
          </w:tcPr>
          <w:p>
            <w:pPr>
              <w:pStyle w:val="TableText"/>
              <w:jc w:val="left"/>
            </w:pPr>
          </w:p>
        </w:tc>
        <w:tc>
          <w:tcPr>
            <w:tcW w:type="dxa" w:w="1706"/>
          </w:tcPr>
          <w:p>
            <w:pPr>
              <w:pStyle w:val="TableText"/>
              <w:jc w:val="left"/>
            </w:pPr>
            <w:r>
              <w:rPr>
                <w:rFonts w:ascii="Times New Roman" w:hAnsi="Times New Roman" w:cs="Times New Roman" w:eastAsia="Times New Roman"/>
                <w:b/>
                <w:sz w:val="20"/>
              </w:rPr>
              <w:t xml:space="preserve">785,936</w:t>
            </w:r>
          </w:p>
        </w:tc>
      </w:tr>
    </w:tbl>
    <w:p>
      <w:pPr>
        <w:spacing w:after="80" w:line="240" w:lineRule="auto"/>
      </w:pPr>
    </w:p>
    <w:p>
      <w:pPr>
        <w:pStyle w:val="BodyJ"/>
      </w:pPr>
      <w:r>
        <w:rPr>
          <w:rFonts w:ascii="Times New Roman" w:hAnsi="Times New Roman" w:cs="Times New Roman" w:eastAsia="Times New Roman"/>
        </w:rPr>
        <w:t xml:space="preserve">The strided stages bring the 500 samples down to 63 positions (an output stride of 8 samples, 32 ms at 250 Hz), which the adaptive pool averages into 16 tokens, so that each token nominally summarises about 125 ms of the 2 s epoch (Figure 4.3). The tokens are learned feature positions: without further temporal registration they should not be read as calibrated millisecond bins. A fixed sinusoidal positional encoding is added to the temporal tokens in CAFN. In spectrum mode the same encoder operates on a spectrum, and the token axis corresponds to frequency, not time.</w:t>
      </w:r>
    </w:p>
    <w:p>
      <w:pPr>
        <w:keepNext/>
        <w:spacing w:before="120" w:after="40" w:line="240" w:lineRule="auto"/>
        <w:jc w:val="center"/>
      </w:pPr>
      <w:r>
        <w:drawing>
          <wp:inline xmlns:a="http://schemas.openxmlformats.org/drawingml/2006/main" xmlns:pic="http://schemas.openxmlformats.org/drawingml/2006/picture">
            <wp:extent cx="4680000" cy="1859909"/>
            <wp:docPr id="19" name="Picture 19"/>
            <wp:cNvGraphicFramePr>
              <a:graphicFrameLocks noChangeAspect="1"/>
            </wp:cNvGraphicFramePr>
            <a:graphic>
              <a:graphicData uri="http://schemas.openxmlformats.org/drawingml/2006/picture">
                <pic:pic>
                  <pic:nvPicPr>
                    <pic:cNvPr id="0" name="fig_token_time.png"/>
                    <pic:cNvPicPr/>
                  </pic:nvPicPr>
                  <pic:blipFill>
                    <a:blip r:embed="rId27"/>
                    <a:stretch>
                      <a:fillRect/>
                    </a:stretch>
                  </pic:blipFill>
                  <pic:spPr>
                    <a:xfrm>
                      <a:off x="0" y="0"/>
                      <a:ext cx="4680000" cy="1859909"/>
                    </a:xfrm>
                    <a:prstGeom prst="rect"/>
                  </pic:spPr>
                </pic:pic>
              </a:graphicData>
            </a:graphic>
          </wp:inline>
        </w:drawing>
      </w:r>
    </w:p>
    <w:p>
      <w:pPr>
        <w:pStyle w:val="Caption"/>
      </w:pPr>
      <w:bookmarkStart w:id="1025" w:name="_Ref_Figure_4_3"/>
      <w:r>
        <w:rPr>
          <w:rFonts w:ascii="Times New Roman" w:hAnsi="Times New Roman" w:cs="Times New Roman" w:eastAsia="Times New Roman"/>
          <w:b/>
          <w:sz w:val="22"/>
        </w:rPr>
        <w:t xml:space="preserve">Figure 4.3: </w:t>
      </w:r>
      <w:r>
        <w:rPr>
          <w:rFonts w:ascii="Times New Roman" w:hAnsi="Times New Roman" w:cs="Times New Roman" w:eastAsia="Times New Roman"/>
          <w:sz w:val="22"/>
        </w:rPr>
        <w:t>Nominal mapping of the 16 temporal tokens onto the 2 s epoch (125 ms per token) over an example conditioned VEP. The shaded region is token 0.</w:t>
      </w:r>
      <w:bookmarkEnd w:id="1025"/>
    </w:p>
    <w:p>
      <w:pPr>
        <w:pStyle w:val="Heading2"/>
      </w:pPr>
      <w:r>
        <w:rPr>
          <w:rFonts w:ascii="Times New Roman" w:hAnsi="Times New Roman" w:cs="Times New Roman" w:eastAsia="Times New Roman"/>
          <w:b/>
          <w:sz w:val="28"/>
        </w:rPr>
        <w:t>4.4  CROSS-ATTENTION FUSION MODULE</w:t>
      </w:r>
    </w:p>
    <w:p>
      <w:pPr>
        <w:pStyle w:val="BodyJ"/>
      </w:pPr>
      <w:r>
        <w:rPr>
          <w:rFonts w:ascii="Times New Roman" w:hAnsi="Times New Roman" w:cs="Times New Roman" w:eastAsia="Times New Roman"/>
        </w:rPr>
        <w:t xml:space="preserve">The fusion module (</w:t>
      </w:r>
      <w:r>
        <w:rPr>
          <w:rFonts w:ascii="Courier New" w:hAnsi="Courier New" w:cs="Courier New" w:eastAsia="Courier New"/>
        </w:rPr>
        <w:t xml:space="preserve">src/models/cross_attention.py</w:t>
      </w:r>
      <w:r>
        <w:rPr>
          <w:rFonts w:ascii="Times New Roman" w:hAnsi="Times New Roman" w:cs="Times New Roman" w:eastAsia="Times New Roman"/>
        </w:rPr>
        <w:t xml:space="preserve">) is the central component. Its building block is multi-head cross-attention in which the queries come from one token sequence and the keys and values from the other. In the original (v1) design only the spatial tokens </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s</w:t>
      </w:r>
      <w:r>
        <w:rPr>
          <w:rFonts w:ascii="Times New Roman" w:hAnsi="Times New Roman" w:cs="Times New Roman" w:eastAsia="Times New Roman"/>
        </w:rPr>
        <w:t xml:space="preserve"> (64 × 128) supplied the queries and the temporal tokens </w:t>
      </w:r>
      <w:r>
        <w:rPr>
          <w:rFonts w:ascii="Times New Roman" w:hAnsi="Times New Roman" w:cs="Times New Roman" w:eastAsia="Times New Roman"/>
          <w:i/>
        </w:rPr>
        <w:t xml:space="preserve">X</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(16 × 128) supplied the keys and values (Equation 4.2), so that each spatial token could attend to any of the 16 temporal tokens.</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r>
                  <m:t>Q</m:t>
                </m:r>
                <m:r>
                  <m:t>=</m:t>
                </m:r>
                <m:sSub>
                  <m:e>
                    <m:r>
                      <m:t>X</m:t>
                    </m:r>
                  </m:e>
                  <m:sub>
                    <m:r>
                      <m:t>s</m:t>
                    </m:r>
                  </m:sub>
                </m:sSub>
                <m:sSub>
                  <m:e>
                    <m:r>
                      <m:t>W</m:t>
                    </m:r>
                  </m:e>
                  <m:sub>
                    <m:r>
                      <m:t>Q</m:t>
                    </m:r>
                  </m:sub>
                </m:sSub>
                <m:r>
                  <m:t>,</m:t>
                </m:r>
                <m:r>
                  <m:t>  </m:t>
                </m:r>
                <m:r>
                  <m:t>K</m:t>
                </m:r>
                <m:r>
                  <m:t>=</m:t>
                </m:r>
                <m:sSub>
                  <m:e>
                    <m:r>
                      <m:t>X</m:t>
                    </m:r>
                  </m:e>
                  <m:sub>
                    <m:r>
                      <m:t>t</m:t>
                    </m:r>
                  </m:sub>
                </m:sSub>
                <m:sSub>
                  <m:e>
                    <m:r>
                      <m:t>W</m:t>
                    </m:r>
                  </m:e>
                  <m:sub>
                    <m:r>
                      <m:t>K</m:t>
                    </m:r>
                  </m:sub>
                </m:sSub>
                <m:r>
                  <m:t>,</m:t>
                </m:r>
                <m:r>
                  <m:t>  </m:t>
                </m:r>
                <m:r>
                  <m:t>V</m:t>
                </m:r>
                <m:r>
                  <m:t>=</m:t>
                </m:r>
                <m:sSub>
                  <m:e>
                    <m:r>
                      <m:t>X</m:t>
                    </m:r>
                  </m:e>
                  <m:sub>
                    <m:r>
                      <m:t>t</m:t>
                    </m:r>
                  </m:sub>
                </m:sSub>
                <m:sSub>
                  <m:e>
                    <m:r>
                      <m:t>W</m:t>
                    </m:r>
                  </m:e>
                  <m:sub>
                    <m:r>
                      <m:t>V</m:t>
                    </m:r>
                  </m:sub>
                </m:sSub>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(4.2)</w:t>
            </w:r>
          </w:p>
        </w:tc>
      </w:tr>
    </w:tbl>
    <w:p>
      <w:pPr>
        <w:pStyle w:val="BodyJ"/>
        <w:ind w:firstLine="0"/>
      </w:pPr>
      <w:r>
        <w:rPr>
          <w:rFonts w:ascii="Times New Roman" w:hAnsi="Times New Roman" w:cs="Times New Roman" w:eastAsia="Times New Roman"/>
        </w:rPr>
        <w:t xml:space="preserve">With </w:t>
      </w:r>
      <w:r>
        <w:rPr>
          <w:rFonts w:ascii="Times New Roman" w:hAnsi="Times New Roman" w:cs="Times New Roman" w:eastAsia="Times New Roman"/>
          <w:i/>
        </w:rPr>
        <w:t>d</w:t>
      </w:r>
      <w:r>
        <w:rPr>
          <w:rFonts w:ascii="Times New Roman" w:hAnsi="Times New Roman" w:cs="Times New Roman" w:eastAsia="Times New Roman"/>
          <w:vertAlign w:val="subscript"/>
        </w:rPr>
        <w:t>model</w:t>
      </w:r>
      <w:r>
        <w:rPr>
          <w:rFonts w:ascii="Times New Roman" w:hAnsi="Times New Roman" w:cs="Times New Roman" w:eastAsia="Times New Roman"/>
        </w:rPr>
        <w:t xml:space="preserve"> = 128 and </w:t>
      </w:r>
      <w:r>
        <w:rPr>
          <w:rFonts w:ascii="Times New Roman" w:hAnsi="Times New Roman" w:cs="Times New Roman" w:eastAsia="Times New Roman"/>
          <w:i/>
        </w:rPr>
        <w:t>H</w:t>
      </w:r>
      <w:r>
        <w:rPr>
          <w:rFonts w:ascii="Times New Roman" w:hAnsi="Times New Roman" w:cs="Times New Roman" w:eastAsia="Times New Roman"/>
        </w:rPr>
        <w:t xml:space="preserve"> = 4 heads, each head has dimension </w:t>
      </w:r>
      <w:r>
        <w:rPr>
          <w:rFonts w:ascii="Times New Roman" w:hAnsi="Times New Roman" w:cs="Times New Roman" w:eastAsia="Times New Roman"/>
          <w:i/>
        </w:rPr>
        <w:t>d</w:t>
      </w:r>
      <w:r>
        <w:rPr>
          <w:rFonts w:ascii="Times New Roman" w:hAnsi="Times New Roman" w:cs="Times New Roman" w:eastAsia="Times New Roman"/>
          <w:vertAlign w:val="subscript"/>
        </w:rPr>
        <w:t>h</w:t>
      </w:r>
      <w:r>
        <w:rPr>
          <w:rFonts w:ascii="Times New Roman" w:hAnsi="Times New Roman" w:cs="Times New Roman" w:eastAsia="Times New Roman"/>
        </w:rPr>
        <w:t xml:space="preserve"> = 32. For head </w:t>
      </w:r>
      <w:r>
        <w:rPr>
          <w:rFonts w:ascii="Times New Roman" w:hAnsi="Times New Roman" w:cs="Times New Roman" w:eastAsia="Times New Roman"/>
          <w:i/>
        </w:rPr>
        <w:t>h</w:t>
      </w:r>
      <w:r>
        <w:rPr>
          <w:rFonts w:ascii="Times New Roman" w:hAnsi="Times New Roman" w:cs="Times New Roman" w:eastAsia="Times New Roman"/>
        </w:rPr>
        <w:t xml:space="preserve"> the scaled dot-product attention is computed (Vaswani et al., 2017), with a softmax over the 16 temporal tokens, followed by dropout on the attention weights (p = 0.1):</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sSub>
                  <m:e>
                    <m:r>
                      <m:t>A</m:t>
                    </m:r>
                  </m:e>
                  <m:sub>
                    <m:r>
                      <m:t>h</m:t>
                    </m:r>
                  </m:sub>
                </m:sSub>
                <m:r>
                  <m:t>=</m:t>
                </m:r>
                <m:r>
                  <m:rPr>
                    <m:sty m:val="p"/>
                  </m:rPr>
                  <m:t>softmax</m:t>
                </m:r>
                <m:d>
                  <m:dPr>
                    <m:begChr m:val="("/>
                    <m:endChr m:val=")"/>
                    <m:grow/>
                  </m:dPr>
                  <m:e>
                    <m:f>
                      <m:fPr>
                        <m:type m:val="bar"/>
                      </m:fPr>
                      <m:num>
                        <m:sSub>
                          <m:e>
                            <m:r>
                              <m:t>Q</m:t>
                            </m:r>
                          </m:e>
                          <m:sub>
                            <m:r>
                              <m:t>h</m:t>
                            </m:r>
                          </m:sub>
                        </m:sSub>
                        <m:sSubSup>
                          <m:e>
                            <m:r>
                              <m:t>K</m:t>
                            </m:r>
                          </m:e>
                          <m:sub>
                            <m:r>
                              <m:t>h</m:t>
                            </m:r>
                          </m:sub>
                          <m:sup>
                            <m:r>
                              <m:t>T</m:t>
                            </m:r>
                          </m:sup>
                        </m:sSubSup>
                      </m:num>
                      <m:den>
                        <m:rad>
                          <m:radPr>
                            <m:degHide m:val="1"/>
                          </m:radPr>
                          <m:deg/>
                          <m:e>
                            <m:sSub>
                              <m:e>
                                <m:r>
                                  <m:t>d</m:t>
                                </m:r>
                              </m:e>
                              <m:sub>
                                <m:r>
                                  <m:t>h</m:t>
                                </m:r>
                              </m:sub>
                            </m:sSub>
                          </m:e>
                        </m:rad>
                      </m:den>
                    </m:f>
                  </m:e>
                </m:d>
                <m:r>
                  <m:t>,</m:t>
                </m:r>
                <m:r>
                  <m:t>  </m:t>
                </m:r>
                <m:sSub>
                  <m:e>
                    <m:r>
                      <m:t>O</m:t>
                    </m:r>
                  </m:e>
                  <m:sub>
                    <m:r>
                      <m:t>h</m:t>
                    </m:r>
                  </m:sub>
                </m:sSub>
                <m:r>
                  <m:t>=</m:t>
                </m:r>
                <m:sSub>
                  <m:e>
                    <m:r>
                      <m:t>A</m:t>
                    </m:r>
                  </m:e>
                  <m:sub>
                    <m:r>
                      <m:t>h</m:t>
                    </m:r>
                  </m:sub>
                </m:sSub>
                <m:sSub>
                  <m:e>
                    <m:r>
                      <m:t>V</m:t>
                    </m:r>
                  </m:e>
                  <m:sub>
                    <m:r>
                      <m:t>h</m:t>
                    </m:r>
                  </m:sub>
                </m:sSub>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(4.3)</w:t>
            </w:r>
          </w:p>
        </w:tc>
      </w:tr>
    </w:tbl>
    <w:p>
      <w:pPr>
        <w:pStyle w:val="BodyJ"/>
      </w:pPr>
      <w:r>
        <w:rPr>
          <w:rFonts w:ascii="Times New Roman" w:hAnsi="Times New Roman" w:cs="Times New Roman" w:eastAsia="Times New Roman"/>
          <w:b/>
        </w:rPr>
        <w:t xml:space="preserve">Gated bidirectional block (final design).</w:t>
      </w:r>
      <w:r>
        <w:rPr>
          <w:rFonts w:ascii="Times New Roman" w:hAnsi="Times New Roman" w:cs="Times New Roman" w:eastAsia="Times New Roman"/>
        </w:rPr>
        <w:t xml:space="preserve"> The final module updates both streams in each of </w:t>
      </w:r>
      <w:r>
        <w:rPr>
          <w:rFonts w:ascii="Times New Roman" w:hAnsi="Times New Roman" w:cs="Times New Roman" w:eastAsia="Times New Roman"/>
          <w:i/>
        </w:rPr>
        <w:t xml:space="preserve">N</w:t>
      </w:r>
      <w:r>
        <w:rPr>
          <w:rFonts w:ascii="Times New Roman" w:hAnsi="Times New Roman" w:cs="Times New Roman" w:eastAsia="Times New Roman"/>
        </w:rPr>
        <w:t xml:space="preserve"> pre-norm blocks (</w:t>
      </w:r>
      <w:r>
        <w:rPr>
          <w:rFonts w:ascii="Times New Roman" w:hAnsi="Times New Roman" w:cs="Times New Roman" w:eastAsia="Times New Roman"/>
          <w:i/>
        </w:rPr>
        <w:t xml:space="preserve">N</w:t>
      </w:r>
      <w:r>
        <w:rPr>
          <w:rFonts w:ascii="Times New Roman" w:hAnsi="Times New Roman" w:cs="Times New Roman" w:eastAsia="Times New Roman"/>
        </w:rPr>
        <w:t xml:space="preserve"> = </w:t>
      </w:r>
      <w:r>
        <w:rPr>
          <w:rFonts w:ascii="Courier New" w:hAnsi="Courier New" w:cs="Courier New" w:eastAsia="Courier New"/>
        </w:rPr>
        <w:t xml:space="preserve">fusion_blocks</w:t>
      </w:r>
      <w:r>
        <w:rPr>
          <w:rFonts w:ascii="Times New Roman" w:hAnsi="Times New Roman" w:cs="Times New Roman" w:eastAsia="Times New Roman"/>
        </w:rPr>
        <w:t xml:space="preserve">, 1 by default), the temporal stream first so that the spatial read, which feeds the fused head, consumes the enriched temporal tokens. With LN layer normalisation, CA(</w:t>
      </w:r>
      <w:r>
        <w:rPr>
          <w:rFonts w:ascii="Times New Roman" w:hAnsi="Times New Roman" w:cs="Times New Roman" w:eastAsia="Times New Roman"/>
          <w:i/>
        </w:rPr>
        <w:t xml:space="preserve">q</w:t>
      </w:r>
      <w:r>
        <w:rPr>
          <w:rFonts w:ascii="Times New Roman" w:hAnsi="Times New Roman" w:cs="Times New Roman" w:eastAsia="Times New Roman"/>
        </w:rPr>
        <w:t xml:space="preserve">, </w:t>
      </w:r>
      <w:r>
        <w:rPr>
          <w:rFonts w:ascii="Times New Roman" w:hAnsi="Times New Roman" w:cs="Times New Roman" w:eastAsia="Times New Roman"/>
          <w:i/>
        </w:rPr>
        <w:t xml:space="preserve">kv</w:t>
      </w:r>
      <w:r>
        <w:rPr>
          <w:rFonts w:ascii="Times New Roman" w:hAnsi="Times New Roman" w:cs="Times New Roman" w:eastAsia="Times New Roman"/>
        </w:rPr>
        <w:t xml:space="preserve">) the attention of Equations 4.2 and 4.3 with queries from </w:t>
      </w:r>
      <w:r>
        <w:rPr>
          <w:rFonts w:ascii="Times New Roman" w:hAnsi="Times New Roman" w:cs="Times New Roman" w:eastAsia="Times New Roman"/>
          <w:i/>
        </w:rPr>
        <w:t xml:space="preserve">q</w:t>
      </w:r>
      <w:r>
        <w:rPr>
          <w:rFonts w:ascii="Times New Roman" w:hAnsi="Times New Roman" w:cs="Times New Roman" w:eastAsia="Times New Roman"/>
        </w:rPr>
        <w:t xml:space="preserve"> and keys and values from </w:t>
      </w:r>
      <w:r>
        <w:rPr>
          <w:rFonts w:ascii="Times New Roman" w:hAnsi="Times New Roman" w:cs="Times New Roman" w:eastAsia="Times New Roman"/>
          <w:i/>
        </w:rPr>
        <w:t xml:space="preserve">kv</w:t>
      </w:r>
      <w:r>
        <w:rPr>
          <w:rFonts w:ascii="Times New Roman" w:hAnsi="Times New Roman" w:cs="Times New Roman" w:eastAsia="Times New Roman"/>
        </w:rPr>
        <w:t xml:space="preserve">, and FFN</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FFN</w:t>
      </w:r>
      <w:r>
        <w:rPr>
          <w:rFonts w:ascii="Times New Roman" w:hAnsi="Times New Roman" w:cs="Times New Roman" w:eastAsia="Times New Roman"/>
          <w:vertAlign w:val="subscript"/>
        </w:rPr>
        <w:t xml:space="preserve">s</w:t>
      </w:r>
      <w:r>
        <w:rPr>
          <w:rFonts w:ascii="Times New Roman" w:hAnsi="Times New Roman" w:cs="Times New Roman" w:eastAsia="Times New Roman"/>
        </w:rPr>
        <w:t xml:space="preserve"> position-wise feed-forward blocks (128 → 256 → 128 with GELU and dropout), the updates are</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r>
                  <m:t>t</m:t>
                </m:r>
                <m:r>
                  <m:t>′</m:t>
                </m:r>
                <m:r>
                  <m:t>=</m:t>
                </m:r>
                <m:r>
                  <m:t>t</m:t>
                </m:r>
                <m:r>
                  <m:t>+</m:t>
                </m:r>
                <m:r>
                  <m:t>σ</m:t>
                </m:r>
                <m:r>
                  <m:t>(</m:t>
                </m:r>
                <m:sSub>
                  <m:e>
                    <m:r>
                      <m:t>g</m:t>
                    </m:r>
                  </m:e>
                  <m:sub>
                    <m:r>
                      <m:t>t</m:t>
                    </m:r>
                  </m:sub>
                </m:sSub>
                <m:r>
                  <m:t>)</m:t>
                </m:r>
                <m:r>
                  <m:t> </m:t>
                </m:r>
                <m:r>
                  <m:rPr>
                    <m:sty m:val="p"/>
                  </m:rPr>
                  <m:t>CA</m:t>
                </m:r>
                <m:r>
                  <m:t>(</m:t>
                </m:r>
                <m:r>
                  <m:rPr>
                    <m:sty m:val="p"/>
                  </m:rPr>
                  <m:t>LN</m:t>
                </m:r>
                <m:r>
                  <m:t>(</m:t>
                </m:r>
                <m:r>
                  <m:t>t</m:t>
                </m:r>
                <m:r>
                  <m:t>)</m:t>
                </m:r>
                <m:r>
                  <m:t>,</m:t>
                </m:r>
                <m:r>
                  <m:t>s</m:t>
                </m:r>
                <m:r>
                  <m:t>)</m:t>
                </m:r>
                <m:r>
                  <m:t>,</m:t>
                </m:r>
                <m:r>
                  <m:t>  </m:t>
                </m:r>
                <m:r>
                  <m:t>t</m:t>
                </m:r>
                <m:r>
                  <m:t>′</m:t>
                </m:r>
                <m:r>
                  <m:t>←</m:t>
                </m:r>
                <m:r>
                  <m:t>t</m:t>
                </m:r>
                <m:r>
                  <m:t>′</m:t>
                </m:r>
                <m:r>
                  <m:t>+</m:t>
                </m:r>
                <m:sSub>
                  <m:e>
                    <m:r>
                      <m:rPr>
                        <m:sty m:val="p"/>
                      </m:rPr>
                      <m:t>FFN</m:t>
                    </m:r>
                  </m:e>
                  <m:sub>
                    <m:r>
                      <m:t>t</m:t>
                    </m:r>
                  </m:sub>
                </m:sSub>
                <m:r>
                  <m:t>(</m:t>
                </m:r>
                <m:r>
                  <m:rPr>
                    <m:sty m:val="p"/>
                  </m:rPr>
                  <m:t>LN</m:t>
                </m:r>
                <m:r>
                  <m:t>(</m:t>
                </m:r>
                <m:r>
                  <m:t>t</m:t>
                </m:r>
                <m:r>
                  <m:t>′</m:t>
                </m:r>
                <m:r>
                  <m:t>)</m:t>
                </m:r>
                <m:r>
                  <m:t>)</m:t>
                </m:r>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(4.4)</w:t>
            </w:r>
          </w:p>
        </w:tc>
      </w:tr>
    </w:tbl>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r>
                  <m:t>s</m:t>
                </m:r>
                <m:r>
                  <m:t>′</m:t>
                </m:r>
                <m:r>
                  <m:t>=</m:t>
                </m:r>
                <m:r>
                  <m:t>s</m:t>
                </m:r>
                <m:r>
                  <m:t>+</m:t>
                </m:r>
                <m:r>
                  <m:t>σ</m:t>
                </m:r>
                <m:r>
                  <m:t>(</m:t>
                </m:r>
                <m:sSub>
                  <m:e>
                    <m:r>
                      <m:t>g</m:t>
                    </m:r>
                  </m:e>
                  <m:sub>
                    <m:r>
                      <m:t>s</m:t>
                    </m:r>
                  </m:sub>
                </m:sSub>
                <m:r>
                  <m:t>)</m:t>
                </m:r>
                <m:r>
                  <m:t> </m:t>
                </m:r>
                <m:r>
                  <m:rPr>
                    <m:sty m:val="p"/>
                  </m:rPr>
                  <m:t>CA</m:t>
                </m:r>
                <m:r>
                  <m:t>(</m:t>
                </m:r>
                <m:r>
                  <m:rPr>
                    <m:sty m:val="p"/>
                  </m:rPr>
                  <m:t>LN</m:t>
                </m:r>
                <m:r>
                  <m:t>(</m:t>
                </m:r>
                <m:r>
                  <m:t>s</m:t>
                </m:r>
                <m:r>
                  <m:t>)</m:t>
                </m:r>
                <m:r>
                  <m:t>,</m:t>
                </m:r>
                <m:r>
                  <m:t>t</m:t>
                </m:r>
                <m:r>
                  <m:t>′</m:t>
                </m:r>
                <m:r>
                  <m:t>)</m:t>
                </m:r>
                <m:r>
                  <m:t>,</m:t>
                </m:r>
                <m:r>
                  <m:t>  </m:t>
                </m:r>
                <m:r>
                  <m:t>s</m:t>
                </m:r>
                <m:r>
                  <m:t>′</m:t>
                </m:r>
                <m:r>
                  <m:t>←</m:t>
                </m:r>
                <m:r>
                  <m:t>s</m:t>
                </m:r>
                <m:r>
                  <m:t>′</m:t>
                </m:r>
                <m:r>
                  <m:t>+</m:t>
                </m:r>
                <m:sSub>
                  <m:e>
                    <m:r>
                      <m:rPr>
                        <m:sty m:val="p"/>
                      </m:rPr>
                      <m:t>FFN</m:t>
                    </m:r>
                  </m:e>
                  <m:sub>
                    <m:r>
                      <m:t>s</m:t>
                    </m:r>
                  </m:sub>
                </m:sSub>
                <m:r>
                  <m:t>(</m:t>
                </m:r>
                <m:r>
                  <m:rPr>
                    <m:sty m:val="p"/>
                  </m:rPr>
                  <m:t>LN</m:t>
                </m:r>
                <m:r>
                  <m:t>(</m:t>
                </m:r>
                <m:r>
                  <m:t>s</m:t>
                </m:r>
                <m:r>
                  <m:t>′</m:t>
                </m:r>
                <m:r>
                  <m:t>)</m:t>
                </m:r>
                <m:r>
                  <m:t>)</m:t>
                </m:r>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(4.5)</w:t>
            </w:r>
          </w:p>
        </w:tc>
      </w:tr>
    </w:tbl>
    <w:p>
      <w:pPr>
        <w:pStyle w:val="BodyJ"/>
      </w:pPr>
      <w:r>
        <w:rPr>
          <w:rFonts w:ascii="Times New Roman" w:hAnsi="Times New Roman" w:cs="Times New Roman" w:eastAsia="Times New Roman"/>
        </w:rPr>
        <w:t xml:space="preserve">Here </w:t>
      </w:r>
      <w:r>
        <w:rPr>
          <w:rFonts w:ascii="Times New Roman" w:hAnsi="Times New Roman" w:cs="Times New Roman" w:eastAsia="Times New Roman"/>
          <w:i/>
        </w:rPr>
        <w:t xml:space="preserve">g</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and </w:t>
      </w:r>
      <w:r>
        <w:rPr>
          <w:rFonts w:ascii="Times New Roman" w:hAnsi="Times New Roman" w:cs="Times New Roman" w:eastAsia="Times New Roman"/>
          <w:i/>
        </w:rPr>
        <w:t xml:space="preserve">g</w:t>
      </w:r>
      <w:r>
        <w:rPr>
          <w:rFonts w:ascii="Times New Roman" w:hAnsi="Times New Roman" w:cs="Times New Roman" w:eastAsia="Times New Roman"/>
          <w:vertAlign w:val="subscript"/>
        </w:rPr>
        <w:t xml:space="preserve">s</w:t>
      </w:r>
      <w:r>
        <w:rPr>
          <w:rFonts w:ascii="Times New Roman" w:hAnsi="Times New Roman" w:cs="Times New Roman" w:eastAsia="Times New Roman"/>
        </w:rPr>
        <w:t xml:space="preserve"> are learned scalar gates, initialised at zero so that σ(</w:t>
      </w:r>
      <w:r>
        <w:rPr>
          <w:rFonts w:ascii="Times New Roman" w:hAnsi="Times New Roman" w:cs="Times New Roman" w:eastAsia="Times New Roman"/>
          <w:i/>
        </w:rPr>
        <w:t xml:space="preserve">g</w:t>
      </w:r>
      <w:r>
        <w:rPr>
          <w:rFonts w:ascii="Times New Roman" w:hAnsi="Times New Roman" w:cs="Times New Roman" w:eastAsia="Times New Roman"/>
        </w:rPr>
        <w:t>) = σ(0) = 0.5: both directions start half open, and each can learn to open or close. The gates are shared by all blocks. A final layer normalisation is applied to the spatial tokens that the fused head reads. The module returns the attention weights of both directions: the forward map (B, H, 64, 16), in which spatial tokens read temporal tokens, and the backward map (B, H, 16, 64), in which temporal tokens read spatial tokens. Before fusion, a learned positional embedding is added to the 4 × 4 × 4 spatial token grid and a fixed sinusoidal encoding to the temporal tokens, so that a token can carry the identity of the region or latency window it represents; without positions the attention map would only correlate bags of features. Optionally, with modality dropout, the temporal tokens of a random subset of training samples are zeroed inside the fusion path only, while the auxiliary heads still see clean inputs. Figure 4.4 shows one such block.</w:t>
      </w:r>
    </w:p>
    <w:p>
      <w:pPr>
        <w:pStyle w:val="BodyJ"/>
        <w:ind w:firstLine="0"/>
      </w:pPr>
      <w:r>
        <w:rPr>
          <w:rFonts w:ascii="Times New Roman" w:hAnsi="Times New Roman" w:cs="Times New Roman" w:eastAsia="Times New Roman"/>
        </w:rPr>
        <w:t xml:space="preserve">For comparison, the original v1 block updated only the spatial stream and normalised after the residual connections: the head outputs are concatenated and projected, added to the original spatial tokens through a residual connection, normalised (Ba et al., 2016), passed through a position-wise feed-forward block (128 → 256 → 128 with ReLU and dropout) and normalised again after a second residual connection (Equation 4.6). The configuration </w:t>
      </w:r>
      <w:r>
        <w:rPr>
          <w:rFonts w:ascii="Courier New" w:hAnsi="Courier New" w:cs="Courier New" w:eastAsia="Courier New"/>
        </w:rPr>
        <w:t xml:space="preserve">fusion="cross"</w:t>
      </w:r>
      <w:r>
        <w:rPr>
          <w:rFonts w:ascii="Times New Roman" w:hAnsi="Times New Roman" w:cs="Times New Roman" w:eastAsia="Times New Roman"/>
        </w:rPr>
        <w:t xml:space="preserve"> of the current code keeps the one-way direction but uses pre-norm blocks like the bidirectional module, so that the “w/o bidirectional” ablation of Study A isolates the direction of attention.</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r>
                  <m:t>Z</m:t>
                </m:r>
                <m:r>
                  <m:t>=</m:t>
                </m:r>
                <m:r>
                  <m:rPr>
                    <m:sty m:val="p"/>
                  </m:rPr>
                  <m:t>LN</m:t>
                </m:r>
                <m:r>
                  <m:t>(</m:t>
                </m:r>
                <m:sSub>
                  <m:e>
                    <m:r>
                      <m:t>X</m:t>
                    </m:r>
                  </m:e>
                  <m:sub>
                    <m:r>
                      <m:t>s</m:t>
                    </m:r>
                  </m:sub>
                </m:sSub>
                <m:r>
                  <m:t>+</m:t>
                </m:r>
                <m:r>
                  <m:rPr>
                    <m:sty m:val="p"/>
                  </m:rPr>
                  <m:t>Concat</m:t>
                </m:r>
                <m:r>
                  <m:t>(</m:t>
                </m:r>
                <m:sSub>
                  <m:e>
                    <m:r>
                      <m:t>O</m:t>
                    </m:r>
                  </m:e>
                  <m:sub>
                    <m:r>
                      <m:t>1</m:t>
                    </m:r>
                  </m:sub>
                </m:sSub>
                <m:r>
                  <m:t>,</m:t>
                </m:r>
                <m:r>
                  <m:t>…</m:t>
                </m:r>
                <m:r>
                  <m:t>,</m:t>
                </m:r>
                <m:sSub>
                  <m:e>
                    <m:r>
                      <m:t>O</m:t>
                    </m:r>
                  </m:e>
                  <m:sub>
                    <m:r>
                      <m:t>H</m:t>
                    </m:r>
                  </m:sub>
                </m:sSub>
                <m:r>
                  <m:t>)</m:t>
                </m:r>
                <m:sSub>
                  <m:e>
                    <m:r>
                      <m:t>W</m:t>
                    </m:r>
                  </m:e>
                  <m:sub>
                    <m:r>
                      <m:t>O</m:t>
                    </m:r>
                  </m:sub>
                </m:sSub>
                <m:r>
                  <m:t>)</m:t>
                </m:r>
                <m:r>
                  <m:t>,</m:t>
                </m:r>
                <m:r>
                  <m:t>  </m:t>
                </m:r>
                <m:r>
                  <m:t>F</m:t>
                </m:r>
                <m:r>
                  <m:t>=</m:t>
                </m:r>
                <m:r>
                  <m:rPr>
                    <m:sty m:val="p"/>
                  </m:rPr>
                  <m:t>LN</m:t>
                </m:r>
                <m:r>
                  <m:t>(</m:t>
                </m:r>
                <m:r>
                  <m:t>Z</m:t>
                </m:r>
                <m:r>
                  <m:t>+</m:t>
                </m:r>
                <m:r>
                  <m:rPr>
                    <m:sty m:val="p"/>
                  </m:rPr>
                  <m:t>FFN</m:t>
                </m:r>
                <m:r>
                  <m:t>(</m:t>
                </m:r>
                <m:r>
                  <m:t>Z</m:t>
                </m:r>
                <m:r>
                  <m:t>)</m:t>
                </m:r>
                <m:r>
                  <m:t>)</m:t>
                </m:r>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(4.6)</w:t>
            </w:r>
          </w:p>
        </w:tc>
      </w:tr>
    </w:tbl>
    <w:p>
      <w:pPr>
        <w:keepNext/>
        <w:spacing w:before="120" w:after="40" w:line="240" w:lineRule="auto"/>
        <w:jc w:val="center"/>
      </w:pPr>
      <w:r>
        <w:drawing>
          <wp:inline xmlns:a="http://schemas.openxmlformats.org/drawingml/2006/main" xmlns:pic="http://schemas.openxmlformats.org/drawingml/2006/picture">
            <wp:extent cx="5112000" cy="2537670"/>
            <wp:docPr id="23" name="Picture 23"/>
            <wp:cNvGraphicFramePr>
              <a:graphicFrameLocks noChangeAspect="1"/>
            </wp:cNvGraphicFramePr>
            <a:graphic>
              <a:graphicData uri="http://schemas.openxmlformats.org/drawingml/2006/picture">
                <pic:pic>
                  <pic:nvPicPr>
                    <pic:cNvPr id="0" name="fig_cross_attention.png"/>
                    <pic:cNvPicPr/>
                  </pic:nvPicPr>
                  <pic:blipFill>
                    <a:blip r:embed="rId20"/>
                    <a:stretch>
                      <a:fillRect/>
                    </a:stretch>
                  </pic:blipFill>
                  <pic:spPr>
                    <a:xfrm>
                      <a:off x="0" y="0"/>
                      <a:ext cx="5112000" cy="2537670"/>
                    </a:xfrm>
                    <a:prstGeom prst="rect"/>
                  </pic:spPr>
                </pic:pic>
              </a:graphicData>
            </a:graphic>
          </wp:inline>
        </w:drawing>
      </w:r>
    </w:p>
    <w:p>
      <w:pPr>
        <w:pStyle w:val="Caption"/>
      </w:pPr>
      <w:bookmarkStart w:id="1026" w:name="_Ref_Figure_4_4"/>
      <w:r>
        <w:rPr>
          <w:rFonts w:ascii="Times New Roman" w:hAnsi="Times New Roman" w:cs="Times New Roman" w:eastAsia="Times New Roman"/>
          <w:b/>
          <w:sz w:val="22"/>
        </w:rPr>
        <w:t xml:space="preserve">Figure 4.4: </w:t>
      </w:r>
      <w:r>
        <w:rPr>
          <w:rFonts w:ascii="Times New Roman" w:hAnsi="Times New Roman" w:cs="Times New Roman" w:eastAsia="Times New Roman"/>
          <w:sz w:val="22"/>
        </w:rPr>
        <w:t>One gated bidirectional block of the cross-attention fusion module (CAFM), final design (Equations 4.4 and 4.5). The temporal tokens first query the spatial tokens (attention weights of shape (B, 4, 16, 64)); the updated temporal tokens then serve as keys and values for the spatial queries (weights (B, 4, 64, 16)). Each cross-attention output is scaled by a learned scalar gate initialised at zero, added residually and followed by a feed-forward block; both attention maps are returned for inspection.</w:t>
      </w:r>
      <w:bookmarkEnd w:id="1026"/>
    </w:p>
    <w:p>
      <w:pPr>
        <w:pStyle w:val="BodyJ"/>
      </w:pPr>
      <w:r>
        <w:rPr>
          <w:rFonts w:ascii="Times New Roman" w:hAnsi="Times New Roman" w:cs="Times New Roman" w:eastAsia="Times New Roman"/>
        </w:rPr>
        <w:t xml:space="preserve">The v1 output </w:t>
      </w:r>
      <w:r>
        <w:rPr>
          <w:rFonts w:ascii="Times New Roman" w:hAnsi="Times New Roman" w:cs="Times New Roman" w:eastAsia="Times New Roman"/>
          <w:i/>
        </w:rPr>
        <w:t xml:space="preserve">F</w:t>
      </w:r>
      <w:r>
        <w:rPr>
          <w:rFonts w:ascii="Times New Roman" w:hAnsi="Times New Roman" w:cs="Times New Roman" w:eastAsia="Times New Roman"/>
        </w:rPr>
        <w:t xml:space="preserve"> keeps the shape (B, 64, 128): the spatial-token sequence is preserved and each token is enriched with temporal context. The module accepts queries and keys of different lengths and rejects configurations in which </w:t>
      </w:r>
      <w:r>
        <w:rPr>
          <w:rFonts w:ascii="Times New Roman" w:hAnsi="Times New Roman" w:cs="Times New Roman" w:eastAsia="Times New Roman"/>
          <w:i/>
        </w:rPr>
        <w:t xml:space="preserve">d</w:t>
      </w:r>
      <w:r>
        <w:rPr>
          <w:rFonts w:ascii="Times New Roman" w:hAnsi="Times New Roman" w:cs="Times New Roman" w:eastAsia="Times New Roman"/>
          <w:vertAlign w:val="subscript"/>
        </w:rPr>
        <w:t xml:space="preserve">model</w:t>
      </w:r>
      <w:r>
        <w:rPr>
          <w:rFonts w:ascii="Times New Roman" w:hAnsi="Times New Roman" w:cs="Times New Roman" w:eastAsia="Times New Roman"/>
        </w:rPr>
        <w:t xml:space="preserve"> is not divisible by the number of heads. The v1 module (projection matrices, output projection, feed-forward block and two layer norms) has 132,480 trainable parameters; the default gated bidirectional module has 265,218: two attention modules of 66,048 parameters each, two feed-forward blocks of 65,920, five layer norms (1,280) and the two gates (Table 5.5).</w:t>
      </w:r>
    </w:p>
    <w:p>
      <w:pPr>
        <w:pStyle w:val="BodyJ"/>
      </w:pPr>
      <w:r>
        <w:rPr>
          <w:rFonts w:ascii="Times New Roman" w:hAnsi="Times New Roman" w:cs="Times New Roman" w:eastAsia="Times New Roman"/>
          <w:b/>
        </w:rPr>
        <w:t xml:space="preserve">Fusion baselines.</w:t>
      </w:r>
      <w:r>
        <w:rPr>
          <w:rFonts w:ascii="Times New Roman" w:hAnsi="Times New Roman" w:cs="Times New Roman" w:eastAsia="Times New Roman"/>
        </w:rPr>
        <w:t xml:space="preserve"> For like-for-like comparison, other fusion strategies can be selected with </w:t>
      </w:r>
      <w:r>
        <w:rPr>
          <w:rFonts w:ascii="Courier New" w:hAnsi="Courier New" w:cs="Courier New" w:eastAsia="Courier New"/>
        </w:rPr>
        <w:t xml:space="preserve">ModelConfig.fusion</w:t>
      </w:r>
      <w:r>
        <w:rPr>
          <w:rFonts w:ascii="Times New Roman" w:hAnsi="Times New Roman" w:cs="Times New Roman" w:eastAsia="Times New Roman"/>
        </w:rPr>
        <w:t xml:space="preserve"> (Table 4.4) while the encoders, the auxiliary heads and the training recipe stay the same. The concatenation and element-wise sum baselines are those used in the literature (Zhou et al., 2024), and the two unimodal references show what each modality achieves alone.</w:t>
      </w:r>
    </w:p>
    <w:p>
      <w:pPr>
        <w:pStyle w:val="Caption"/>
        <w:keepNext/>
        <w:spacing w:before="160" w:after="80"/>
      </w:pPr>
      <w:bookmarkStart w:id="1027" w:name="_Ref_Table_4_4"/>
      <w:r>
        <w:rPr>
          <w:rFonts w:ascii="Times New Roman" w:hAnsi="Times New Roman" w:cs="Times New Roman" w:eastAsia="Times New Roman"/>
          <w:b/>
          <w:sz w:val="22"/>
        </w:rPr>
        <w:t xml:space="preserve">Table 4.4: </w:t>
      </w:r>
      <w:r>
        <w:rPr>
          <w:rFonts w:ascii="Times New Roman" w:hAnsi="Times New Roman" w:cs="Times New Roman" w:eastAsia="Times New Roman"/>
          <w:sz w:val="22"/>
        </w:rPr>
        <w:t xml:space="preserve">Fusion strategies selectable with ModelConfig.fusion.</w:t>
      </w:r>
      <w:bookmarkEnd w:id="1027"/>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00"/>
        <w:gridCol w:w="4600"/>
        <w:gridCol w:w="2006"/>
      </w:tblGrid>
      <w:tr>
        <w:trPr>
          <w:cantSplit/>
          <w:tblHeader/>
        </w:trPr>
        <w:tc>
          <w:tcPr>
            <w:tcW w:type="dxa" w:w="1700"/>
            <w:shd w:val="clear" w:color="auto" w:fill="D9D9D9"/>
          </w:tcPr>
          <w:p>
            <w:pPr>
              <w:pStyle w:val="TableText"/>
              <w:keepNext/>
              <w:jc w:val="left"/>
            </w:pPr>
            <w:r>
              <w:rPr>
                <w:rFonts w:ascii="Times New Roman" w:hAnsi="Times New Roman" w:cs="Times New Roman" w:eastAsia="Times New Roman"/>
                <w:b/>
                <w:sz w:val="20"/>
              </w:rPr>
              <w:t xml:space="preserve">fusion</w:t>
            </w:r>
          </w:p>
        </w:tc>
        <w:tc>
          <w:tcPr>
            <w:tcW w:type="dxa" w:w="4600"/>
            <w:shd w:val="clear" w:color="auto" w:fill="D9D9D9"/>
          </w:tcPr>
          <w:p>
            <w:pPr>
              <w:pStyle w:val="TableText"/>
              <w:keepNext/>
              <w:jc w:val="left"/>
            </w:pPr>
            <w:r>
              <w:rPr>
                <w:rFonts w:ascii="Times New Roman" w:hAnsi="Times New Roman" w:cs="Times New Roman" w:eastAsia="Times New Roman"/>
                <w:b/>
                <w:sz w:val="20"/>
              </w:rPr>
              <w:t xml:space="preserve">Input of the fused head</w:t>
            </w:r>
          </w:p>
        </w:tc>
        <w:tc>
          <w:tcPr>
            <w:tcW w:type="dxa" w:w="2006"/>
            <w:shd w:val="clear" w:color="auto" w:fill="D9D9D9"/>
          </w:tcPr>
          <w:p>
            <w:pPr>
              <w:pStyle w:val="TableText"/>
              <w:keepNext/>
              <w:jc w:val="left"/>
            </w:pPr>
            <w:r>
              <w:rPr>
                <w:rFonts w:ascii="Times New Roman" w:hAnsi="Times New Roman" w:cs="Times New Roman" w:eastAsia="Times New Roman"/>
                <w:b/>
                <w:sz w:val="20"/>
              </w:rPr>
              <w:t xml:space="preserve">Attention maps returned</w:t>
            </w:r>
          </w:p>
        </w:tc>
      </w:tr>
      <w:tr>
        <w:trPr>
          <w:cantSplit/>
        </w:trPr>
        <w:tc>
          <w:tcPr>
            <w:tcW w:type="dxa" w:w="1700"/>
          </w:tcPr>
          <w:p>
            <w:pPr>
              <w:pStyle w:val="TableText"/>
              <w:keepNext/>
              <w:jc w:val="left"/>
            </w:pPr>
            <w:r>
              <w:rPr>
                <w:rFonts w:ascii="Courier New" w:hAnsi="Courier New" w:cs="Courier New" w:eastAsia="Courier New"/>
                <w:sz w:val="20"/>
              </w:rPr>
              <w:t xml:space="preserve">"bidirectional"</w:t>
            </w:r>
            <w:r>
              <w:rPr>
                <w:rFonts w:ascii="Times New Roman" w:hAnsi="Times New Roman" w:cs="Times New Roman" w:eastAsia="Times New Roman"/>
                <w:sz w:val="20"/>
              </w:rPr>
              <w:t xml:space="preserve"> (default)</w:t>
            </w:r>
          </w:p>
        </w:tc>
        <w:tc>
          <w:tcPr>
            <w:tcW w:type="dxa" w:w="4600"/>
          </w:tcPr>
          <w:p>
            <w:pPr>
              <w:pStyle w:val="TableText"/>
              <w:keepNext/>
              <w:jc w:val="left"/>
            </w:pPr>
            <w:r>
              <w:rPr>
                <w:rFonts w:ascii="Times New Roman" w:hAnsi="Times New Roman" w:cs="Times New Roman" w:eastAsia="Times New Roman"/>
                <w:sz w:val="20"/>
              </w:rPr>
              <w:t xml:space="preserve">Learned attention pool of the gated, bidirectionally fused spatial tokens</w:t>
            </w:r>
          </w:p>
        </w:tc>
        <w:tc>
          <w:tcPr>
            <w:tcW w:type="dxa" w:w="2006"/>
          </w:tcPr>
          <w:p>
            <w:pPr>
              <w:pStyle w:val="TableText"/>
              <w:keepNext/>
              <w:jc w:val="left"/>
            </w:pPr>
            <w:r>
              <w:rPr>
                <w:rFonts w:ascii="Times New Roman" w:hAnsi="Times New Roman" w:cs="Times New Roman" w:eastAsia="Times New Roman"/>
                <w:sz w:val="20"/>
              </w:rPr>
              <w:t xml:space="preserve">Forward and backward</w:t>
            </w:r>
          </w:p>
        </w:tc>
      </w:tr>
      <w:tr>
        <w:trPr>
          <w:cantSplit/>
        </w:trPr>
        <w:tc>
          <w:tcPr>
            <w:tcW w:type="dxa" w:w="1700"/>
          </w:tcPr>
          <w:p>
            <w:pPr>
              <w:pStyle w:val="TableText"/>
              <w:keepNext/>
              <w:jc w:val="left"/>
            </w:pPr>
            <w:r>
              <w:rPr>
                <w:rFonts w:ascii="Courier New" w:hAnsi="Courier New" w:cs="Courier New" w:eastAsia="Courier New"/>
                <w:sz w:val="20"/>
              </w:rPr>
              <w:t xml:space="preserve">"cross"</w:t>
            </w:r>
          </w:p>
        </w:tc>
        <w:tc>
          <w:tcPr>
            <w:tcW w:type="dxa" w:w="4600"/>
          </w:tcPr>
          <w:p>
            <w:pPr>
              <w:pStyle w:val="TableText"/>
              <w:keepNext/>
              <w:jc w:val="left"/>
            </w:pPr>
            <w:r>
              <w:rPr>
                <w:rFonts w:ascii="Times New Roman" w:hAnsi="Times New Roman" w:cs="Times New Roman" w:eastAsia="Times New Roman"/>
                <w:sz w:val="20"/>
              </w:rPr>
              <w:t xml:space="preserve">One-way cross-attention (spatial tokens query temporal tokens), pooled according to </w:t>
            </w:r>
            <w:r>
              <w:rPr>
                <w:rFonts w:ascii="Courier New" w:hAnsi="Courier New" w:cs="Courier New" w:eastAsia="Courier New"/>
                <w:sz w:val="20"/>
              </w:rPr>
              <w:t xml:space="preserve">pooling</w:t>
            </w:r>
          </w:p>
        </w:tc>
        <w:tc>
          <w:tcPr>
            <w:tcW w:type="dxa" w:w="2006"/>
          </w:tcPr>
          <w:p>
            <w:pPr>
              <w:pStyle w:val="TableText"/>
              <w:keepNext/>
              <w:jc w:val="left"/>
            </w:pPr>
            <w:r>
              <w:rPr>
                <w:rFonts w:ascii="Times New Roman" w:hAnsi="Times New Roman" w:cs="Times New Roman" w:eastAsia="Times New Roman"/>
                <w:sz w:val="20"/>
              </w:rPr>
              <w:t xml:space="preserve">Forward only</w:t>
            </w:r>
          </w:p>
        </w:tc>
      </w:tr>
      <w:tr>
        <w:trPr>
          <w:cantSplit/>
        </w:trPr>
        <w:tc>
          <w:tcPr>
            <w:tcW w:type="dxa" w:w="1700"/>
          </w:tcPr>
          <w:p>
            <w:pPr>
              <w:pStyle w:val="TableText"/>
              <w:keepNext/>
              <w:jc w:val="left"/>
            </w:pPr>
            <w:r>
              <w:rPr>
                <w:rFonts w:ascii="Courier New" w:hAnsi="Courier New" w:cs="Courier New" w:eastAsia="Courier New"/>
                <w:sz w:val="20"/>
              </w:rPr>
              <w:t xml:space="preserve">"concat"</w:t>
            </w:r>
          </w:p>
        </w:tc>
        <w:tc>
          <w:tcPr>
            <w:tcW w:type="dxa" w:w="4600"/>
          </w:tcPr>
          <w:p>
            <w:pPr>
              <w:pStyle w:val="TableText"/>
              <w:keepNext/>
              <w:jc w:val="left"/>
            </w:pPr>
            <w:r>
              <w:rPr>
                <w:rFonts w:ascii="Times New Roman" w:hAnsi="Times New Roman" w:cs="Times New Roman" w:eastAsia="Times New Roman"/>
                <w:sz w:val="20"/>
              </w:rPr>
              <w:t xml:space="preserve">Mean-pooled spatial and temporal embeddings concatenated and projected (256 → 128, GELU, dropout)</w:t>
            </w:r>
          </w:p>
        </w:tc>
        <w:tc>
          <w:tcPr>
            <w:tcW w:type="dxa" w:w="2006"/>
          </w:tcPr>
          <w:p>
            <w:pPr>
              <w:pStyle w:val="TableText"/>
              <w:keepNext/>
              <w:jc w:val="left"/>
            </w:pPr>
            <w:r>
              <w:rPr>
                <w:rFonts w:ascii="Times New Roman" w:hAnsi="Times New Roman" w:cs="Times New Roman" w:eastAsia="Times New Roman"/>
                <w:sz w:val="20"/>
              </w:rPr>
              <w:t xml:space="preserve">None</w:t>
            </w:r>
          </w:p>
        </w:tc>
      </w:tr>
      <w:tr>
        <w:trPr>
          <w:cantSplit/>
        </w:trPr>
        <w:tc>
          <w:tcPr>
            <w:tcW w:type="dxa" w:w="1700"/>
          </w:tcPr>
          <w:p>
            <w:pPr>
              <w:pStyle w:val="TableText"/>
              <w:keepNext/>
              <w:jc w:val="left"/>
            </w:pPr>
            <w:r>
              <w:rPr>
                <w:rFonts w:ascii="Courier New" w:hAnsi="Courier New" w:cs="Courier New" w:eastAsia="Courier New"/>
                <w:sz w:val="20"/>
              </w:rPr>
              <w:t xml:space="preserve">"sum"</w:t>
            </w:r>
          </w:p>
        </w:tc>
        <w:tc>
          <w:tcPr>
            <w:tcW w:type="dxa" w:w="4600"/>
          </w:tcPr>
          <w:p>
            <w:pPr>
              <w:pStyle w:val="TableText"/>
              <w:keepNext/>
              <w:jc w:val="left"/>
            </w:pPr>
            <w:r>
              <w:rPr>
                <w:rFonts w:ascii="Times New Roman" w:hAnsi="Times New Roman" w:cs="Times New Roman" w:eastAsia="Times New Roman"/>
                <w:sz w:val="20"/>
              </w:rPr>
              <w:t xml:space="preserve">Element-wise sum of the mean-pooled spatial and temporal embeddings</w:t>
            </w:r>
          </w:p>
        </w:tc>
        <w:tc>
          <w:tcPr>
            <w:tcW w:type="dxa" w:w="2006"/>
          </w:tcPr>
          <w:p>
            <w:pPr>
              <w:pStyle w:val="TableText"/>
              <w:keepNext/>
              <w:jc w:val="left"/>
            </w:pPr>
            <w:r>
              <w:rPr>
                <w:rFonts w:ascii="Times New Roman" w:hAnsi="Times New Roman" w:cs="Times New Roman" w:eastAsia="Times New Roman"/>
                <w:sz w:val="20"/>
              </w:rPr>
              <w:t xml:space="preserve">None</w:t>
            </w:r>
          </w:p>
        </w:tc>
      </w:tr>
      <w:tr>
        <w:trPr>
          <w:cantSplit/>
        </w:trPr>
        <w:tc>
          <w:tcPr>
            <w:tcW w:type="dxa" w:w="1700"/>
          </w:tcPr>
          <w:p>
            <w:pPr>
              <w:pStyle w:val="TableText"/>
              <w:keepNext/>
              <w:jc w:val="left"/>
            </w:pPr>
            <w:r>
              <w:rPr>
                <w:rFonts w:ascii="Courier New" w:hAnsi="Courier New" w:cs="Courier New" w:eastAsia="Courier New"/>
                <w:sz w:val="20"/>
              </w:rPr>
              <w:t xml:space="preserve">"mri_only"</w:t>
            </w:r>
          </w:p>
        </w:tc>
        <w:tc>
          <w:tcPr>
            <w:tcW w:type="dxa" w:w="4600"/>
          </w:tcPr>
          <w:p>
            <w:pPr>
              <w:pStyle w:val="TableText"/>
              <w:keepNext/>
              <w:jc w:val="left"/>
            </w:pPr>
            <w:r>
              <w:rPr>
                <w:rFonts w:ascii="Times New Roman" w:hAnsi="Times New Roman" w:cs="Times New Roman" w:eastAsia="Times New Roman"/>
                <w:sz w:val="20"/>
              </w:rPr>
              <w:t xml:space="preserve">Mean-pooled spatial tokens</w:t>
            </w:r>
          </w:p>
        </w:tc>
        <w:tc>
          <w:tcPr>
            <w:tcW w:type="dxa" w:w="2006"/>
          </w:tcPr>
          <w:p>
            <w:pPr>
              <w:pStyle w:val="TableText"/>
              <w:keepNext/>
              <w:jc w:val="left"/>
            </w:pPr>
            <w:r>
              <w:rPr>
                <w:rFonts w:ascii="Times New Roman" w:hAnsi="Times New Roman" w:cs="Times New Roman" w:eastAsia="Times New Roman"/>
                <w:sz w:val="20"/>
              </w:rPr>
              <w:t xml:space="preserve">None</w:t>
            </w:r>
          </w:p>
        </w:tc>
      </w:tr>
      <w:tr>
        <w:trPr>
          <w:cantSplit/>
        </w:trPr>
        <w:tc>
          <w:tcPr>
            <w:tcW w:type="dxa" w:w="1700"/>
          </w:tcPr>
          <w:p>
            <w:pPr>
              <w:pStyle w:val="TableText"/>
              <w:jc w:val="left"/>
            </w:pPr>
            <w:r>
              <w:rPr>
                <w:rFonts w:ascii="Courier New" w:hAnsi="Courier New" w:cs="Courier New" w:eastAsia="Courier New"/>
                <w:sz w:val="20"/>
              </w:rPr>
              <w:t xml:space="preserve">"vep_only"</w:t>
            </w:r>
          </w:p>
        </w:tc>
        <w:tc>
          <w:tcPr>
            <w:tcW w:type="dxa" w:w="4600"/>
          </w:tcPr>
          <w:p>
            <w:pPr>
              <w:pStyle w:val="TableText"/>
              <w:jc w:val="left"/>
            </w:pPr>
            <w:r>
              <w:rPr>
                <w:rFonts w:ascii="Times New Roman" w:hAnsi="Times New Roman" w:cs="Times New Roman" w:eastAsia="Times New Roman"/>
                <w:sz w:val="20"/>
              </w:rPr>
              <w:t xml:space="preserve">Mean-pooled temporal tokens</w:t>
            </w:r>
          </w:p>
        </w:tc>
        <w:tc>
          <w:tcPr>
            <w:tcW w:type="dxa" w:w="2006"/>
          </w:tcPr>
          <w:p>
            <w:pPr>
              <w:pStyle w:val="TableText"/>
              <w:jc w:val="left"/>
            </w:pPr>
            <w:r>
              <w:rPr>
                <w:rFonts w:ascii="Times New Roman" w:hAnsi="Times New Roman" w:cs="Times New Roman" w:eastAsia="Times New Roman"/>
                <w:sz w:val="20"/>
              </w:rPr>
              <w:t xml:space="preserve">None</w:t>
            </w:r>
          </w:p>
        </w:tc>
      </w:tr>
    </w:tbl>
    <w:p>
      <w:pPr>
        <w:spacing w:after="80" w:line="240" w:lineRule="auto"/>
      </w:pPr>
    </w:p>
    <w:p>
      <w:pPr>
        <w:pStyle w:val="Heading2"/>
      </w:pPr>
      <w:r>
        <w:rPr>
          <w:rFonts w:ascii="Times New Roman" w:hAnsi="Times New Roman" w:cs="Times New Roman" w:eastAsia="Times New Roman"/>
          <w:b/>
          <w:sz w:val="28"/>
        </w:rPr>
        <w:t>4.5  CLASSIFICATION HEADS AND MULTI-TASK LOSS</w:t>
      </w:r>
    </w:p>
    <w:p>
      <w:pPr>
        <w:pStyle w:val="BodyJ"/>
      </w:pPr>
      <w:r>
        <w:rPr>
          <w:rFonts w:ascii="Courier New" w:hAnsi="Courier New" w:cs="Courier New" w:eastAsia="Courier New"/>
        </w:rPr>
        <w:t xml:space="preserve">CAFN.forward</w:t>
      </w:r>
      <w:r>
        <w:rPr>
          <w:rFonts w:ascii="Times New Roman" w:hAnsi="Times New Roman" w:cs="Times New Roman" w:eastAsia="Times New Roman"/>
        </w:rPr>
        <w:t xml:space="preserve"> returns three sets of logits of shape (B, C), with C = 3 classes for the synthetic task and 2 for the real cohorts. The fused head reads a learned attention pool of the fused spatial tokens: a linear scorer gives one score per token, a softmax turns the scores into weights α</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and the pooled embedding is their weighted sum (Equation 4.7), where </w:t>
      </w:r>
      <w:r>
        <w:rPr>
          <w:rFonts w:ascii="Times New Roman" w:hAnsi="Times New Roman" w:cs="Times New Roman" w:eastAsia="Times New Roman"/>
          <w:i/>
        </w:rPr>
        <w:t xml:space="preserve">f</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are the fused tokens, and </w:t>
      </w:r>
      <w:r>
        <w:rPr>
          <w:rFonts w:ascii="Times New Roman" w:hAnsi="Times New Roman" w:cs="Times New Roman" w:eastAsia="Times New Roman"/>
          <w:i/>
        </w:rPr>
        <w:t xml:space="preserve">w</w:t>
      </w:r>
      <w:r>
        <w:rPr>
          <w:rFonts w:ascii="Times New Roman" w:hAnsi="Times New Roman" w:cs="Times New Roman" w:eastAsia="Times New Roman"/>
        </w:rPr>
        <w:t xml:space="preserve"> and </w:t>
      </w:r>
      <w:r>
        <w:rPr>
          <w:rFonts w:ascii="Times New Roman" w:hAnsi="Times New Roman" w:cs="Times New Roman" w:eastAsia="Times New Roman"/>
          <w:i/>
        </w:rPr>
        <w:t xml:space="preserve">b</w:t>
      </w:r>
      <w:r>
        <w:rPr>
          <w:rFonts w:ascii="Times New Roman" w:hAnsi="Times New Roman" w:cs="Times New Roman" w:eastAsia="Times New Roman"/>
        </w:rPr>
        <w:t xml:space="preserve"> the scorer's weights and bias. The scorer is initialised with small weights, so that the weights start almost uniform and the pool starts as mean pooling; it can then learn to emphasise pathology-bearing tokens, and the weights are returned for explainability.</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sSub>
                  <m:e>
                    <m:r>
                      <m:t>α</m:t>
                    </m:r>
                  </m:e>
                  <m:sub>
                    <m:r>
                      <m:t>i</m:t>
                    </m:r>
                  </m:sub>
                </m:sSub>
                <m:r>
                  <m:t>=</m:t>
                </m:r>
                <m:f>
                  <m:fPr>
                    <m:type m:val="bar"/>
                  </m:fPr>
                  <m:num>
                    <m:r>
                      <m:rPr>
                        <m:nor/>
                      </m:rPr>
                      <m:t>exp</m:t>
                    </m:r>
                    <m:r>
                      <m:t>(</m:t>
                    </m:r>
                    <m:sSup>
                      <m:e>
                        <m:r>
                          <m:rPr>
                            <m:sty m:val="b"/>
                          </m:rPr>
                          <m:t>w</m:t>
                        </m:r>
                      </m:e>
                      <m:sup>
                        <m:r>
                          <m:t>⊤</m:t>
                        </m:r>
                      </m:sup>
                    </m:sSup>
                    <m:sSub>
                      <m:e>
                        <m:r>
                          <m:rPr>
                            <m:sty m:val="b"/>
                          </m:rPr>
                          <m:t>f</m:t>
                        </m:r>
                      </m:e>
                      <m:sub>
                        <m:r>
                          <m:t>i</m:t>
                        </m:r>
                      </m:sub>
                    </m:sSub>
                    <m:r>
                      <m:t>+</m:t>
                    </m:r>
                    <m:r>
                      <m:t>b</m:t>
                    </m:r>
                    <m:r>
                      <m:t>)</m:t>
                    </m:r>
                  </m:num>
                  <m:den>
                    <m:nary>
                      <m:naryPr>
                        <m:chr m:val="∑"/>
                        <m:limLoc m:val="undOvr"/>
                        <m:subHide m:val="0"/>
                        <m:supHide m:val="1"/>
                      </m:naryPr>
                      <m:sub>
                        <m:r>
                          <m:t>j</m:t>
                        </m:r>
                      </m:sub>
                      <m:sup>
                        <m:r>
                          <m:t>​</m:t>
                        </m:r>
                      </m:sup>
                      <m:e>
                        <m:r>
                          <m:rPr>
                            <m:nor/>
                          </m:rPr>
                          <m:t>exp</m:t>
                        </m:r>
                      </m:e>
                    </m:nary>
                    <m:r>
                      <m:t>(</m:t>
                    </m:r>
                    <m:sSup>
                      <m:e>
                        <m:r>
                          <m:rPr>
                            <m:sty m:val="b"/>
                          </m:rPr>
                          <m:t>w</m:t>
                        </m:r>
                      </m:e>
                      <m:sup>
                        <m:r>
                          <m:t>⊤</m:t>
                        </m:r>
                      </m:sup>
                    </m:sSup>
                    <m:sSub>
                      <m:e>
                        <m:r>
                          <m:rPr>
                            <m:sty m:val="b"/>
                          </m:rPr>
                          <m:t>f</m:t>
                        </m:r>
                      </m:e>
                      <m:sub>
                        <m:r>
                          <m:t>j</m:t>
                        </m:r>
                      </m:sub>
                    </m:sSub>
                    <m:r>
                      <m:t>+</m:t>
                    </m:r>
                    <m:r>
                      <m:t>b</m:t>
                    </m:r>
                    <m:r>
                      <m:t>)</m:t>
                    </m:r>
                  </m:den>
                </m:f>
                <m:r>
                  <m:t>,</m:t>
                </m:r>
                <m:r>
                  <m:t>  </m:t>
                </m:r>
                <m:r>
                  <m:rPr>
                    <m:sty m:val="b"/>
                  </m:rPr>
                  <m:t>z</m:t>
                </m:r>
                <m:r>
                  <m:t>=</m:t>
                </m:r>
                <m:nary>
                  <m:naryPr>
                    <m:chr m:val="∑"/>
                    <m:limLoc m:val="undOvr"/>
                    <m:subHide m:val="0"/>
                    <m:supHide m:val="1"/>
                  </m:naryPr>
                  <m:sub>
                    <m:r>
                      <m:t>i</m:t>
                    </m:r>
                  </m:sub>
                  <m:sup>
                    <m:r>
                      <m:t>​</m:t>
                    </m:r>
                  </m:sup>
                  <m:e>
                    <m:sSub>
                      <m:e>
                        <m:r>
                          <m:t>α</m:t>
                        </m:r>
                      </m:e>
                      <m:sub>
                        <m:r>
                          <m:t>i</m:t>
                        </m:r>
                      </m:sub>
                    </m:sSub>
                  </m:e>
                </m:nary>
                <m:sSub>
                  <m:e>
                    <m:r>
                      <m:rPr>
                        <m:sty m:val="b"/>
                      </m:rPr>
                      <m:t>f</m:t>
                    </m:r>
                  </m:e>
                  <m:sub>
                    <m:r>
                      <m:t>i</m:t>
                    </m:r>
                  </m:sub>
                </m:sSub>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(4.7)</w:t>
            </w:r>
          </w:p>
        </w:tc>
      </w:tr>
    </w:tbl>
    <w:p>
      <w:pPr>
        <w:pStyle w:val="BodyJ"/>
      </w:pPr>
      <w:r>
        <w:rPr>
          <w:rFonts w:ascii="Times New Roman" w:hAnsi="Times New Roman" w:cs="Times New Roman" w:eastAsia="Times New Roman"/>
        </w:rPr>
        <w:t xml:space="preserve">The two auxiliary heads read the mean-pooled spatial tokens and the mean-pooled temporal tokens. The fused head is the primary prediction used at evaluation time; the auxiliary heads provide unimodal supervision: they encourage each encoder to carry class information on its own and reduce the chance that the fused pathway learns to ignore one modality entirely. With cross-entropy </w:t>
      </w:r>
      <w:r>
        <w:rPr>
          <w:rFonts w:ascii="Times New Roman" w:hAnsi="Times New Roman" w:cs="Times New Roman" w:eastAsia="Times New Roman"/>
          <w:i/>
        </w:rPr>
        <w:t xml:space="preserve">L</w:t>
      </w:r>
      <w:r>
        <w:rPr>
          <w:rFonts w:ascii="Times New Roman" w:hAnsi="Times New Roman" w:cs="Times New Roman" w:eastAsia="Times New Roman"/>
          <w:vertAlign w:val="subscript"/>
        </w:rPr>
        <w:t xml:space="preserve">f</w:t>
      </w:r>
      <w:r>
        <w:rPr>
          <w:rFonts w:ascii="Times New Roman" w:hAnsi="Times New Roman" w:cs="Times New Roman" w:eastAsia="Times New Roman"/>
        </w:rPr>
        <w:t xml:space="preserve">, </w:t>
      </w:r>
      <w:r>
        <w:rPr>
          <w:rFonts w:ascii="Times New Roman" w:hAnsi="Times New Roman" w:cs="Times New Roman" w:eastAsia="Times New Roman"/>
          <w:i/>
        </w:rPr>
        <w:t xml:space="preserve">L</w:t>
      </w:r>
      <w:r>
        <w:rPr>
          <w:rFonts w:ascii="Times New Roman" w:hAnsi="Times New Roman" w:cs="Times New Roman" w:eastAsia="Times New Roman"/>
          <w:vertAlign w:val="subscript"/>
        </w:rPr>
        <w:t xml:space="preserve">s</w:t>
      </w:r>
      <w:r>
        <w:rPr>
          <w:rFonts w:ascii="Times New Roman" w:hAnsi="Times New Roman" w:cs="Times New Roman" w:eastAsia="Times New Roman"/>
        </w:rPr>
        <w:t xml:space="preserve"> and </w:t>
      </w:r>
      <w:r>
        <w:rPr>
          <w:rFonts w:ascii="Times New Roman" w:hAnsi="Times New Roman" w:cs="Times New Roman" w:eastAsia="Times New Roman"/>
          <w:i/>
        </w:rPr>
        <w:t xml:space="preserve">L</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for the fused, spatial and temporal heads, the objective is</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sSub>
                  <m:e>
                    <m:r>
                      <m:t>L</m:t>
                    </m:r>
                  </m:e>
                  <m:sub>
                    <m:r>
                      <m:rPr>
                        <m:sty m:val="p"/>
                      </m:rPr>
                      <m:t>total</m:t>
                    </m:r>
                  </m:sub>
                </m:sSub>
                <m:r>
                  <m:t>=</m:t>
                </m:r>
                <m:sSub>
                  <m:e>
                    <m:r>
                      <m:t>L</m:t>
                    </m:r>
                  </m:e>
                  <m:sub>
                    <m:r>
                      <m:t>f</m:t>
                    </m:r>
                  </m:sub>
                </m:sSub>
                <m:r>
                  <m:t>+</m:t>
                </m:r>
                <m:r>
                  <m:t>λ</m:t>
                </m:r>
                <m:r>
                  <m:t> </m:t>
                </m:r>
                <m:r>
                  <m:t>(</m:t>
                </m:r>
                <m:sSub>
                  <m:e>
                    <m:r>
                      <m:t>L</m:t>
                    </m:r>
                  </m:e>
                  <m:sub>
                    <m:r>
                      <m:t>s</m:t>
                    </m:r>
                  </m:sub>
                </m:sSub>
                <m:r>
                  <m:t>+</m:t>
                </m:r>
                <m:sSub>
                  <m:e>
                    <m:r>
                      <m:t>L</m:t>
                    </m:r>
                  </m:e>
                  <m:sub>
                    <m:r>
                      <m:t>t</m:t>
                    </m:r>
                  </m:sub>
                </m:sSub>
                <m:r>
                  <m:t>)</m:t>
                </m:r>
                <m:r>
                  <m:t>,</m:t>
                </m:r>
                <m:r>
                  <m:t>  </m:t>
                </m:r>
                <m:r>
                  <m:t>λ</m:t>
                </m:r>
                <m:r>
                  <m:t>=</m:t>
                </m:r>
                <m:r>
                  <m:t>0.3</m:t>
                </m:r>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(4.8)</w:t>
            </w:r>
          </w:p>
        </w:tc>
      </w:tr>
    </w:tbl>
    <w:p>
      <w:pPr>
        <w:pStyle w:val="BodyJ"/>
        <w:ind w:firstLine="0"/>
      </w:pPr>
      <w:r>
        <w:rPr>
          <w:rFonts w:ascii="Times New Roman" w:hAnsi="Times New Roman" w:cs="Times New Roman" w:eastAsia="Times New Roman"/>
        </w:rPr>
        <w:t xml:space="preserve">The function </w:t>
      </w:r>
      <w:r>
        <w:rPr>
          <w:rFonts w:ascii="Courier New" w:hAnsi="Courier New" w:cs="Courier New" w:eastAsia="Courier New"/>
        </w:rPr>
        <w:t xml:space="preserve">CAFN.multi_task_loss</w:t>
      </w:r>
      <w:r>
        <w:rPr>
          <w:rFonts w:ascii="Times New Roman" w:hAnsi="Times New Roman" w:cs="Times New Roman" w:eastAsia="Times New Roman"/>
        </w:rPr>
        <w:t xml:space="preserve"> (implemented in </w:t>
      </w:r>
      <w:r>
        <w:rPr>
          <w:rFonts w:ascii="Courier New" w:hAnsi="Courier New" w:cs="Courier New" w:eastAsia="Courier New"/>
        </w:rPr>
        <w:t xml:space="preserve">src/models/losses.py</w:t>
      </w:r>
      <w:r>
        <w:rPr>
          <w:rFonts w:ascii="Times New Roman" w:hAnsi="Times New Roman" w:cs="Times New Roman" w:eastAsia="Times New Roman"/>
        </w:rPr>
        <w:t xml:space="preserve">) returns the total together with the three component values, so that each can be logged. Optional extensions are inverse-frequency class weights in every head, label smoothing, and a learnable task-uncertainty weighting; the experiments of this report use the fixed weight λ = 0.3, with class weights in the real-cohort runs (Section 4.6).</w:t>
      </w:r>
    </w:p>
    <w:p>
      <w:pPr>
        <w:pStyle w:val="Heading2"/>
      </w:pPr>
      <w:r>
        <w:rPr>
          <w:rFonts w:ascii="Times New Roman" w:hAnsi="Times New Roman" w:cs="Times New Roman" w:eastAsia="Times New Roman"/>
          <w:b/>
          <w:sz w:val="28"/>
        </w:rPr>
        <w:t>4.6  TRAINING PROCEDURE</w:t>
      </w:r>
    </w:p>
    <w:p>
      <w:pPr>
        <w:pStyle w:val="BodyJ"/>
        <w:keepNext/>
      </w:pPr>
      <w:r>
        <w:rPr>
          <w:rFonts w:ascii="Times New Roman" w:hAnsi="Times New Roman" w:cs="Times New Roman" w:eastAsia="Times New Roman"/>
        </w:rPr>
        <w:t xml:space="preserve">Training is implemented in </w:t>
      </w:r>
      <w:r>
        <w:rPr>
          <w:rFonts w:ascii="Courier New" w:hAnsi="Courier New" w:cs="Courier New" w:eastAsia="Courier New"/>
        </w:rPr>
        <w:t xml:space="preserve">src/train.py</w:t>
      </w:r>
      <w:r>
        <w:rPr>
          <w:rFonts w:ascii="Times New Roman" w:hAnsi="Times New Roman" w:cs="Times New Roman" w:eastAsia="Times New Roman"/>
        </w:rPr>
        <w:t xml:space="preserve"> and summarised in Figure 4.5. For each epoch, </w:t>
      </w:r>
      <w:r>
        <w:rPr>
          <w:rFonts w:ascii="Courier New" w:hAnsi="Courier New" w:cs="Courier New" w:eastAsia="Courier New"/>
        </w:rPr>
        <w:t xml:space="preserve">train_model</w:t>
      </w:r>
      <w:r>
        <w:rPr>
          <w:rFonts w:ascii="Times New Roman" w:hAnsi="Times New Roman" w:cs="Times New Roman" w:eastAsia="Times New Roman"/>
        </w:rPr>
        <w:t xml:space="preserve"> performs the following steps.</w:t>
      </w:r>
    </w:p>
    <w:p>
      <w:pPr>
        <w:spacing w:after="60"/>
        <w:ind w:left="567" w:hanging="454"/>
        <w:jc w:val="both"/>
      </w:pPr>
      <w:r>
        <w:rPr>
          <w:rFonts w:ascii="Times New Roman" w:hAnsi="Times New Roman" w:cs="Times New Roman" w:eastAsia="Times New Roman"/>
        </w:rPr>
        <w:t xml:space="preserve">1.  </w:t>
      </w:r>
      <w:r>
        <w:rPr>
          <w:rFonts w:ascii="Times New Roman" w:hAnsi="Times New Roman" w:cs="Times New Roman" w:eastAsia="Times New Roman"/>
        </w:rPr>
        <w:t xml:space="preserve">Put the model in training mode and iterate over a shuffled </w:t>
      </w:r>
      <w:r>
        <w:rPr>
          <w:rFonts w:ascii="Courier New" w:hAnsi="Courier New" w:cs="Courier New" w:eastAsia="Courier New"/>
        </w:rPr>
        <w:t xml:space="preserve">DataLoader</w:t>
      </w:r>
      <w:r>
        <w:rPr>
          <w:rFonts w:ascii="Times New Roman" w:hAnsi="Times New Roman" w:cs="Times New Roman" w:eastAsia="Times New Roman"/>
        </w:rPr>
        <w:t xml:space="preserve"> (batch size 8 by default), with train-time augmentation applied to the training indices only (MRI flips, intensity jitter and noise; VEP amplitude scaling and noise; the waveform is not rolled or substantially shifted, because latency carries class information).</w:t>
      </w:r>
    </w:p>
    <w:p>
      <w:pPr>
        <w:spacing w:after="60"/>
        <w:ind w:left="567" w:hanging="454"/>
        <w:jc w:val="both"/>
      </w:pPr>
      <w:r>
        <w:rPr>
          <w:rFonts w:ascii="Times New Roman" w:hAnsi="Times New Roman" w:cs="Times New Roman" w:eastAsia="Times New Roman"/>
        </w:rPr>
        <w:t xml:space="preserve">2.  </w:t>
      </w:r>
      <w:r>
        <w:rPr>
          <w:rFonts w:ascii="Times New Roman" w:hAnsi="Times New Roman" w:cs="Times New Roman" w:eastAsia="Times New Roman"/>
        </w:rPr>
        <w:t xml:space="preserve">Move the MRI, signal and label tensors to the selected device (CUDA, Apple MPS or CPU, chosen automatically).</w:t>
      </w:r>
    </w:p>
    <w:p>
      <w:pPr>
        <w:spacing w:after="60"/>
        <w:ind w:left="567" w:hanging="454"/>
        <w:jc w:val="both"/>
      </w:pPr>
      <w:r>
        <w:rPr>
          <w:rFonts w:ascii="Times New Roman" w:hAnsi="Times New Roman" w:cs="Times New Roman" w:eastAsia="Times New Roman"/>
        </w:rPr>
        <w:t xml:space="preserve">3.  </w:t>
      </w:r>
      <w:r>
        <w:rPr>
          <w:rFonts w:ascii="Times New Roman" w:hAnsi="Times New Roman" w:cs="Times New Roman" w:eastAsia="Times New Roman"/>
        </w:rPr>
        <w:t xml:space="preserve">Clear gradients, run the forward pass (with mixed precision when enabled) and compute the multi-task loss with the configured auxiliary weight and, optionally, class weights.</w:t>
      </w:r>
    </w:p>
    <w:p>
      <w:pPr>
        <w:spacing w:after="60"/>
        <w:ind w:left="567" w:hanging="454"/>
        <w:jc w:val="both"/>
      </w:pPr>
      <w:r>
        <w:rPr>
          <w:rFonts w:ascii="Times New Roman" w:hAnsi="Times New Roman" w:cs="Times New Roman" w:eastAsia="Times New Roman"/>
        </w:rPr>
        <w:t xml:space="preserve">4.  </w:t>
      </w:r>
      <w:r>
        <w:rPr>
          <w:rFonts w:ascii="Times New Roman" w:hAnsi="Times New Roman" w:cs="Times New Roman" w:eastAsia="Times New Roman"/>
        </w:rPr>
        <w:t xml:space="preserve">Back-propagate, clip the gradient norm (1.0) and take an AdamW step (learning rate 10</w:t>
      </w:r>
      <w:r>
        <w:rPr>
          <w:rFonts w:ascii="Times New Roman" w:hAnsi="Times New Roman" w:cs="Times New Roman" w:eastAsia="Times New Roman"/>
          <w:vertAlign w:val="superscript"/>
        </w:rPr>
        <w:t xml:space="preserve">−3</w:t>
      </w:r>
      <w:r>
        <w:rPr>
          <w:rFonts w:ascii="Times New Roman" w:hAnsi="Times New Roman" w:cs="Times New Roman" w:eastAsia="Times New Roman"/>
        </w:rPr>
        <w:t xml:space="preserve">, weight decay 10</w:t>
      </w:r>
      <w:r>
        <w:rPr>
          <w:rFonts w:ascii="Times New Roman" w:hAnsi="Times New Roman" w:cs="Times New Roman" w:eastAsia="Times New Roman"/>
          <w:vertAlign w:val="superscript"/>
        </w:rPr>
        <w:t xml:space="preserve">−4</w:t>
      </w:r>
      <w:r>
        <w:rPr>
          <w:rFonts w:ascii="Times New Roman" w:hAnsi="Times New Roman" w:cs="Times New Roman" w:eastAsia="Times New Roman"/>
        </w:rPr>
        <w:t xml:space="preserve"> by default); the learning rate follows a linear warm-up over the first 10% of the steps and then a cosine decay, stepped per batch.</w:t>
      </w:r>
    </w:p>
    <w:p>
      <w:pPr>
        <w:spacing w:after="60"/>
        <w:ind w:left="567" w:hanging="454"/>
        <w:jc w:val="both"/>
      </w:pPr>
      <w:r>
        <w:rPr>
          <w:rFonts w:ascii="Times New Roman" w:hAnsi="Times New Roman" w:cs="Times New Roman" w:eastAsia="Times New Roman"/>
        </w:rPr>
        <w:t xml:space="preserve">5.  </w:t>
      </w:r>
      <w:r>
        <w:rPr>
          <w:rFonts w:ascii="Times New Roman" w:hAnsi="Times New Roman" w:cs="Times New Roman" w:eastAsia="Times New Roman"/>
        </w:rPr>
        <w:t xml:space="preserve">If a validation loader is supplied, evaluate the fused head with gradients disabled and the model in evaluation mode, recording loss, accuracy, balanced accuracy and macro-F1. The checkpoint that is restored at the end is chosen by </w:t>
      </w:r>
      <w:r>
        <w:rPr>
          <w:rFonts w:ascii="Courier New" w:hAnsi="Courier New" w:cs="Courier New" w:eastAsia="Courier New"/>
        </w:rPr>
        <w:t xml:space="preserve">select_metric</w:t>
      </w:r>
      <w:r>
        <w:rPr>
          <w:rFonts w:ascii="Times New Roman" w:hAnsi="Times New Roman" w:cs="Times New Roman" w:eastAsia="Times New Roman"/>
        </w:rPr>
        <w:t xml:space="preserve"> (validation loss by default; validation balanced accuracy in the experiments of this report), and training stops early when that quantity has not improved for </w:t>
      </w:r>
      <w:r>
        <w:rPr>
          <w:rFonts w:ascii="Courier New" w:hAnsi="Courier New" w:cs="Courier New" w:eastAsia="Courier New"/>
        </w:rPr>
        <w:t xml:space="preserve">patience</w:t>
      </w:r>
      <w:r>
        <w:rPr>
          <w:rFonts w:ascii="Times New Roman" w:hAnsi="Times New Roman" w:cs="Times New Roman" w:eastAsia="Times New Roman"/>
        </w:rPr>
        <w:t xml:space="preserve"> epochs.</w:t>
      </w:r>
    </w:p>
    <w:p>
      <w:pPr>
        <w:keepNext/>
        <w:spacing w:before="120" w:after="40" w:line="240" w:lineRule="auto"/>
        <w:jc w:val="center"/>
      </w:pPr>
      <w:r>
        <w:drawing>
          <wp:inline xmlns:a="http://schemas.openxmlformats.org/drawingml/2006/main" xmlns:pic="http://schemas.openxmlformats.org/drawingml/2006/picture">
            <wp:extent cx="5112000" cy="1954720"/>
            <wp:docPr id="25" name="Picture 25"/>
            <wp:cNvGraphicFramePr>
              <a:graphicFrameLocks noChangeAspect="1"/>
            </wp:cNvGraphicFramePr>
            <a:graphic>
              <a:graphicData uri="http://schemas.openxmlformats.org/drawingml/2006/picture">
                <pic:pic>
                  <pic:nvPicPr>
                    <pic:cNvPr id="0" name="fig_training_flow.png"/>
                    <pic:cNvPicPr/>
                  </pic:nvPicPr>
                  <pic:blipFill>
                    <a:blip r:embed="rId33"/>
                    <a:stretch>
                      <a:fillRect/>
                    </a:stretch>
                  </pic:blipFill>
                  <pic:spPr>
                    <a:xfrm>
                      <a:off x="0" y="0"/>
                      <a:ext cx="5112000" cy="1954720"/>
                    </a:xfrm>
                    <a:prstGeom prst="rect"/>
                  </pic:spPr>
                </pic:pic>
              </a:graphicData>
            </a:graphic>
          </wp:inline>
        </w:drawing>
      </w:r>
    </w:p>
    <w:p>
      <w:pPr>
        <w:pStyle w:val="Caption"/>
      </w:pPr>
      <w:bookmarkStart w:id="1028" w:name="_Ref_Figure_4_5"/>
      <w:r>
        <w:rPr>
          <w:rFonts w:ascii="Times New Roman" w:hAnsi="Times New Roman" w:cs="Times New Roman" w:eastAsia="Times New Roman"/>
          <w:b/>
          <w:sz w:val="22"/>
        </w:rPr>
        <w:t xml:space="preserve">Figure 4.5: </w:t>
      </w:r>
      <w:r>
        <w:rPr>
          <w:rFonts w:ascii="Times New Roman" w:hAnsi="Times New Roman" w:cs="Times New Roman" w:eastAsia="Times New Roman"/>
          <w:sz w:val="22"/>
        </w:rPr>
        <w:t>Training and evaluation flow. A seeded permutation splits the data; each epoch is followed by validation; the trained model can be checkpointed and passed to the explainability tools.</w:t>
      </w:r>
      <w:bookmarkEnd w:id="1028"/>
    </w:p>
    <w:p>
      <w:pPr>
        <w:pStyle w:val="Caption"/>
        <w:keepNext/>
        <w:spacing w:before="160" w:after="80"/>
      </w:pPr>
      <w:bookmarkStart w:id="1029" w:name="_Ref_Table_4_5"/>
      <w:r>
        <w:rPr>
          <w:rFonts w:ascii="Times New Roman" w:hAnsi="Times New Roman" w:cs="Times New Roman" w:eastAsia="Times New Roman"/>
          <w:b/>
          <w:sz w:val="22"/>
        </w:rPr>
        <w:t xml:space="preserve">Table 4.5: </w:t>
      </w:r>
      <w:r>
        <w:rPr>
          <w:rFonts w:ascii="Times New Roman" w:hAnsi="Times New Roman" w:cs="Times New Roman" w:eastAsia="Times New Roman"/>
          <w:sz w:val="22"/>
        </w:rPr>
        <w:t xml:space="preserve">Training configuration (TrainConfig, left) and model configuration (ModelConfig, right) at the default values. The studies override several of them (see the text).</w:t>
      </w:r>
      <w:bookmarkEnd w:id="1029"/>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00"/>
        <w:gridCol w:w="1500"/>
        <w:gridCol w:w="2700"/>
        <w:gridCol w:w="2106"/>
      </w:tblGrid>
      <w:tr>
        <w:trPr>
          <w:cantSplit/>
          <w:tblHeader/>
        </w:trPr>
        <w:tc>
          <w:tcPr>
            <w:tcW w:type="dxa" w:w="2000"/>
            <w:shd w:val="clear" w:color="auto" w:fill="D9D9D9"/>
          </w:tcPr>
          <w:p>
            <w:pPr>
              <w:pStyle w:val="TableText"/>
              <w:keepNext/>
              <w:jc w:val="left"/>
            </w:pPr>
            <w:r>
              <w:rPr>
                <w:rFonts w:ascii="Times New Roman" w:hAnsi="Times New Roman" w:cs="Times New Roman" w:eastAsia="Times New Roman"/>
                <w:b/>
                <w:sz w:val="20"/>
              </w:rPr>
              <w:t xml:space="preserve">TrainConfig</w:t>
            </w:r>
          </w:p>
        </w:tc>
        <w:tc>
          <w:tcPr>
            <w:tcW w:type="dxa" w:w="1500"/>
            <w:shd w:val="clear" w:color="auto" w:fill="D9D9D9"/>
          </w:tcPr>
          <w:p>
            <w:pPr>
              <w:pStyle w:val="TableText"/>
              <w:keepNext/>
              <w:jc w:val="left"/>
            </w:pPr>
            <w:r>
              <w:rPr>
                <w:rFonts w:ascii="Times New Roman" w:hAnsi="Times New Roman" w:cs="Times New Roman" w:eastAsia="Times New Roman"/>
                <w:b/>
                <w:sz w:val="20"/>
              </w:rPr>
              <w:t xml:space="preserve">Default</w:t>
            </w:r>
          </w:p>
        </w:tc>
        <w:tc>
          <w:tcPr>
            <w:tcW w:type="dxa" w:w="2700"/>
            <w:shd w:val="clear" w:color="auto" w:fill="D9D9D9"/>
          </w:tcPr>
          <w:p>
            <w:pPr>
              <w:pStyle w:val="TableText"/>
              <w:keepNext/>
              <w:jc w:val="left"/>
            </w:pPr>
            <w:r>
              <w:rPr>
                <w:rFonts w:ascii="Times New Roman" w:hAnsi="Times New Roman" w:cs="Times New Roman" w:eastAsia="Times New Roman"/>
                <w:b/>
                <w:sz w:val="20"/>
              </w:rPr>
              <w:t xml:space="preserve">ModelConfig</w:t>
            </w:r>
          </w:p>
        </w:tc>
        <w:tc>
          <w:tcPr>
            <w:tcW w:type="dxa" w:w="2106"/>
            <w:shd w:val="clear" w:color="auto" w:fill="D9D9D9"/>
          </w:tcPr>
          <w:p>
            <w:pPr>
              <w:pStyle w:val="TableText"/>
              <w:keepNext/>
              <w:jc w:val="left"/>
            </w:pPr>
            <w:r>
              <w:rPr>
                <w:rFonts w:ascii="Times New Roman" w:hAnsi="Times New Roman" w:cs="Times New Roman" w:eastAsia="Times New Roman"/>
                <w:b/>
                <w:sz w:val="20"/>
              </w:rPr>
              <w:t xml:space="preserve">Default</w:t>
            </w:r>
          </w:p>
        </w:tc>
      </w:tr>
      <w:tr>
        <w:trPr>
          <w:cantSplit/>
        </w:trPr>
        <w:tc>
          <w:tcPr>
            <w:tcW w:type="dxa" w:w="2000"/>
          </w:tcPr>
          <w:p>
            <w:pPr>
              <w:pStyle w:val="TableText"/>
              <w:jc w:val="left"/>
            </w:pPr>
            <w:r>
              <w:rPr>
                <w:rFonts w:ascii="Courier New" w:hAnsi="Courier New" w:cs="Courier New" w:eastAsia="Courier New"/>
                <w:sz w:val="20"/>
              </w:rPr>
              <w:t xml:space="preserve">batch_size</w:t>
            </w:r>
          </w:p>
        </w:tc>
        <w:tc>
          <w:tcPr>
            <w:tcW w:type="dxa" w:w="1500"/>
          </w:tcPr>
          <w:p>
            <w:pPr>
              <w:pStyle w:val="TableText"/>
              <w:jc w:val="left"/>
            </w:pPr>
            <w:r>
              <w:rPr>
                <w:rFonts w:ascii="Times New Roman" w:hAnsi="Times New Roman" w:cs="Times New Roman" w:eastAsia="Times New Roman"/>
                <w:sz w:val="20"/>
              </w:rPr>
              <w:t xml:space="preserve">8</w:t>
            </w:r>
          </w:p>
        </w:tc>
        <w:tc>
          <w:tcPr>
            <w:tcW w:type="dxa" w:w="2700"/>
          </w:tcPr>
          <w:p>
            <w:pPr>
              <w:pStyle w:val="TableText"/>
              <w:jc w:val="left"/>
            </w:pPr>
            <w:r>
              <w:rPr>
                <w:rFonts w:ascii="Courier New" w:hAnsi="Courier New" w:cs="Courier New" w:eastAsia="Courier New"/>
                <w:sz w:val="20"/>
              </w:rPr>
              <w:t xml:space="preserve">d_model</w:t>
            </w:r>
          </w:p>
        </w:tc>
        <w:tc>
          <w:tcPr>
            <w:tcW w:type="dxa" w:w="2106"/>
          </w:tcPr>
          <w:p>
            <w:pPr>
              <w:pStyle w:val="TableText"/>
              <w:jc w:val="left"/>
            </w:pPr>
            <w:r>
              <w:rPr>
                <w:rFonts w:ascii="Times New Roman" w:hAnsi="Times New Roman" w:cs="Times New Roman" w:eastAsia="Times New Roman"/>
                <w:sz w:val="20"/>
              </w:rPr>
              <w:t xml:space="preserve">128</w:t>
            </w:r>
          </w:p>
        </w:tc>
      </w:tr>
      <w:tr>
        <w:trPr>
          <w:cantSplit/>
        </w:trPr>
        <w:tc>
          <w:tcPr>
            <w:tcW w:type="dxa" w:w="2000"/>
          </w:tcPr>
          <w:p>
            <w:pPr>
              <w:pStyle w:val="TableText"/>
              <w:jc w:val="left"/>
            </w:pPr>
            <w:r>
              <w:rPr>
                <w:rFonts w:ascii="Courier New" w:hAnsi="Courier New" w:cs="Courier New" w:eastAsia="Courier New"/>
                <w:sz w:val="20"/>
              </w:rPr>
              <w:t xml:space="preserve">epochs</w:t>
            </w:r>
          </w:p>
        </w:tc>
        <w:tc>
          <w:tcPr>
            <w:tcW w:type="dxa" w:w="1500"/>
          </w:tcPr>
          <w:p>
            <w:pPr>
              <w:pStyle w:val="TableText"/>
              <w:jc w:val="left"/>
            </w:pPr>
            <w:r>
              <w:rPr>
                <w:rFonts w:ascii="Times New Roman" w:hAnsi="Times New Roman" w:cs="Times New Roman" w:eastAsia="Times New Roman"/>
                <w:sz w:val="20"/>
              </w:rPr>
              <w:t xml:space="preserve">20</w:t>
            </w:r>
          </w:p>
        </w:tc>
        <w:tc>
          <w:tcPr>
            <w:tcW w:type="dxa" w:w="2700"/>
          </w:tcPr>
          <w:p>
            <w:pPr>
              <w:pStyle w:val="TableText"/>
              <w:jc w:val="left"/>
            </w:pPr>
            <w:r>
              <w:rPr>
                <w:rFonts w:ascii="Courier New" w:hAnsi="Courier New" w:cs="Courier New" w:eastAsia="Courier New"/>
                <w:sz w:val="20"/>
              </w:rPr>
              <w:t xml:space="preserve">num_heads</w:t>
            </w:r>
          </w:p>
        </w:tc>
        <w:tc>
          <w:tcPr>
            <w:tcW w:type="dxa" w:w="2106"/>
          </w:tcPr>
          <w:p>
            <w:pPr>
              <w:pStyle w:val="TableText"/>
              <w:jc w:val="left"/>
            </w:pPr>
            <w:r>
              <w:rPr>
                <w:rFonts w:ascii="Times New Roman" w:hAnsi="Times New Roman" w:cs="Times New Roman" w:eastAsia="Times New Roman"/>
                <w:sz w:val="20"/>
              </w:rPr>
              <w:t xml:space="preserve">4</w:t>
            </w:r>
          </w:p>
        </w:tc>
      </w:tr>
      <w:tr>
        <w:trPr>
          <w:cantSplit/>
        </w:trPr>
        <w:tc>
          <w:tcPr>
            <w:tcW w:type="dxa" w:w="2000"/>
          </w:tcPr>
          <w:p>
            <w:pPr>
              <w:pStyle w:val="TableText"/>
              <w:jc w:val="left"/>
            </w:pPr>
            <w:r>
              <w:rPr>
                <w:rFonts w:ascii="Courier New" w:hAnsi="Courier New" w:cs="Courier New" w:eastAsia="Courier New"/>
                <w:sz w:val="20"/>
              </w:rPr>
              <w:t xml:space="preserve">lr</w:t>
            </w:r>
          </w:p>
        </w:tc>
        <w:tc>
          <w:tcPr>
            <w:tcW w:type="dxa" w:w="1500"/>
          </w:tcPr>
          <w:p>
            <w:pPr>
              <w:pStyle w:val="TableText"/>
              <w:jc w:val="left"/>
            </w:pPr>
            <w:r>
              <w:rPr>
                <w:rFonts w:ascii="Times New Roman" w:hAnsi="Times New Roman" w:cs="Times New Roman" w:eastAsia="Times New Roman"/>
                <w:sz w:val="20"/>
              </w:rPr>
              <w:t xml:space="preserve">1e-3</w:t>
            </w:r>
          </w:p>
        </w:tc>
        <w:tc>
          <w:tcPr>
            <w:tcW w:type="dxa" w:w="2700"/>
          </w:tcPr>
          <w:p>
            <w:pPr>
              <w:pStyle w:val="TableText"/>
              <w:jc w:val="left"/>
            </w:pPr>
            <w:r>
              <w:rPr>
                <w:rFonts w:ascii="Courier New" w:hAnsi="Courier New" w:cs="Courier New" w:eastAsia="Courier New"/>
                <w:sz w:val="20"/>
              </w:rPr>
              <w:t xml:space="preserve">spatial_tokens</w:t>
            </w:r>
            <w:r>
              <w:rPr>
                <w:rFonts w:ascii="Times New Roman" w:hAnsi="Times New Roman" w:cs="Times New Roman" w:eastAsia="Times New Roman"/>
                <w:sz w:val="20"/>
              </w:rPr>
              <w:t xml:space="preserve"> / </w:t>
            </w:r>
            <w:r>
              <w:rPr>
                <w:rFonts w:ascii="Courier New" w:hAnsi="Courier New" w:cs="Courier New" w:eastAsia="Courier New"/>
                <w:sz w:val="20"/>
              </w:rPr>
              <w:t xml:space="preserve">spatial_pool</w:t>
            </w:r>
          </w:p>
        </w:tc>
        <w:tc>
          <w:tcPr>
            <w:tcW w:type="dxa" w:w="2106"/>
          </w:tcPr>
          <w:p>
            <w:pPr>
              <w:pStyle w:val="TableText"/>
              <w:jc w:val="left"/>
            </w:pPr>
            <w:r>
              <w:rPr>
                <w:rFonts w:ascii="Times New Roman" w:hAnsi="Times New Roman" w:cs="Times New Roman" w:eastAsia="Times New Roman"/>
                <w:sz w:val="20"/>
              </w:rPr>
              <w:t xml:space="preserve">64 / (4, 4, 4)</w:t>
            </w:r>
          </w:p>
        </w:tc>
      </w:tr>
      <w:tr>
        <w:trPr>
          <w:cantSplit/>
        </w:trPr>
        <w:tc>
          <w:tcPr>
            <w:tcW w:type="dxa" w:w="2000"/>
          </w:tcPr>
          <w:p>
            <w:pPr>
              <w:pStyle w:val="TableText"/>
              <w:jc w:val="left"/>
            </w:pPr>
            <w:r>
              <w:rPr>
                <w:rFonts w:ascii="Courier New" w:hAnsi="Courier New" w:cs="Courier New" w:eastAsia="Courier New"/>
                <w:sz w:val="20"/>
              </w:rPr>
              <w:t xml:space="preserve">weight_decay</w:t>
            </w:r>
          </w:p>
        </w:tc>
        <w:tc>
          <w:tcPr>
            <w:tcW w:type="dxa" w:w="1500"/>
          </w:tcPr>
          <w:p>
            <w:pPr>
              <w:pStyle w:val="TableText"/>
              <w:jc w:val="left"/>
            </w:pPr>
            <w:r>
              <w:rPr>
                <w:rFonts w:ascii="Times New Roman" w:hAnsi="Times New Roman" w:cs="Times New Roman" w:eastAsia="Times New Roman"/>
                <w:sz w:val="20"/>
              </w:rPr>
              <w:t xml:space="preserve">1e-4</w:t>
            </w:r>
          </w:p>
        </w:tc>
        <w:tc>
          <w:tcPr>
            <w:tcW w:type="dxa" w:w="2700"/>
          </w:tcPr>
          <w:p>
            <w:pPr>
              <w:pStyle w:val="TableText"/>
              <w:jc w:val="left"/>
            </w:pPr>
            <w:r>
              <w:rPr>
                <w:rFonts w:ascii="Courier New" w:hAnsi="Courier New" w:cs="Courier New" w:eastAsia="Courier New"/>
                <w:sz w:val="20"/>
              </w:rPr>
              <w:t xml:space="preserve">temporal_tokens</w:t>
            </w:r>
          </w:p>
        </w:tc>
        <w:tc>
          <w:tcPr>
            <w:tcW w:type="dxa" w:w="2106"/>
          </w:tcPr>
          <w:p>
            <w:pPr>
              <w:pStyle w:val="TableText"/>
              <w:jc w:val="left"/>
            </w:pPr>
            <w:r>
              <w:rPr>
                <w:rFonts w:ascii="Times New Roman" w:hAnsi="Times New Roman" w:cs="Times New Roman" w:eastAsia="Times New Roman"/>
                <w:sz w:val="20"/>
              </w:rPr>
              <w:t xml:space="preserve">16</w:t>
            </w:r>
          </w:p>
        </w:tc>
      </w:tr>
      <w:tr>
        <w:trPr>
          <w:cantSplit/>
        </w:trPr>
        <w:tc>
          <w:tcPr>
            <w:tcW w:type="dxa" w:w="2000"/>
          </w:tcPr>
          <w:p>
            <w:pPr>
              <w:pStyle w:val="TableText"/>
              <w:jc w:val="left"/>
            </w:pPr>
            <w:r>
              <w:rPr>
                <w:rFonts w:ascii="Courier New" w:hAnsi="Courier New" w:cs="Courier New" w:eastAsia="Courier New"/>
                <w:sz w:val="20"/>
              </w:rPr>
              <w:t xml:space="preserve">aux_loss_weight</w:t>
            </w:r>
            <w:r>
              <w:rPr>
                <w:rFonts w:ascii="Times New Roman" w:hAnsi="Times New Roman" w:cs="Times New Roman" w:eastAsia="Times New Roman"/>
                <w:sz w:val="20"/>
              </w:rPr>
              <w:t xml:space="preserve"> (λ)</w:t>
            </w:r>
          </w:p>
        </w:tc>
        <w:tc>
          <w:tcPr>
            <w:tcW w:type="dxa" w:w="1500"/>
          </w:tcPr>
          <w:p>
            <w:pPr>
              <w:pStyle w:val="TableText"/>
              <w:jc w:val="left"/>
            </w:pPr>
            <w:r>
              <w:rPr>
                <w:rFonts w:ascii="Times New Roman" w:hAnsi="Times New Roman" w:cs="Times New Roman" w:eastAsia="Times New Roman"/>
                <w:sz w:val="20"/>
              </w:rPr>
              <w:t xml:space="preserve">0.3</w:t>
            </w:r>
          </w:p>
        </w:tc>
        <w:tc>
          <w:tcPr>
            <w:tcW w:type="dxa" w:w="2700"/>
          </w:tcPr>
          <w:p>
            <w:pPr>
              <w:pStyle w:val="TableText"/>
              <w:jc w:val="left"/>
            </w:pPr>
            <w:r>
              <w:rPr>
                <w:rFonts w:ascii="Courier New" w:hAnsi="Courier New" w:cs="Courier New" w:eastAsia="Courier New"/>
                <w:sz w:val="20"/>
              </w:rPr>
              <w:t xml:space="preserve">ffn_hidden</w:t>
            </w:r>
          </w:p>
        </w:tc>
        <w:tc>
          <w:tcPr>
            <w:tcW w:type="dxa" w:w="2106"/>
          </w:tcPr>
          <w:p>
            <w:pPr>
              <w:pStyle w:val="TableText"/>
              <w:jc w:val="left"/>
            </w:pPr>
            <w:r>
              <w:rPr>
                <w:rFonts w:ascii="Times New Roman" w:hAnsi="Times New Roman" w:cs="Times New Roman" w:eastAsia="Times New Roman"/>
                <w:sz w:val="20"/>
              </w:rPr>
              <w:t xml:space="preserve">256</w:t>
            </w:r>
          </w:p>
        </w:tc>
      </w:tr>
      <w:tr>
        <w:trPr>
          <w:cantSplit/>
        </w:trPr>
        <w:tc>
          <w:tcPr>
            <w:tcW w:type="dxa" w:w="2000"/>
          </w:tcPr>
          <w:p>
            <w:pPr>
              <w:pStyle w:val="TableText"/>
              <w:jc w:val="left"/>
            </w:pPr>
            <w:r>
              <w:rPr>
                <w:rFonts w:ascii="Courier New" w:hAnsi="Courier New" w:cs="Courier New" w:eastAsia="Courier New"/>
                <w:sz w:val="20"/>
              </w:rPr>
              <w:t xml:space="preserve">val_split</w:t>
            </w:r>
          </w:p>
        </w:tc>
        <w:tc>
          <w:tcPr>
            <w:tcW w:type="dxa" w:w="1500"/>
          </w:tcPr>
          <w:p>
            <w:pPr>
              <w:pStyle w:val="TableText"/>
              <w:jc w:val="left"/>
            </w:pPr>
            <w:r>
              <w:rPr>
                <w:rFonts w:ascii="Times New Roman" w:hAnsi="Times New Roman" w:cs="Times New Roman" w:eastAsia="Times New Roman"/>
                <w:sz w:val="20"/>
              </w:rPr>
              <w:t xml:space="preserve">0.2</w:t>
            </w:r>
          </w:p>
        </w:tc>
        <w:tc>
          <w:tcPr>
            <w:tcW w:type="dxa" w:w="2700"/>
          </w:tcPr>
          <w:p>
            <w:pPr>
              <w:pStyle w:val="TableText"/>
              <w:jc w:val="left"/>
            </w:pPr>
            <w:r>
              <w:rPr>
                <w:rFonts w:ascii="Courier New" w:hAnsi="Courier New" w:cs="Courier New" w:eastAsia="Courier New"/>
                <w:sz w:val="20"/>
              </w:rPr>
              <w:t xml:space="preserve">dropout</w:t>
            </w:r>
          </w:p>
        </w:tc>
        <w:tc>
          <w:tcPr>
            <w:tcW w:type="dxa" w:w="2106"/>
          </w:tcPr>
          <w:p>
            <w:pPr>
              <w:pStyle w:val="TableText"/>
              <w:jc w:val="left"/>
            </w:pPr>
            <w:r>
              <w:rPr>
                <w:rFonts w:ascii="Times New Roman" w:hAnsi="Times New Roman" w:cs="Times New Roman" w:eastAsia="Times New Roman"/>
                <w:sz w:val="20"/>
              </w:rPr>
              <w:t xml:space="preserve">0.1</w:t>
            </w:r>
          </w:p>
        </w:tc>
      </w:tr>
      <w:tr>
        <w:trPr>
          <w:cantSplit/>
        </w:trPr>
        <w:tc>
          <w:tcPr>
            <w:tcW w:type="dxa" w:w="2000"/>
          </w:tcPr>
          <w:p>
            <w:pPr>
              <w:pStyle w:val="TableText"/>
              <w:jc w:val="left"/>
            </w:pPr>
            <w:r>
              <w:rPr>
                <w:rFonts w:ascii="Courier New" w:hAnsi="Courier New" w:cs="Courier New" w:eastAsia="Courier New"/>
                <w:sz w:val="20"/>
              </w:rPr>
              <w:t xml:space="preserve">seed</w:t>
            </w:r>
          </w:p>
        </w:tc>
        <w:tc>
          <w:tcPr>
            <w:tcW w:type="dxa" w:w="1500"/>
          </w:tcPr>
          <w:p>
            <w:pPr>
              <w:pStyle w:val="TableText"/>
              <w:jc w:val="left"/>
            </w:pPr>
            <w:r>
              <w:rPr>
                <w:rFonts w:ascii="Times New Roman" w:hAnsi="Times New Roman" w:cs="Times New Roman" w:eastAsia="Times New Roman"/>
                <w:sz w:val="20"/>
              </w:rPr>
              <w:t xml:space="preserve">42</w:t>
            </w:r>
          </w:p>
        </w:tc>
        <w:tc>
          <w:tcPr>
            <w:tcW w:type="dxa" w:w="2700"/>
          </w:tcPr>
          <w:p>
            <w:pPr>
              <w:pStyle w:val="TableText"/>
              <w:jc w:val="left"/>
            </w:pPr>
            <w:r>
              <w:rPr>
                <w:rFonts w:ascii="Courier New" w:hAnsi="Courier New" w:cs="Courier New" w:eastAsia="Courier New"/>
                <w:sz w:val="20"/>
              </w:rPr>
              <w:t xml:space="preserve">num_classes</w:t>
            </w:r>
          </w:p>
        </w:tc>
        <w:tc>
          <w:tcPr>
            <w:tcW w:type="dxa" w:w="2106"/>
          </w:tcPr>
          <w:p>
            <w:pPr>
              <w:pStyle w:val="TableText"/>
              <w:jc w:val="left"/>
            </w:pPr>
            <w:r>
              <w:rPr>
                <w:rFonts w:ascii="Times New Roman" w:hAnsi="Times New Roman" w:cs="Times New Roman" w:eastAsia="Times New Roman"/>
                <w:sz w:val="20"/>
              </w:rPr>
              <w:t xml:space="preserve">3</w:t>
            </w:r>
          </w:p>
        </w:tc>
      </w:tr>
      <w:tr>
        <w:trPr>
          <w:cantSplit/>
        </w:trPr>
        <w:tc>
          <w:tcPr>
            <w:tcW w:type="dxa" w:w="2000"/>
          </w:tcPr>
          <w:p>
            <w:pPr>
              <w:pStyle w:val="TableText"/>
              <w:jc w:val="left"/>
            </w:pPr>
            <w:r>
              <w:rPr>
                <w:rFonts w:ascii="Courier New" w:hAnsi="Courier New" w:cs="Courier New" w:eastAsia="Courier New"/>
                <w:sz w:val="20"/>
              </w:rPr>
              <w:t xml:space="preserve">optimizer</w:t>
            </w:r>
          </w:p>
        </w:tc>
        <w:tc>
          <w:tcPr>
            <w:tcW w:type="dxa" w:w="1500"/>
          </w:tcPr>
          <w:p>
            <w:pPr>
              <w:pStyle w:val="TableText"/>
              <w:jc w:val="left"/>
            </w:pPr>
            <w:r>
              <w:rPr>
                <w:rFonts w:ascii="Times New Roman" w:hAnsi="Times New Roman" w:cs="Times New Roman" w:eastAsia="Times New Roman"/>
                <w:sz w:val="20"/>
              </w:rPr>
              <w:t xml:space="preserve">"adamw"</w:t>
            </w:r>
          </w:p>
        </w:tc>
        <w:tc>
          <w:tcPr>
            <w:tcW w:type="dxa" w:w="2700"/>
          </w:tcPr>
          <w:p>
            <w:pPr>
              <w:pStyle w:val="TableText"/>
              <w:jc w:val="left"/>
            </w:pPr>
            <w:r>
              <w:rPr>
                <w:rFonts w:ascii="Courier New" w:hAnsi="Courier New" w:cs="Courier New" w:eastAsia="Courier New"/>
                <w:sz w:val="20"/>
              </w:rPr>
              <w:t xml:space="preserve">fusion</w:t>
            </w:r>
          </w:p>
        </w:tc>
        <w:tc>
          <w:tcPr>
            <w:tcW w:type="dxa" w:w="2106"/>
          </w:tcPr>
          <w:p>
            <w:pPr>
              <w:pStyle w:val="TableText"/>
              <w:jc w:val="left"/>
            </w:pPr>
            <w:r>
              <w:rPr>
                <w:rFonts w:ascii="Times New Roman" w:hAnsi="Times New Roman" w:cs="Times New Roman" w:eastAsia="Times New Roman"/>
                <w:sz w:val="20"/>
              </w:rPr>
              <w:t xml:space="preserve">"bidirectional"</w:t>
            </w:r>
          </w:p>
        </w:tc>
      </w:tr>
      <w:tr>
        <w:trPr>
          <w:cantSplit/>
        </w:trPr>
        <w:tc>
          <w:tcPr>
            <w:tcW w:type="dxa" w:w="2000"/>
          </w:tcPr>
          <w:p>
            <w:pPr>
              <w:pStyle w:val="TableText"/>
              <w:jc w:val="left"/>
            </w:pPr>
            <w:r>
              <w:rPr>
                <w:rFonts w:ascii="Courier New" w:hAnsi="Courier New" w:cs="Courier New" w:eastAsia="Courier New"/>
                <w:sz w:val="20"/>
              </w:rPr>
              <w:t xml:space="preserve">scheduler</w:t>
            </w:r>
          </w:p>
        </w:tc>
        <w:tc>
          <w:tcPr>
            <w:tcW w:type="dxa" w:w="1500"/>
          </w:tcPr>
          <w:p>
            <w:pPr>
              <w:pStyle w:val="TableText"/>
              <w:jc w:val="left"/>
            </w:pPr>
            <w:r>
              <w:rPr>
                <w:rFonts w:ascii="Times New Roman" w:hAnsi="Times New Roman" w:cs="Times New Roman" w:eastAsia="Times New Roman"/>
                <w:sz w:val="20"/>
              </w:rPr>
              <w:t xml:space="preserve">"cosine"</w:t>
            </w:r>
          </w:p>
        </w:tc>
        <w:tc>
          <w:tcPr>
            <w:tcW w:type="dxa" w:w="2700"/>
          </w:tcPr>
          <w:p>
            <w:pPr>
              <w:pStyle w:val="TableText"/>
              <w:jc w:val="left"/>
            </w:pPr>
            <w:r>
              <w:rPr>
                <w:rFonts w:ascii="Courier New" w:hAnsi="Courier New" w:cs="Courier New" w:eastAsia="Courier New"/>
                <w:sz w:val="20"/>
              </w:rPr>
              <w:t xml:space="preserve">pos_encoding</w:t>
            </w:r>
          </w:p>
        </w:tc>
        <w:tc>
          <w:tcPr>
            <w:tcW w:type="dxa" w:w="2106"/>
          </w:tcPr>
          <w:p>
            <w:pPr>
              <w:pStyle w:val="TableText"/>
              <w:jc w:val="left"/>
            </w:pPr>
            <w:r>
              <w:rPr>
                <w:rFonts w:ascii="Times New Roman" w:hAnsi="Times New Roman" w:cs="Times New Roman" w:eastAsia="Times New Roman"/>
                <w:sz w:val="20"/>
              </w:rPr>
              <w:t xml:space="preserve">True</w:t>
            </w:r>
          </w:p>
        </w:tc>
      </w:tr>
      <w:tr>
        <w:trPr>
          <w:cantSplit/>
        </w:trPr>
        <w:tc>
          <w:tcPr>
            <w:tcW w:type="dxa" w:w="2000"/>
          </w:tcPr>
          <w:p>
            <w:pPr>
              <w:pStyle w:val="TableText"/>
              <w:jc w:val="left"/>
            </w:pPr>
            <w:r>
              <w:rPr>
                <w:rFonts w:ascii="Courier New" w:hAnsi="Courier New" w:cs="Courier New" w:eastAsia="Courier New"/>
                <w:sz w:val="20"/>
              </w:rPr>
              <w:t xml:space="preserve">warmup_fraction</w:t>
            </w:r>
          </w:p>
        </w:tc>
        <w:tc>
          <w:tcPr>
            <w:tcW w:type="dxa" w:w="1500"/>
          </w:tcPr>
          <w:p>
            <w:pPr>
              <w:pStyle w:val="TableText"/>
              <w:jc w:val="left"/>
            </w:pPr>
            <w:r>
              <w:rPr>
                <w:rFonts w:ascii="Times New Roman" w:hAnsi="Times New Roman" w:cs="Times New Roman" w:eastAsia="Times New Roman"/>
                <w:sz w:val="20"/>
              </w:rPr>
              <w:t xml:space="preserve">0.1</w:t>
            </w:r>
          </w:p>
        </w:tc>
        <w:tc>
          <w:tcPr>
            <w:tcW w:type="dxa" w:w="2700"/>
          </w:tcPr>
          <w:p>
            <w:pPr>
              <w:pStyle w:val="TableText"/>
              <w:jc w:val="left"/>
            </w:pPr>
            <w:r>
              <w:rPr>
                <w:rFonts w:ascii="Courier New" w:hAnsi="Courier New" w:cs="Courier New" w:eastAsia="Courier New"/>
                <w:sz w:val="20"/>
              </w:rPr>
              <w:t xml:space="preserve">pooling</w:t>
            </w:r>
          </w:p>
        </w:tc>
        <w:tc>
          <w:tcPr>
            <w:tcW w:type="dxa" w:w="2106"/>
          </w:tcPr>
          <w:p>
            <w:pPr>
              <w:pStyle w:val="TableText"/>
              <w:jc w:val="left"/>
            </w:pPr>
            <w:r>
              <w:rPr>
                <w:rFonts w:ascii="Times New Roman" w:hAnsi="Times New Roman" w:cs="Times New Roman" w:eastAsia="Times New Roman"/>
                <w:sz w:val="20"/>
              </w:rPr>
              <w:t xml:space="preserve">"attn"</w:t>
            </w:r>
          </w:p>
        </w:tc>
      </w:tr>
      <w:tr>
        <w:trPr>
          <w:cantSplit/>
        </w:trPr>
        <w:tc>
          <w:tcPr>
            <w:tcW w:type="dxa" w:w="2000"/>
          </w:tcPr>
          <w:p>
            <w:pPr>
              <w:pStyle w:val="TableText"/>
              <w:jc w:val="left"/>
            </w:pPr>
            <w:r>
              <w:rPr>
                <w:rFonts w:ascii="Courier New" w:hAnsi="Courier New" w:cs="Courier New" w:eastAsia="Courier New"/>
                <w:sz w:val="20"/>
              </w:rPr>
              <w:t xml:space="preserve">max_grad_norm</w:t>
            </w:r>
          </w:p>
        </w:tc>
        <w:tc>
          <w:tcPr>
            <w:tcW w:type="dxa" w:w="1500"/>
          </w:tcPr>
          <w:p>
            <w:pPr>
              <w:pStyle w:val="TableText"/>
              <w:jc w:val="left"/>
            </w:pPr>
            <w:r>
              <w:rPr>
                <w:rFonts w:ascii="Times New Roman" w:hAnsi="Times New Roman" w:cs="Times New Roman" w:eastAsia="Times New Roman"/>
                <w:sz w:val="20"/>
              </w:rPr>
              <w:t xml:space="preserve">1.0</w:t>
            </w:r>
          </w:p>
        </w:tc>
        <w:tc>
          <w:tcPr>
            <w:tcW w:type="dxa" w:w="2700"/>
          </w:tcPr>
          <w:p>
            <w:pPr>
              <w:pStyle w:val="TableText"/>
              <w:jc w:val="left"/>
            </w:pPr>
            <w:r>
              <w:rPr>
                <w:rFonts w:ascii="Courier New" w:hAnsi="Courier New" w:cs="Courier New" w:eastAsia="Courier New"/>
                <w:sz w:val="20"/>
              </w:rPr>
              <w:t xml:space="preserve">modality_dropout</w:t>
            </w:r>
          </w:p>
        </w:tc>
        <w:tc>
          <w:tcPr>
            <w:tcW w:type="dxa" w:w="2106"/>
          </w:tcPr>
          <w:p>
            <w:pPr>
              <w:pStyle w:val="TableText"/>
              <w:jc w:val="left"/>
            </w:pPr>
            <w:r>
              <w:rPr>
                <w:rFonts w:ascii="Times New Roman" w:hAnsi="Times New Roman" w:cs="Times New Roman" w:eastAsia="Times New Roman"/>
                <w:sz w:val="20"/>
              </w:rPr>
              <w:t xml:space="preserve">0.0</w:t>
            </w:r>
          </w:p>
        </w:tc>
      </w:tr>
      <w:tr>
        <w:trPr>
          <w:cantSplit/>
        </w:trPr>
        <w:tc>
          <w:tcPr>
            <w:tcW w:type="dxa" w:w="2000"/>
          </w:tcPr>
          <w:p>
            <w:pPr>
              <w:pStyle w:val="TableText"/>
              <w:jc w:val="left"/>
            </w:pPr>
            <w:r>
              <w:rPr>
                <w:rFonts w:ascii="Courier New" w:hAnsi="Courier New" w:cs="Courier New" w:eastAsia="Courier New"/>
                <w:sz w:val="20"/>
              </w:rPr>
              <w:t xml:space="preserve">patience</w:t>
            </w:r>
          </w:p>
        </w:tc>
        <w:tc>
          <w:tcPr>
            <w:tcW w:type="dxa" w:w="1500"/>
          </w:tcPr>
          <w:p>
            <w:pPr>
              <w:pStyle w:val="TableText"/>
              <w:jc w:val="left"/>
            </w:pPr>
            <w:r>
              <w:rPr>
                <w:rFonts w:ascii="Times New Roman" w:hAnsi="Times New Roman" w:cs="Times New Roman" w:eastAsia="Times New Roman"/>
                <w:sz w:val="20"/>
              </w:rPr>
              <w:t xml:space="preserve">None</w:t>
            </w:r>
          </w:p>
        </w:tc>
        <w:tc>
          <w:tcPr>
            <w:tcW w:type="dxa" w:w="2700"/>
          </w:tcPr>
          <w:p>
            <w:pPr>
              <w:pStyle w:val="TableText"/>
              <w:jc w:val="left"/>
            </w:pPr>
            <w:r>
              <w:rPr>
                <w:rFonts w:ascii="Courier New" w:hAnsi="Courier New" w:cs="Courier New" w:eastAsia="Courier New"/>
                <w:sz w:val="20"/>
              </w:rPr>
              <w:t xml:space="preserve">fusion_blocks</w:t>
            </w:r>
          </w:p>
        </w:tc>
        <w:tc>
          <w:tcPr>
            <w:tcW w:type="dxa" w:w="2106"/>
          </w:tcPr>
          <w:p>
            <w:pPr>
              <w:pStyle w:val="TableText"/>
              <w:jc w:val="left"/>
            </w:pPr>
            <w:r>
              <w:rPr>
                <w:rFonts w:ascii="Times New Roman" w:hAnsi="Times New Roman" w:cs="Times New Roman" w:eastAsia="Times New Roman"/>
                <w:sz w:val="20"/>
              </w:rPr>
              <w:t xml:space="preserve">1</w:t>
            </w:r>
          </w:p>
        </w:tc>
      </w:tr>
      <w:tr>
        <w:trPr>
          <w:cantSplit/>
        </w:trPr>
        <w:tc>
          <w:tcPr>
            <w:tcW w:type="dxa" w:w="2000"/>
          </w:tcPr>
          <w:p>
            <w:pPr>
              <w:pStyle w:val="TableText"/>
              <w:jc w:val="left"/>
            </w:pPr>
            <w:r>
              <w:rPr>
                <w:rFonts w:ascii="Courier New" w:hAnsi="Courier New" w:cs="Courier New" w:eastAsia="Courier New"/>
                <w:sz w:val="20"/>
              </w:rPr>
              <w:t xml:space="preserve">amp</w:t>
            </w:r>
          </w:p>
        </w:tc>
        <w:tc>
          <w:tcPr>
            <w:tcW w:type="dxa" w:w="1500"/>
          </w:tcPr>
          <w:p>
            <w:pPr>
              <w:pStyle w:val="TableText"/>
              <w:jc w:val="left"/>
            </w:pPr>
            <w:r>
              <w:rPr>
                <w:rFonts w:ascii="Times New Roman" w:hAnsi="Times New Roman" w:cs="Times New Roman" w:eastAsia="Times New Roman"/>
                <w:sz w:val="20"/>
              </w:rPr>
              <w:t xml:space="preserve">False</w:t>
            </w:r>
          </w:p>
        </w:tc>
        <w:tc>
          <w:tcPr>
            <w:tcW w:type="dxa" w:w="2700"/>
          </w:tcPr>
          <w:p>
            <w:pPr>
              <w:pStyle w:val="TableText"/>
              <w:jc w:val="left"/>
            </w:pPr>
            <w:r>
              <w:rPr>
                <w:rFonts w:ascii="Courier New" w:hAnsi="Courier New" w:cs="Courier New" w:eastAsia="Courier New"/>
                <w:sz w:val="20"/>
              </w:rPr>
              <w:t xml:space="preserve">se_reduction</w:t>
            </w:r>
          </w:p>
        </w:tc>
        <w:tc>
          <w:tcPr>
            <w:tcW w:type="dxa" w:w="2106"/>
          </w:tcPr>
          <w:p>
            <w:pPr>
              <w:pStyle w:val="TableText"/>
              <w:jc w:val="left"/>
            </w:pPr>
            <w:r>
              <w:rPr>
                <w:rFonts w:ascii="Times New Roman" w:hAnsi="Times New Roman" w:cs="Times New Roman" w:eastAsia="Times New Roman"/>
                <w:sz w:val="20"/>
              </w:rPr>
              <w:t xml:space="preserve">4</w:t>
            </w:r>
          </w:p>
        </w:tc>
      </w:tr>
      <w:tr>
        <w:trPr>
          <w:cantSplit/>
        </w:trPr>
        <w:tc>
          <w:tcPr>
            <w:tcW w:type="dxa" w:w="2000"/>
          </w:tcPr>
          <w:p>
            <w:pPr>
              <w:pStyle w:val="TableText"/>
              <w:jc w:val="left"/>
            </w:pPr>
            <w:r>
              <w:rPr>
                <w:rFonts w:ascii="Courier New" w:hAnsi="Courier New" w:cs="Courier New" w:eastAsia="Courier New"/>
                <w:sz w:val="20"/>
              </w:rPr>
              <w:t xml:space="preserve">class_weights</w:t>
            </w:r>
          </w:p>
        </w:tc>
        <w:tc>
          <w:tcPr>
            <w:tcW w:type="dxa" w:w="1500"/>
          </w:tcPr>
          <w:p>
            <w:pPr>
              <w:pStyle w:val="TableText"/>
              <w:jc w:val="left"/>
            </w:pPr>
            <w:r>
              <w:rPr>
                <w:rFonts w:ascii="Times New Roman" w:hAnsi="Times New Roman" w:cs="Times New Roman" w:eastAsia="Times New Roman"/>
                <w:sz w:val="20"/>
              </w:rPr>
              <w:t xml:space="preserve">None</w:t>
            </w:r>
          </w:p>
        </w:tc>
        <w:tc>
          <w:tcPr>
            <w:tcW w:type="dxa" w:w="2700"/>
          </w:tcPr>
          <w:p>
            <w:pPr>
              <w:pStyle w:val="TableText"/>
              <w:jc w:val="left"/>
            </w:pPr>
          </w:p>
        </w:tc>
        <w:tc>
          <w:tcPr>
            <w:tcW w:type="dxa" w:w="2106"/>
          </w:tcPr>
          <w:p>
            <w:pPr>
              <w:pStyle w:val="TableText"/>
              <w:jc w:val="left"/>
            </w:pPr>
          </w:p>
        </w:tc>
      </w:tr>
      <w:tr>
        <w:trPr>
          <w:cantSplit/>
        </w:trPr>
        <w:tc>
          <w:tcPr>
            <w:tcW w:type="dxa" w:w="2000"/>
          </w:tcPr>
          <w:p>
            <w:pPr>
              <w:pStyle w:val="TableText"/>
              <w:jc w:val="left"/>
            </w:pPr>
            <w:r>
              <w:rPr>
                <w:rFonts w:ascii="Courier New" w:hAnsi="Courier New" w:cs="Courier New" w:eastAsia="Courier New"/>
                <w:sz w:val="20"/>
              </w:rPr>
              <w:t xml:space="preserve">label_smoothing</w:t>
            </w:r>
          </w:p>
        </w:tc>
        <w:tc>
          <w:tcPr>
            <w:tcW w:type="dxa" w:w="1500"/>
          </w:tcPr>
          <w:p>
            <w:pPr>
              <w:pStyle w:val="TableText"/>
              <w:jc w:val="left"/>
            </w:pPr>
            <w:r>
              <w:rPr>
                <w:rFonts w:ascii="Times New Roman" w:hAnsi="Times New Roman" w:cs="Times New Roman" w:eastAsia="Times New Roman"/>
                <w:sz w:val="20"/>
              </w:rPr>
              <w:t xml:space="preserve">0.0</w:t>
            </w:r>
          </w:p>
        </w:tc>
        <w:tc>
          <w:tcPr>
            <w:tcW w:type="dxa" w:w="2700"/>
          </w:tcPr>
          <w:p>
            <w:pPr>
              <w:pStyle w:val="TableText"/>
              <w:jc w:val="left"/>
            </w:pPr>
          </w:p>
        </w:tc>
        <w:tc>
          <w:tcPr>
            <w:tcW w:type="dxa" w:w="2106"/>
          </w:tcPr>
          <w:p>
            <w:pPr>
              <w:pStyle w:val="TableText"/>
              <w:jc w:val="left"/>
            </w:pPr>
          </w:p>
        </w:tc>
      </w:tr>
      <w:tr>
        <w:trPr>
          <w:cantSplit/>
        </w:trPr>
        <w:tc>
          <w:tcPr>
            <w:tcW w:type="dxa" w:w="2000"/>
          </w:tcPr>
          <w:p>
            <w:pPr>
              <w:pStyle w:val="TableText"/>
              <w:jc w:val="left"/>
            </w:pPr>
            <w:r>
              <w:rPr>
                <w:rFonts w:ascii="Courier New" w:hAnsi="Courier New" w:cs="Courier New" w:eastAsia="Courier New"/>
                <w:sz w:val="20"/>
              </w:rPr>
              <w:t xml:space="preserve">deterministic</w:t>
            </w:r>
          </w:p>
        </w:tc>
        <w:tc>
          <w:tcPr>
            <w:tcW w:type="dxa" w:w="1500"/>
          </w:tcPr>
          <w:p>
            <w:pPr>
              <w:pStyle w:val="TableText"/>
              <w:jc w:val="left"/>
            </w:pPr>
            <w:r>
              <w:rPr>
                <w:rFonts w:ascii="Times New Roman" w:hAnsi="Times New Roman" w:cs="Times New Roman" w:eastAsia="Times New Roman"/>
                <w:sz w:val="20"/>
              </w:rPr>
              <w:t xml:space="preserve">False</w:t>
            </w:r>
          </w:p>
        </w:tc>
        <w:tc>
          <w:tcPr>
            <w:tcW w:type="dxa" w:w="2700"/>
          </w:tcPr>
          <w:p>
            <w:pPr>
              <w:pStyle w:val="TableText"/>
              <w:jc w:val="left"/>
            </w:pPr>
          </w:p>
        </w:tc>
        <w:tc>
          <w:tcPr>
            <w:tcW w:type="dxa" w:w="2106"/>
          </w:tcPr>
          <w:p>
            <w:pPr>
              <w:pStyle w:val="TableText"/>
              <w:jc w:val="left"/>
            </w:pPr>
          </w:p>
        </w:tc>
      </w:tr>
      <w:tr>
        <w:trPr>
          <w:cantSplit/>
        </w:trPr>
        <w:tc>
          <w:tcPr>
            <w:tcW w:type="dxa" w:w="2000"/>
          </w:tcPr>
          <w:p>
            <w:pPr>
              <w:pStyle w:val="TableText"/>
              <w:jc w:val="left"/>
            </w:pPr>
            <w:r>
              <w:rPr>
                <w:rFonts w:ascii="Courier New" w:hAnsi="Courier New" w:cs="Courier New" w:eastAsia="Courier New"/>
                <w:sz w:val="20"/>
              </w:rPr>
              <w:t xml:space="preserve">select_metric</w:t>
            </w:r>
          </w:p>
        </w:tc>
        <w:tc>
          <w:tcPr>
            <w:tcW w:type="dxa" w:w="1500"/>
          </w:tcPr>
          <w:p>
            <w:pPr>
              <w:pStyle w:val="TableText"/>
              <w:jc w:val="left"/>
            </w:pPr>
            <w:r>
              <w:rPr>
                <w:rFonts w:ascii="Times New Roman" w:hAnsi="Times New Roman" w:cs="Times New Roman" w:eastAsia="Times New Roman"/>
                <w:sz w:val="20"/>
              </w:rPr>
              <w:t xml:space="preserve">"val_loss"</w:t>
            </w:r>
          </w:p>
        </w:tc>
        <w:tc>
          <w:tcPr>
            <w:tcW w:type="dxa" w:w="2700"/>
          </w:tcPr>
          <w:p>
            <w:pPr>
              <w:pStyle w:val="TableText"/>
              <w:jc w:val="left"/>
            </w:pPr>
          </w:p>
        </w:tc>
        <w:tc>
          <w:tcPr>
            <w:tcW w:type="dxa" w:w="2106"/>
          </w:tcPr>
          <w:p>
            <w:pPr>
              <w:pStyle w:val="TableText"/>
              <w:jc w:val="left"/>
            </w:pPr>
          </w:p>
        </w:tc>
      </w:tr>
      <w:tr>
        <w:trPr>
          <w:cantSplit/>
        </w:trPr>
        <w:tc>
          <w:tcPr>
            <w:tcW w:type="dxa" w:w="2000"/>
          </w:tcPr>
          <w:p>
            <w:pPr>
              <w:pStyle w:val="TableText"/>
              <w:jc w:val="left"/>
            </w:pPr>
            <w:r>
              <w:rPr>
                <w:rFonts w:ascii="Courier New" w:hAnsi="Courier New" w:cs="Courier New" w:eastAsia="Courier New"/>
                <w:sz w:val="20"/>
              </w:rPr>
              <w:t xml:space="preserve">augment</w:t>
            </w:r>
          </w:p>
        </w:tc>
        <w:tc>
          <w:tcPr>
            <w:tcW w:type="dxa" w:w="1500"/>
          </w:tcPr>
          <w:p>
            <w:pPr>
              <w:pStyle w:val="TableText"/>
              <w:jc w:val="left"/>
            </w:pPr>
            <w:r>
              <w:rPr>
                <w:rFonts w:ascii="Times New Roman" w:hAnsi="Times New Roman" w:cs="Times New Roman" w:eastAsia="Times New Roman"/>
                <w:sz w:val="20"/>
              </w:rPr>
              <w:t xml:space="preserve">True</w:t>
            </w:r>
          </w:p>
        </w:tc>
        <w:tc>
          <w:tcPr>
            <w:tcW w:type="dxa" w:w="2700"/>
          </w:tcPr>
          <w:p>
            <w:pPr>
              <w:pStyle w:val="TableText"/>
              <w:jc w:val="left"/>
            </w:pPr>
          </w:p>
        </w:tc>
        <w:tc>
          <w:tcPr>
            <w:tcW w:type="dxa" w:w="2106"/>
          </w:tcPr>
          <w:p>
            <w:pPr>
              <w:pStyle w:val="TableText"/>
              <w:jc w:val="left"/>
            </w:pPr>
          </w:p>
        </w:tc>
      </w:tr>
    </w:tbl>
    <w:p>
      <w:pPr>
        <w:spacing w:after="80" w:line="240" w:lineRule="auto"/>
      </w:pPr>
    </w:p>
    <w:p>
      <w:pPr>
        <w:pStyle w:val="BodyJ"/>
        <w:ind w:firstLine="0"/>
      </w:pPr>
      <w:r>
        <w:rPr>
          <w:rFonts w:ascii="Times New Roman" w:hAnsi="Times New Roman" w:cs="Times New Roman" w:eastAsia="Times New Roman"/>
          <w:b/>
        </w:rPr>
        <w:t xml:space="preserve">Splitting.</w:t>
      </w:r>
      <w:r>
        <w:rPr>
          <w:rFonts w:ascii="Times New Roman" w:hAnsi="Times New Roman" w:cs="Times New Roman" w:eastAsia="Times New Roman"/>
        </w:rPr>
        <w:t xml:space="preserve"> </w:t>
      </w:r>
      <w:r>
        <w:rPr>
          <w:rFonts w:ascii="Courier New" w:hAnsi="Courier New" w:cs="Courier New" w:eastAsia="Courier New"/>
        </w:rPr>
        <w:t xml:space="preserve">train_val_split</w:t>
      </w:r>
      <w:r>
        <w:rPr>
          <w:rFonts w:ascii="Times New Roman" w:hAnsi="Times New Roman" w:cs="Times New Roman" w:eastAsia="Times New Roman"/>
        </w:rPr>
        <w:t xml:space="preserve"> draws a deterministic random permutation with a seeded generator, assigns the first max(1, int(</w:t>
      </w:r>
      <w:r>
        <w:rPr>
          <w:rFonts w:ascii="Times New Roman" w:hAnsi="Times New Roman" w:cs="Times New Roman" w:eastAsia="Times New Roman"/>
          <w:i/>
        </w:rPr>
        <w:t xml:space="preserve">n</w:t>
      </w:r>
      <w:r>
        <w:rPr>
          <w:rFonts w:ascii="Times New Roman" w:hAnsi="Times New Roman" w:cs="Times New Roman" w:eastAsia="Times New Roman"/>
        </w:rPr>
        <w:t xml:space="preserve"> · val_split)) indices to validation and the rest to training, and falls back to using all samples for training when a very small dataset would otherwise leave none. Label-stratified and subject-grouped splits (</w:t>
      </w:r>
      <w:r>
        <w:rPr>
          <w:rFonts w:ascii="Courier New" w:hAnsi="Courier New" w:cs="Courier New" w:eastAsia="Courier New"/>
        </w:rPr>
        <w:t xml:space="preserve">src/data/splits.py</w:t>
      </w:r>
      <w:r>
        <w:rPr>
          <w:rFonts w:ascii="Times New Roman" w:hAnsi="Times New Roman" w:cs="Times New Roman" w:eastAsia="Times New Roman"/>
        </w:rPr>
        <w:t xml:space="preserve">) are also available: they preserve the class proportions and keep all scans of one subject on one side. </w:t>
      </w:r>
      <w:r>
        <w:rPr>
          <w:rFonts w:ascii="Times New Roman" w:hAnsi="Times New Roman" w:cs="Times New Roman" w:eastAsia="Times New Roman"/>
          <w:b/>
        </w:rPr>
        <w:t xml:space="preserve">Checkpoints.</w:t>
      </w:r>
      <w:r>
        <w:rPr>
          <w:rFonts w:ascii="Times New Roman" w:hAnsi="Times New Roman" w:cs="Times New Roman" w:eastAsia="Times New Roman"/>
        </w:rPr>
        <w:t xml:space="preserve"> </w:t>
      </w:r>
      <w:r>
        <w:rPr>
          <w:rFonts w:ascii="Courier New" w:hAnsi="Courier New" w:cs="Courier New" w:eastAsia="Courier New"/>
        </w:rPr>
        <w:t xml:space="preserve">save_checkpoint</w:t>
      </w:r>
      <w:r>
        <w:rPr>
          <w:rFonts w:ascii="Times New Roman" w:hAnsi="Times New Roman" w:cs="Times New Roman" w:eastAsia="Times New Roman"/>
        </w:rPr>
        <w:t xml:space="preserve"> stores the model's state dictionary together with its </w:t>
      </w:r>
      <w:r>
        <w:rPr>
          <w:rFonts w:ascii="Courier New" w:hAnsi="Courier New" w:cs="Courier New" w:eastAsia="Courier New"/>
        </w:rPr>
        <w:t xml:space="preserve">ModelConfig</w:t>
      </w:r>
      <w:r>
        <w:rPr>
          <w:rFonts w:ascii="Times New Roman" w:hAnsi="Times New Roman" w:cs="Times New Roman" w:eastAsia="Times New Roman"/>
        </w:rPr>
        <w:t xml:space="preserve">; </w:t>
      </w:r>
      <w:r>
        <w:rPr>
          <w:rFonts w:ascii="Courier New" w:hAnsi="Courier New" w:cs="Courier New" w:eastAsia="Courier New"/>
        </w:rPr>
        <w:t xml:space="preserve">load_checkpoint</w:t>
      </w:r>
      <w:r>
        <w:rPr>
          <w:rFonts w:ascii="Times New Roman" w:hAnsi="Times New Roman" w:cs="Times New Roman" w:eastAsia="Times New Roman"/>
        </w:rPr>
        <w:t xml:space="preserve"> rebuilds the model from the stored configuration, upgrading older checkpoints to the current field set, and loads the weights. Each run writes the best and last checkpoints, the training history, the final metrics and the training curves to its own directory, and training can resume from the last checkpoint. </w:t>
      </w:r>
      <w:r>
        <w:rPr>
          <w:rFonts w:ascii="Times New Roman" w:hAnsi="Times New Roman" w:cs="Times New Roman" w:eastAsia="Times New Roman"/>
          <w:b/>
        </w:rPr>
        <w:t xml:space="preserve">Command line.</w:t>
      </w:r>
      <w:r>
        <w:rPr>
          <w:rFonts w:ascii="Times New Roman" w:hAnsi="Times New Roman" w:cs="Times New Roman" w:eastAsia="Times New Roman"/>
        </w:rPr>
        <w:t xml:space="preserve"> </w:t>
      </w:r>
      <w:r>
        <w:rPr>
          <w:rFonts w:ascii="Courier New" w:hAnsi="Courier New" w:cs="Courier New" w:eastAsia="Courier New"/>
        </w:rPr>
        <w:t xml:space="preserve">python -m src.train</w:t>
      </w:r>
      <w:r>
        <w:rPr>
          <w:rFonts w:ascii="Times New Roman" w:hAnsi="Times New Roman" w:cs="Times New Roman" w:eastAsia="Times New Roman"/>
        </w:rPr>
        <w:t xml:space="preserve"> accepts </w:t>
      </w:r>
      <w:r>
        <w:rPr>
          <w:rFonts w:ascii="Courier New" w:hAnsi="Courier New" w:cs="Courier New" w:eastAsia="Courier New"/>
        </w:rPr>
        <w:t xml:space="preserve">--manifest</w:t>
      </w:r>
      <w:r>
        <w:rPr>
          <w:rFonts w:ascii="Times New Roman" w:hAnsi="Times New Roman" w:cs="Times New Roman" w:eastAsia="Times New Roman"/>
        </w:rPr>
        <w:t xml:space="preserve"> for real data (or </w:t>
      </w:r>
      <w:r>
        <w:rPr>
          <w:rFonts w:ascii="Courier New" w:hAnsi="Courier New" w:cs="Courier New" w:eastAsia="Courier New"/>
        </w:rPr>
        <w:t xml:space="preserve">--synthetic-samples</w:t>
      </w:r>
      <w:r>
        <w:rPr>
          <w:rFonts w:ascii="Times New Roman" w:hAnsi="Times New Roman" w:cs="Times New Roman" w:eastAsia="Times New Roman"/>
        </w:rPr>
        <w:t xml:space="preserve"> for synthetic data) and options for the optimiser, scheduler, warm-up, fusion mode, positional encoding, patience, mixed precision, class weights, subject grouping, a held-out test split, evaluation of a saved checkpoint (</w:t>
      </w:r>
      <w:r>
        <w:rPr>
          <w:rFonts w:ascii="Courier New" w:hAnsi="Courier New" w:cs="Courier New" w:eastAsia="Courier New"/>
        </w:rPr>
        <w:t xml:space="preserve">--eval-only</w:t>
      </w:r>
      <w:r>
        <w:rPr>
          <w:rFonts w:ascii="Times New Roman" w:hAnsi="Times New Roman" w:cs="Times New Roman" w:eastAsia="Times New Roman"/>
        </w:rPr>
        <w:t xml:space="preserve">) and deterministic algorithms.</w:t>
      </w:r>
    </w:p>
    <w:p>
      <w:pPr>
        <w:pStyle w:val="BodyJ"/>
      </w:pPr>
      <w:r>
        <w:rPr>
          <w:rFonts w:ascii="Times New Roman" w:hAnsi="Times New Roman" w:cs="Times New Roman" w:eastAsia="Times New Roman"/>
          <w:b/>
        </w:rPr>
        <w:t xml:space="preserve">Recipes of the studies.</w:t>
      </w:r>
      <w:r>
        <w:rPr>
          <w:rFonts w:ascii="Times New Roman" w:hAnsi="Times New Roman" w:cs="Times New Roman" w:eastAsia="Times New Roman"/>
        </w:rPr>
        <w:t xml:space="preserve"> Study A (Section 3.9.1) uses AdamW with learning rate 10⁻³ and weight decay 10⁻⁴, batch size 16, at most 40 epochs with early stopping (patience 12), mixed precision, deterministic algorithms, augmentation and checkpoint selection on validation balanced accuracy, with fixed seeds. The pooled and leave-one-cohort-out runs of Study B use AdamW with learning rate 5 × 10⁻⁴ and weight decay 10⁻², batch size 8 (halved automatically after a GPU out-of-memory error), at most 120 epochs with early stopping (patience 25), an inverse-frequency class-weighted loss, augmentation, mixed precision, deterministic algorithms and checkpoint selection on validation balanced accuracy. The neural variants of the cross-validation study use the regularised configuration of Section 3.9.2 (</w:t>
      </w:r>
      <w:r>
        <w:rPr>
          <w:rFonts w:ascii="Times New Roman" w:hAnsi="Times New Roman" w:cs="Times New Roman" w:eastAsia="Times New Roman"/>
          <w:i/>
        </w:rPr>
        <w:t xml:space="preserve">d</w:t>
      </w:r>
      <w:r>
        <w:rPr>
          <w:rFonts w:ascii="Times New Roman" w:hAnsi="Times New Roman" w:cs="Times New Roman" w:eastAsia="Times New Roman"/>
          <w:vertAlign w:val="subscript"/>
        </w:rPr>
        <w:t xml:space="preserve">model</w:t>
      </w:r>
      <w:r>
        <w:rPr>
          <w:rFonts w:ascii="Times New Roman" w:hAnsi="Times New Roman" w:cs="Times New Roman" w:eastAsia="Times New Roman"/>
        </w:rPr>
        <w:t xml:space="preserve"> = 64, feed-forward width 128, dropout 0.3), the same optimiser settings, at most 60 epochs and patience 15. Checkpoint selection on validation balanced accuracy replaced the default selection on validation loss after short runs were seen to restore an untrained first-epoch model whose loss happened to be lowest (Section 6.4.4).</w:t>
      </w:r>
    </w:p>
    <w:p>
      <w:pPr>
        <w:pStyle w:val="BodyJ"/>
      </w:pPr>
      <w:r>
        <w:rPr>
          <w:rFonts w:ascii="Times New Roman" w:hAnsi="Times New Roman" w:cs="Times New Roman" w:eastAsia="Times New Roman"/>
          <w:b/>
        </w:rPr>
        <w:t xml:space="preserve">Reproducibility.</w:t>
      </w:r>
      <w:r>
        <w:rPr>
          <w:rFonts w:ascii="Times New Roman" w:hAnsi="Times New Roman" w:cs="Times New Roman" w:eastAsia="Times New Roman"/>
        </w:rPr>
        <w:t xml:space="preserve"> All randomness derives from one constant seed (</w:t>
      </w:r>
      <w:r>
        <w:rPr>
          <w:rFonts w:ascii="Courier New" w:hAnsi="Courier New" w:cs="Courier New" w:eastAsia="Courier New"/>
        </w:rPr>
        <w:t xml:space="preserve">SEED = 42</w:t>
      </w:r>
      <w:r>
        <w:rPr>
          <w:rFonts w:ascii="Times New Roman" w:hAnsi="Times New Roman" w:cs="Times New Roman" w:eastAsia="Times New Roman"/>
        </w:rPr>
        <w:t xml:space="preserve"> in the real-cohort scripts; repeat </w:t>
      </w:r>
      <w:r>
        <w:rPr>
          <w:rFonts w:ascii="Times New Roman" w:hAnsi="Times New Roman" w:cs="Times New Roman" w:eastAsia="Times New Roman"/>
          <w:i/>
        </w:rPr>
        <w:t xml:space="preserve">k</w:t>
      </w:r>
      <w:r>
        <w:rPr>
          <w:rFonts w:ascii="Times New Roman" w:hAnsi="Times New Roman" w:cs="Times New Roman" w:eastAsia="Times New Roman"/>
        </w:rPr>
        <w:t xml:space="preserve"> uses 42 + </w:t>
      </w:r>
      <w:r>
        <w:rPr>
          <w:rFonts w:ascii="Times New Roman" w:hAnsi="Times New Roman" w:cs="Times New Roman" w:eastAsia="Times New Roman"/>
          <w:i/>
        </w:rPr>
        <w:t xml:space="preserve">k</w:t>
      </w:r>
      <w:r>
        <w:rPr>
          <w:rFonts w:ascii="Times New Roman" w:hAnsi="Times New Roman" w:cs="Times New Roman" w:eastAsia="Times New Roman"/>
        </w:rPr>
        <w:t xml:space="preserve">); deterministic algorithms are requested and the cuBLAS workspace and </w:t>
      </w:r>
      <w:r>
        <w:rPr>
          <w:rFonts w:ascii="Courier New" w:hAnsi="Courier New" w:cs="Courier New" w:eastAsia="Courier New"/>
        </w:rPr>
        <w:t xml:space="preserve">PYTHONHASHSEED</w:t>
      </w:r>
      <w:r>
        <w:rPr>
          <w:rFonts w:ascii="Times New Roman" w:hAnsi="Times New Roman" w:cs="Times New Roman" w:eastAsia="Times New Roman"/>
        </w:rPr>
        <w:t xml:space="preserve"> are fixed; data-loader workers are seeded; and the adaptive pooling is the deterministic matrix-product version of </w:t>
      </w:r>
      <w:r>
        <w:rPr>
          <w:rFonts w:ascii="Courier New" w:hAnsi="Courier New" w:cs="Courier New" w:eastAsia="Courier New"/>
        </w:rPr>
        <w:t xml:space="preserve">src/models/pooling.py</w:t>
      </w:r>
      <w:r>
        <w:rPr>
          <w:rFonts w:ascii="Times New Roman" w:hAnsi="Times New Roman" w:cs="Times New Roman" w:eastAsia="Times New Roman"/>
        </w:rPr>
        <w:t xml:space="preserve">, which equals PyTorch's operation, is deterministic on CUDA and runs on Apple MPS. </w:t>
      </w:r>
      <w:r>
        <w:rPr>
          <w:rFonts w:ascii="Courier New" w:hAnsi="Courier New" w:cs="Courier New" w:eastAsia="Courier New"/>
        </w:rPr>
        <w:t xml:space="preserve">run_all.sh</w:t>
      </w:r>
      <w:r>
        <w:rPr>
          <w:rFonts w:ascii="Times New Roman" w:hAnsi="Times New Roman" w:cs="Times New Roman" w:eastAsia="Times New Roman"/>
        </w:rPr>
        <w:t xml:space="preserve"> records the date, git commit, seed and the full package list of every run, and downloads are resumable and size-verified. Neural models were trained on an NVIDIA RTX 3050 Laptop GPU (4 GB, thermally throttled during long runs); to finish in time, some synthetic-benchmark runs were distributed over an Apple M3 Max. Every run is reproducible on its own device at a fixed seed, but results are not bit-identical across devices; all configurations of a given seed ran on the same device, so the paired comparisons between configurations are not affected. The model needs under 1 GB of memory at batch size 8.</w:t>
      </w:r>
    </w:p>
    <w:p>
      <w:pPr>
        <w:pStyle w:val="Heading2"/>
      </w:pPr>
      <w:r>
        <w:rPr>
          <w:rFonts w:ascii="Times New Roman" w:hAnsi="Times New Roman" w:cs="Times New Roman" w:eastAsia="Times New Roman"/>
          <w:b/>
          <w:sz w:val="28"/>
        </w:rPr>
        <w:t>4.7  EXPLAINABILITY</w:t>
      </w:r>
    </w:p>
    <w:p>
      <w:pPr>
        <w:pStyle w:val="Heading3"/>
      </w:pPr>
      <w:r>
        <w:rPr>
          <w:rFonts w:ascii="Times New Roman" w:hAnsi="Times New Roman" w:cs="Times New Roman" w:eastAsia="Times New Roman"/>
          <w:b/>
          <w:sz w:val="24"/>
        </w:rPr>
        <w:t>4.7.1  3D GRAD-CAM ON THE FUSED LOGIT</w:t>
      </w:r>
    </w:p>
    <w:p>
      <w:pPr>
        <w:pStyle w:val="BodyJ"/>
      </w:pPr>
      <w:r>
        <w:rPr>
          <w:rFonts w:ascii="Courier New" w:hAnsi="Courier New" w:cs="Courier New" w:eastAsia="Courier New"/>
          <w:i w:val="0"/>
          <w:sz w:val="22"/>
        </w:rPr>
        <w:t>GradCAM3D</w:t>
      </w:r>
      <w:r>
        <w:rPr>
          <w:rFonts w:ascii="Times New Roman" w:hAnsi="Times New Roman" w:cs="Times New Roman" w:eastAsia="Times New Roman"/>
        </w:rPr>
        <w:t xml:space="preserve"> (</w:t>
      </w:r>
      <w:r>
        <w:rPr>
          <w:rFonts w:ascii="Courier New" w:hAnsi="Courier New" w:cs="Courier New" w:eastAsia="Courier New"/>
          <w:i w:val="0"/>
          <w:sz w:val="22"/>
        </w:rPr>
        <w:t>src/explainability/grad_cam_3d.py</w:t>
      </w:r>
      <w:r>
        <w:rPr>
          <w:rFonts w:ascii="Times New Roman" w:hAnsi="Times New Roman" w:cs="Times New Roman" w:eastAsia="Times New Roman"/>
        </w:rPr>
        <w:t xml:space="preserve">) registers a forward hook and a backward hook on the spatial encoder's last residual block. It back-propagates from the selected </w:t>
      </w:r>
      <w:r>
        <w:rPr>
          <w:rFonts w:ascii="Times New Roman" w:hAnsi="Times New Roman" w:cs="Times New Roman" w:eastAsia="Times New Roman"/>
          <w:i/>
        </w:rPr>
        <w:t>fused</w:t>
      </w:r>
      <w:r>
        <w:rPr>
          <w:rFonts w:ascii="Times New Roman" w:hAnsi="Times New Roman" w:cs="Times New Roman" w:eastAsia="Times New Roman"/>
        </w:rPr>
        <w:t xml:space="preserve"> logit, by default that of the predicted class, so that the gradients flow through the cross-attention module into the spatial encoder and the map reflects the multimodal decision. With activations </w:t>
      </w:r>
      <w:r>
        <w:rPr>
          <w:rFonts w:ascii="Times New Roman" w:hAnsi="Times New Roman" w:cs="Times New Roman" w:eastAsia="Times New Roman"/>
          <w:i/>
        </w:rPr>
        <w:t>A</w:t>
      </w:r>
      <w:r>
        <w:rPr>
          <w:rFonts w:ascii="Times New Roman" w:hAnsi="Times New Roman" w:cs="Times New Roman" w:eastAsia="Times New Roman"/>
          <w:vertAlign w:val="superscript"/>
        </w:rPr>
        <w:t>k</w:t>
      </w:r>
      <w:r>
        <w:rPr>
          <w:rFonts w:ascii="Times New Roman" w:hAnsi="Times New Roman" w:cs="Times New Roman" w:eastAsia="Times New Roman"/>
        </w:rPr>
        <w:t xml:space="preserve"> of channel </w:t>
      </w:r>
      <w:r>
        <w:rPr>
          <w:rFonts w:ascii="Times New Roman" w:hAnsi="Times New Roman" w:cs="Times New Roman" w:eastAsia="Times New Roman"/>
          <w:i/>
        </w:rPr>
        <w:t>k</w:t>
      </w:r>
      <w:r>
        <w:rPr>
          <w:rFonts w:ascii="Times New Roman" w:hAnsi="Times New Roman" w:cs="Times New Roman" w:eastAsia="Times New Roman"/>
        </w:rPr>
        <w:t xml:space="preserve"> and class score </w:t>
      </w:r>
      <w:r>
        <w:rPr>
          <w:rFonts w:ascii="Times New Roman" w:hAnsi="Times New Roman" w:cs="Times New Roman" w:eastAsia="Times New Roman"/>
          <w:i/>
        </w:rPr>
        <w:t>y</w:t>
      </w:r>
      <w:r>
        <w:rPr>
          <w:rFonts w:ascii="Times New Roman" w:hAnsi="Times New Roman" w:cs="Times New Roman" w:eastAsia="Times New Roman"/>
          <w:vertAlign w:val="superscript"/>
        </w:rPr>
        <w:t>c</w:t>
      </w:r>
      <w:r>
        <w:rPr>
          <w:rFonts w:ascii="Times New Roman" w:hAnsi="Times New Roman" w:cs="Times New Roman" w:eastAsia="Times New Roman"/>
        </w:rPr>
        <w:t>, the channel weights are the spatially averaged gradients and the map is a rectified weighted sum (Selvaraju et al., 2017):</w:t>
      </w:r>
    </w:p>
    <w:tbl>
      <w:tblPr>
        <w:tblW w:w="830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00"/>
        <w:gridCol w:w="6506"/>
        <w:gridCol w:w="900"/>
      </w:tblGrid>
      <w:tr>
        <w:trPr>
          <w:cantSplit/>
        </w:trPr>
        <w:tc>
          <w:tcPr>
            <w:tcW w:w="900" w:type="dxa"/>
            <w:vAlign w:val="center"/>
          </w:tcPr>
          <w:p>
            <w:pPr>
              <w:spacing w:before="80" w:after="160" w:line="240" w:lineRule="auto"/>
              <w:jc w:val="left"/>
            </w:pPr>
          </w:p>
        </w:tc>
        <w:tc>
          <w:tcPr>
            <w:tcW w:w="6506" w:type="dxa"/>
            <w:vAlign w:val="center"/>
          </w:tcPr>
          <w:p>
            <w:pPr>
              <w:spacing w:before="80" w:after="160" w:line="240" w:lineRule="auto"/>
              <w:jc w:val="center"/>
            </w:pPr>
            <m:oMathPara>
              <m:oMathParaPr>
                <m:jc m:val="center"/>
              </m:oMathParaPr>
              <m:oMath>
                <m:sSub>
                  <m:e>
                    <m:r>
                      <m:t>α</m:t>
                    </m:r>
                  </m:e>
                  <m:sub>
                    <m:r>
                      <m:t>k</m:t>
                    </m:r>
                  </m:sub>
                </m:sSub>
                <m:r>
                  <m:t>=</m:t>
                </m:r>
                <m:f>
                  <m:fPr>
                    <m:type m:val="bar"/>
                  </m:fPr>
                  <m:num>
                    <m:r>
                      <m:t>1</m:t>
                    </m:r>
                  </m:num>
                  <m:den>
                    <m:r>
                      <m:t>Z</m:t>
                    </m:r>
                  </m:den>
                </m:f>
                <m:nary>
                  <m:naryPr>
                    <m:chr m:val="∑"/>
                    <m:limLoc m:val="undOvr"/>
                    <m:subHide m:val="0"/>
                    <m:supHide m:val="1"/>
                  </m:naryPr>
                  <m:sub>
                    <m:r>
                      <m:t>i</m:t>
                    </m:r>
                    <m:r>
                      <m:t>,</m:t>
                    </m:r>
                    <m:r>
                      <m:t>j</m:t>
                    </m:r>
                    <m:r>
                      <m:t>,</m:t>
                    </m:r>
                    <m:r>
                      <m:t>l</m:t>
                    </m:r>
                  </m:sub>
                  <m:sup>
                    <m:r>
                      <m:t>​</m:t>
                    </m:r>
                  </m:sup>
                  <m:e>
                    <m:f>
                      <m:fPr>
                        <m:type m:val="bar"/>
                      </m:fPr>
                      <m:num>
                        <m:r>
                          <m:t>∂</m:t>
                        </m:r>
                        <m:sSup>
                          <m:e>
                            <m:r>
                              <m:t>y</m:t>
                            </m:r>
                          </m:e>
                          <m:sup>
                            <m:r>
                              <m:t>c</m:t>
                            </m:r>
                          </m:sup>
                        </m:sSup>
                      </m:num>
                      <m:den>
                        <m:r>
                          <m:t>∂</m:t>
                        </m:r>
                        <m:sSubSup>
                          <m:e>
                            <m:r>
                              <m:t>A</m:t>
                            </m:r>
                          </m:e>
                          <m:sub>
                            <m:r>
                              <m:t>i</m:t>
                            </m:r>
                            <m:r>
                              <m:t>j</m:t>
                            </m:r>
                            <m:r>
                              <m:t>l</m:t>
                            </m:r>
                          </m:sub>
                          <m:sup>
                            <m:r>
                              <m:t>k</m:t>
                            </m:r>
                          </m:sup>
                        </m:sSubSup>
                      </m:den>
                    </m:f>
                  </m:e>
                </m:nary>
                <m:r>
                  <m:t>,</m:t>
                </m:r>
                <m:r>
                  <m:t>  </m:t>
                </m:r>
                <m:r>
                  <m:t>M</m:t>
                </m:r>
                <m:r>
                  <m:t>=</m:t>
                </m:r>
                <m:r>
                  <m:rPr>
                    <m:sty m:val="p"/>
                  </m:rPr>
                  <m:t>ReLU</m:t>
                </m:r>
                <m:d>
                  <m:dPr>
                    <m:begChr m:val="("/>
                    <m:endChr m:val=")"/>
                    <m:grow/>
                  </m:dPr>
                  <m:e>
                    <m:nary>
                      <m:naryPr>
                        <m:chr m:val="∑"/>
                        <m:limLoc m:val="undOvr"/>
                        <m:subHide m:val="0"/>
                        <m:supHide m:val="1"/>
                      </m:naryPr>
                      <m:sub>
                        <m:r>
                          <m:t>k</m:t>
                        </m:r>
                      </m:sub>
                      <m:sup>
                        <m:r>
                          <m:t>​</m:t>
                        </m:r>
                      </m:sup>
                      <m:e>
                        <m:sSub>
                          <m:e>
                            <m:r>
                              <m:t>α</m:t>
                            </m:r>
                          </m:e>
                          <m:sub>
                            <m:r>
                              <m:t>k</m:t>
                            </m:r>
                          </m:sub>
                        </m:sSub>
                      </m:e>
                    </m:nary>
                    <m:sSup>
                      <m:e>
                        <m:r>
                          <m:t>A</m:t>
                        </m:r>
                      </m:e>
                      <m:sup>
                        <m:r>
                          <m:t>k</m:t>
                        </m:r>
                      </m:sup>
                    </m:sSup>
                  </m:e>
                </m:d>
              </m:oMath>
            </m:oMathPara>
          </w:p>
        </w:tc>
        <w:tc>
          <w:tcPr>
            <w:tcW w:w="900" w:type="dxa"/>
            <w:vAlign w:val="center"/>
          </w:tcPr>
          <w:p>
            <w:pPr>
              <w:spacing w:before="80" w:after="160" w:line="240" w:lineRule="auto"/>
              <w:jc w:val="right"/>
            </w:pPr>
            <w:r>
              <w:rPr>
                <w:rFonts w:ascii="Times New Roman" w:hAnsi="Times New Roman" w:cs="Times New Roman" w:eastAsia="Times New Roman"/>
                <w:sz w:val="24"/>
              </w:rPr>
              <w:t>(4.9)</w:t>
            </w:r>
          </w:p>
        </w:tc>
      </w:tr>
    </w:tbl>
    <w:p>
      <w:pPr>
        <w:pStyle w:val="BodyJ"/>
        <w:ind w:firstLine="0"/>
      </w:pPr>
      <w:r>
        <w:rPr>
          <w:rFonts w:ascii="Times New Roman" w:hAnsi="Times New Roman" w:cs="Times New Roman" w:eastAsia="Times New Roman"/>
        </w:rPr>
        <w:t xml:space="preserve">The map is upsampled by trilinear interpolation to the input shape and normalised per sample to [0, 1]. The helper </w:t>
      </w:r>
      <w:r>
        <w:rPr>
          <w:rFonts w:ascii="Courier New" w:hAnsi="Courier New" w:cs="Courier New" w:eastAsia="Courier New"/>
          <w:i w:val="0"/>
          <w:sz w:val="22"/>
        </w:rPr>
        <w:t>plot_gradcam_slices</w:t>
      </w:r>
      <w:r>
        <w:rPr>
          <w:rFonts w:ascii="Times New Roman" w:hAnsi="Times New Roman" w:cs="Times New Roman" w:eastAsia="Times New Roman"/>
        </w:rPr>
        <w:t xml:space="preserve"> overlays it on the mid axial, coronal and sagittal slices and saves a PNG. The model is returned to its original training or evaluation mode and the hooks are removed after use.</w:t>
      </w:r>
    </w:p>
    <w:p>
      <w:pPr>
        <w:pStyle w:val="BodyJ"/>
      </w:pPr>
      <w:r>
        <w:rPr>
          <w:rFonts w:ascii="Times New Roman" w:hAnsi="Times New Roman" w:cs="Times New Roman" w:eastAsia="Times New Roman"/>
        </w:rPr>
        <w:t xml:space="preserve">A Grad-CAM++ variant of the map, which weights the gradients per location, can be selected instead.</w:t>
      </w:r>
    </w:p>
    <w:p>
      <w:pPr>
        <w:pStyle w:val="Heading3"/>
      </w:pPr>
      <w:r>
        <w:rPr>
          <w:rFonts w:ascii="Times New Roman" w:hAnsi="Times New Roman" w:cs="Times New Roman" w:eastAsia="Times New Roman"/>
          <w:b/>
          <w:sz w:val="24"/>
        </w:rPr>
        <w:t>4.7.2  CROSS-ATTENTION HEATMAP</w:t>
      </w:r>
    </w:p>
    <w:p>
      <w:pPr>
        <w:pStyle w:val="BodyJ"/>
      </w:pPr>
      <w:r>
        <w:rPr>
          <w:rFonts w:ascii="Courier New" w:hAnsi="Courier New" w:cs="Courier New" w:eastAsia="Courier New"/>
        </w:rPr>
        <w:t xml:space="preserve">cross_attention_heatmap</w:t>
      </w:r>
      <w:r>
        <w:rPr>
          <w:rFonts w:ascii="Times New Roman" w:hAnsi="Times New Roman" w:cs="Times New Roman" w:eastAsia="Times New Roman"/>
        </w:rPr>
        <w:t xml:space="preserve"> averages the attention tensor (B, H, S, T) over the batch and the heads to a matrix of shape (S, T), 64 × 16 at the default configuration, and </w:t>
      </w:r>
      <w:r>
        <w:rPr>
          <w:rFonts w:ascii="Courier New" w:hAnsi="Courier New" w:cs="Courier New" w:eastAsia="Courier New"/>
        </w:rPr>
        <w:t xml:space="preserve">plot_cross_attention</w:t>
      </w:r>
      <w:r>
        <w:rPr>
          <w:rFonts w:ascii="Times New Roman" w:hAnsi="Times New Roman" w:cs="Times New Roman" w:eastAsia="Times New Roman"/>
        </w:rPr>
        <w:t xml:space="preserve"> renders it as a heatmap with spatial tokens on one axis and temporal tokens on the other. With the bidirectional module both directions are returned, the forward map (spatial tokens read temporal tokens) and the backward map (temporal tokens read spatial tokens), </w:t>
      </w:r>
      <w:r>
        <w:rPr>
          <w:rFonts w:ascii="Courier New" w:hAnsi="Courier New" w:cs="Courier New" w:eastAsia="Courier New"/>
        </w:rPr>
        <w:t xml:space="preserve">plot_attention_by_head</w:t>
      </w:r>
      <w:r>
        <w:rPr>
          <w:rFonts w:ascii="Times New Roman" w:hAnsi="Times New Roman" w:cs="Times New Roman" w:eastAsia="Times New Roman"/>
        </w:rPr>
        <w:t xml:space="preserve"> renders the maps head by head, and the weights of the attention pool give a token-salience map.</w:t>
      </w:r>
    </w:p>
    <w:p>
      <w:pPr>
        <w:keepNext/>
        <w:spacing w:before="120" w:after="40" w:line="240" w:lineRule="auto"/>
        <w:jc w:val="center"/>
      </w:pPr>
      <w:r>
        <w:drawing>
          <wp:inline xmlns:a="http://schemas.openxmlformats.org/drawingml/2006/main" xmlns:pic="http://schemas.openxmlformats.org/drawingml/2006/picture">
            <wp:extent cx="5112000" cy="2346566"/>
            <wp:docPr id="27" name="Picture 27"/>
            <wp:cNvGraphicFramePr>
              <a:graphicFrameLocks noChangeAspect="1"/>
            </wp:cNvGraphicFramePr>
            <a:graphic>
              <a:graphicData uri="http://schemas.openxmlformats.org/drawingml/2006/picture">
                <pic:pic>
                  <pic:nvPicPr>
                    <pic:cNvPr id="0" name="fig_explainability.png"/>
                    <pic:cNvPicPr/>
                  </pic:nvPicPr>
                  <pic:blipFill>
                    <a:blip r:embed="rId35"/>
                    <a:stretch>
                      <a:fillRect/>
                    </a:stretch>
                  </pic:blipFill>
                  <pic:spPr>
                    <a:xfrm>
                      <a:off x="0" y="0"/>
                      <a:ext cx="5112000" cy="2346566"/>
                    </a:xfrm>
                    <a:prstGeom prst="rect"/>
                  </pic:spPr>
                </pic:pic>
              </a:graphicData>
            </a:graphic>
          </wp:inline>
        </w:drawing>
      </w:r>
    </w:p>
    <w:p>
      <w:pPr>
        <w:pStyle w:val="Caption"/>
      </w:pPr>
      <w:bookmarkStart w:id="1030" w:name="_Ref_Figure_4_6"/>
      <w:r>
        <w:rPr>
          <w:rFonts w:ascii="Times New Roman" w:hAnsi="Times New Roman" w:cs="Times New Roman" w:eastAsia="Times New Roman"/>
          <w:b/>
          <w:sz w:val="22"/>
        </w:rPr>
        <w:t xml:space="preserve">Figure 4.6: </w:t>
      </w:r>
      <w:r>
        <w:rPr>
          <w:rFonts w:ascii="Times New Roman" w:hAnsi="Times New Roman" w:cs="Times New Roman" w:eastAsia="Times New Roman"/>
          <w:sz w:val="22"/>
        </w:rPr>
        <w:t>Generation of the two explanation artefacts: the Grad-CAM map (A) and the cross-attention heatmap (B).</w:t>
      </w:r>
      <w:bookmarkEnd w:id="1030"/>
    </w:p>
    <w:p>
      <w:pPr>
        <w:pStyle w:val="BodyJ"/>
        <w:ind w:firstLine="0"/>
      </w:pPr>
      <w:r>
        <w:rPr>
          <w:rFonts w:ascii="Times New Roman" w:hAnsi="Times New Roman" w:cs="Times New Roman" w:eastAsia="Times New Roman"/>
          <w:b/>
        </w:rPr>
        <w:t>Interpretation caveat.</w:t>
      </w:r>
      <w:r>
        <w:rPr>
          <w:rFonts w:ascii="Times New Roman" w:hAnsi="Times New Roman" w:cs="Times New Roman" w:eastAsia="Times New Roman"/>
        </w:rPr>
        <w:t xml:space="preserve"> Both artefacts are inspection aids. The Grad-CAM map shows which feature locations influenced the selected logit; it does not by itself identify V1, V2, V3, the optic nerve or any other anatomical structure. The heatmap axes are learned token indices, not registered brain regions or calibrated milliseconds. Chapter 6 discusses why attention and saliency maps must be validated before being offered as clinical evidence.</w:t>
      </w:r>
    </w:p>
    <w:p>
      <w:pPr>
        <w:pStyle w:val="Heading3"/>
      </w:pPr>
      <w:r>
        <w:rPr>
          <w:rFonts w:ascii="Times New Roman" w:hAnsi="Times New Roman" w:cs="Times New Roman" w:eastAsia="Times New Roman"/>
          <w:b/>
          <w:sz w:val="24"/>
        </w:rPr>
        <w:t xml:space="preserve">4.7.3  P100 LATENCY ESTIMATOR</w:t>
      </w:r>
    </w:p>
    <w:p>
      <w:pPr>
        <w:pStyle w:val="BodyJ"/>
      </w:pPr>
      <w:r>
        <w:rPr>
          <w:rFonts w:ascii="Courier New" w:hAnsi="Courier New" w:cs="Courier New" w:eastAsia="Courier New"/>
        </w:rPr>
        <w:t xml:space="preserve">src/explainability/p100.py</w:t>
      </w:r>
      <w:r>
        <w:rPr>
          <w:rFonts w:ascii="Times New Roman" w:hAnsi="Times New Roman" w:cs="Times New Roman" w:eastAsia="Times New Roman"/>
        </w:rPr>
        <w:t xml:space="preserve"> estimates the P100 latency of a conditioned sweep as the time of the maximum-amplitude sample inside an ISCEV-aligned search window (70 to 180 ms), after a defensive z-score, and also reports the amplitude, the peak index and a rough half-maximum width for quality control. It turns the VEP stream into a number that a clinician can check against the waveform, and it relies on the zero-phase conditioning for the timing to be trustworthy. It is an inspection aid, not clinical evidence.</w:t>
      </w:r>
    </w:p>
    <w:p>
      <w:pPr>
        <w:pStyle w:val="Heading2"/>
      </w:pPr>
      <w:r>
        <w:rPr>
          <w:rFonts w:ascii="Times New Roman" w:hAnsi="Times New Roman" w:cs="Times New Roman" w:eastAsia="Times New Roman"/>
          <w:b/>
          <w:sz w:val="28"/>
        </w:rPr>
        <w:t>4.8  SOFTWARE STRUCTURE AND CONFIGURATION</w:t>
      </w:r>
    </w:p>
    <w:p>
      <w:pPr>
        <w:pStyle w:val="BodyJ"/>
      </w:pPr>
      <w:r>
        <w:rPr>
          <w:rFonts w:ascii="Times New Roman" w:hAnsi="Times New Roman" w:cs="Times New Roman" w:eastAsia="Times New Roman"/>
        </w:rPr>
        <w:t>The code base is organised by responsibility (Figure 4.7 and Table 4.6). The configuration module is the only place in which shapes and hyper-parameters are defined; the remaining modules import it. Figure 4.7 shows all 26 modules of the current code base: the twelve modules of the original code base have solid outlines and the fourteen modules added since have dashed outlines. Table 4.6 lists them with their line counts; the additions include the deterministic pooling, attention pool, positional embeddings and loss module, the cohort loaders (</w:t>
      </w:r>
      <w:r>
        <w:rPr>
          <w:rFonts w:ascii="Courier New" w:hAnsi="Courier New" w:cs="Courier New" w:eastAsia="Courier New"/>
        </w:rPr>
        <w:t xml:space="preserve">src/data/cohorts.py</w:t>
      </w:r>
      <w:r>
        <w:rPr>
          <w:rFonts w:ascii="Times New Roman" w:hAnsi="Times New Roman" w:cs="Times New Roman" w:eastAsia="Times New Roman"/>
        </w:rPr>
        <w:t xml:space="preserve">), the two real-cohort experiment runners (</w:t>
      </w:r>
      <w:r>
        <w:rPr>
          <w:rFonts w:ascii="Courier New" w:hAnsi="Courier New" w:cs="Courier New" w:eastAsia="Courier New"/>
        </w:rPr>
        <w:t xml:space="preserve">src/cohort_experiments.py</w:t>
      </w:r>
      <w:r>
        <w:rPr>
          <w:rFonts w:ascii="Times New Roman" w:hAnsi="Times New Roman" w:cs="Times New Roman" w:eastAsia="Times New Roman"/>
        </w:rPr>
        <w:t xml:space="preserve"> and </w:t>
      </w:r>
      <w:r>
        <w:rPr>
          <w:rFonts w:ascii="Courier New" w:hAnsi="Courier New" w:cs="Courier New" w:eastAsia="Courier New"/>
        </w:rPr>
        <w:t xml:space="preserve">src/cv_real.py</w:t>
      </w:r>
      <w:r>
        <w:rPr>
          <w:rFonts w:ascii="Times New Roman" w:hAnsi="Times New Roman" w:cs="Times New Roman" w:eastAsia="Times New Roman"/>
        </w:rPr>
        <w:t xml:space="preserve">), the synthetic benchmark (</w:t>
      </w:r>
      <w:r>
        <w:rPr>
          <w:rFonts w:ascii="Courier New" w:hAnsi="Courier New" w:cs="Courier New" w:eastAsia="Courier New"/>
        </w:rPr>
        <w:t xml:space="preserve">src/ablation_synthetic.py</w:t>
      </w:r>
      <w:r>
        <w:rPr>
          <w:rFonts w:ascii="Times New Roman" w:hAnsi="Times New Roman" w:cs="Times New Roman" w:eastAsia="Times New Roman"/>
        </w:rPr>
        <w:t xml:space="preserve">), the dataset downloader (</w:t>
      </w:r>
      <w:r>
        <w:rPr>
          <w:rFonts w:ascii="Courier New" w:hAnsi="Courier New" w:cs="Courier New" w:eastAsia="Courier New"/>
        </w:rPr>
        <w:t xml:space="preserve">scripts/download_datasets.py</w:t>
      </w:r>
      <w:r>
        <w:rPr>
          <w:rFonts w:ascii="Times New Roman" w:hAnsi="Times New Roman" w:cs="Times New Roman" w:eastAsia="Times New Roman"/>
        </w:rPr>
        <w:t xml:space="preserve">) and the one-command pipeline </w:t>
      </w:r>
      <w:r>
        <w:rPr>
          <w:rFonts w:ascii="Courier New" w:hAnsi="Courier New" w:cs="Courier New" w:eastAsia="Courier New"/>
        </w:rPr>
        <w:t xml:space="preserve">run_all.sh</w:t>
      </w:r>
      <w:r>
        <w:rPr>
          <w:rFonts w:ascii="Times New Roman" w:hAnsi="Times New Roman" w:cs="Times New Roman" w:eastAsia="Times New Roman"/>
        </w:rPr>
        <w:t xml:space="preserve">.</w:t>
      </w:r>
    </w:p>
    <w:p>
      <w:pPr>
        <w:keepNext/>
        <w:spacing w:before="120" w:after="40" w:line="240" w:lineRule="auto"/>
        <w:jc w:val="center"/>
      </w:pPr>
      <w:r>
        <w:drawing>
          <wp:inline xmlns:a="http://schemas.openxmlformats.org/drawingml/2006/main" xmlns:pic="http://schemas.openxmlformats.org/drawingml/2006/picture">
            <wp:extent cx="4500000" cy="2746614"/>
            <wp:docPr id="28" name="Picture 28"/>
            <wp:cNvGraphicFramePr>
              <a:graphicFrameLocks noChangeAspect="1"/>
            </wp:cNvGraphicFramePr>
            <a:graphic>
              <a:graphicData uri="http://schemas.openxmlformats.org/drawingml/2006/picture">
                <pic:pic>
                  <pic:nvPicPr>
                    <pic:cNvPr id="0" name="fig_software_structure.png"/>
                    <pic:cNvPicPr/>
                  </pic:nvPicPr>
                  <pic:blipFill>
                    <a:blip r:embed="rId22"/>
                    <a:stretch>
                      <a:fillRect/>
                    </a:stretch>
                  </pic:blipFill>
                  <pic:spPr>
                    <a:xfrm>
                      <a:off x="0" y="0"/>
                      <a:ext cx="4500000" cy="2746614"/>
                    </a:xfrm>
                    <a:prstGeom prst="rect"/>
                  </pic:spPr>
                </pic:pic>
              </a:graphicData>
            </a:graphic>
          </wp:inline>
        </w:drawing>
      </w:r>
    </w:p>
    <w:p>
      <w:pPr>
        <w:pStyle w:val="Caption"/>
      </w:pPr>
      <w:bookmarkStart w:id="1031" w:name="_Ref_Figure_4_7"/>
      <w:r>
        <w:rPr>
          <w:rFonts w:ascii="Times New Roman" w:hAnsi="Times New Roman" w:cs="Times New Roman" w:eastAsia="Times New Roman"/>
          <w:b/>
          <w:sz w:val="22"/>
        </w:rPr>
        <w:t xml:space="preserve">Figure 4.7: </w:t>
      </w:r>
      <w:r>
        <w:rPr>
          <w:rFonts w:ascii="Times New Roman" w:hAnsi="Times New Roman" w:cs="Times New Roman" w:eastAsia="Times New Roman"/>
          <w:sz w:val="22"/>
        </w:rPr>
        <w:t>Module structure and import dependencies of the current code base (26 modules, with the test suite at the bottom). Solid outlines: the twelve modules of the original code base; dashed shaded outlines: the fourteen modules added since (listed in Table 4.6). Arrows run from the providing group to the importing group.</w:t>
      </w:r>
      <w:bookmarkEnd w:id="1031"/>
    </w:p>
    <w:p>
      <w:pPr>
        <w:pStyle w:val="Caption"/>
        <w:keepNext/>
        <w:spacing w:before="160" w:after="80"/>
      </w:pPr>
      <w:bookmarkStart w:id="1032" w:name="_Ref_Table_4_6"/>
      <w:r>
        <w:rPr>
          <w:rFonts w:ascii="Times New Roman" w:hAnsi="Times New Roman" w:cs="Times New Roman" w:eastAsia="Times New Roman"/>
          <w:b/>
          <w:sz w:val="22"/>
        </w:rPr>
        <w:t xml:space="preserve">Table 4.6: </w:t>
      </w:r>
      <w:r>
        <w:rPr>
          <w:rFonts w:ascii="Times New Roman" w:hAnsi="Times New Roman" w:cs="Times New Roman" w:eastAsia="Times New Roman"/>
          <w:sz w:val="22"/>
        </w:rPr>
        <w:t xml:space="preserve">Source modules, line counts and responsibilities (current working tree).</w:t>
      </w:r>
      <w:bookmarkEnd w:id="1032"/>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000"/>
        <w:gridCol w:w="700"/>
        <w:gridCol w:w="4606"/>
      </w:tblGrid>
      <w:tr>
        <w:trPr>
          <w:cantSplit/>
          <w:tblHeader/>
        </w:trPr>
        <w:tc>
          <w:tcPr>
            <w:tcW w:type="dxa" w:w="3000"/>
            <w:shd w:val="clear" w:color="auto" w:fill="D9D9D9"/>
          </w:tcPr>
          <w:p>
            <w:pPr>
              <w:pStyle w:val="TableText"/>
              <w:keepNext/>
              <w:jc w:val="left"/>
            </w:pPr>
            <w:r>
              <w:rPr>
                <w:rFonts w:ascii="Times New Roman" w:hAnsi="Times New Roman" w:cs="Times New Roman" w:eastAsia="Times New Roman"/>
                <w:b/>
                <w:sz w:val="20"/>
              </w:rPr>
              <w:t xml:space="preserve">Module</w:t>
            </w:r>
          </w:p>
        </w:tc>
        <w:tc>
          <w:tcPr>
            <w:tcW w:type="dxa" w:w="700"/>
            <w:shd w:val="clear" w:color="auto" w:fill="D9D9D9"/>
          </w:tcPr>
          <w:p>
            <w:pPr>
              <w:pStyle w:val="TableText"/>
              <w:keepNext/>
              <w:jc w:val="left"/>
            </w:pPr>
            <w:r>
              <w:rPr>
                <w:rFonts w:ascii="Times New Roman" w:hAnsi="Times New Roman" w:cs="Times New Roman" w:eastAsia="Times New Roman"/>
                <w:b/>
                <w:sz w:val="20"/>
              </w:rPr>
              <w:t xml:space="preserve">Lines</w:t>
            </w:r>
          </w:p>
        </w:tc>
        <w:tc>
          <w:tcPr>
            <w:tcW w:type="dxa" w:w="4606"/>
            <w:shd w:val="clear" w:color="auto" w:fill="D9D9D9"/>
          </w:tcPr>
          <w:p>
            <w:pPr>
              <w:pStyle w:val="TableText"/>
              <w:keepNext/>
              <w:jc w:val="left"/>
            </w:pPr>
            <w:r>
              <w:rPr>
                <w:rFonts w:ascii="Times New Roman" w:hAnsi="Times New Roman" w:cs="Times New Roman" w:eastAsia="Times New Roman"/>
                <w:b/>
                <w:sz w:val="20"/>
              </w:rPr>
              <w:t xml:space="preserve">Responsibility</w:t>
            </w:r>
          </w:p>
        </w:tc>
      </w:tr>
      <w:tr>
        <w:trPr>
          <w:cantSplit/>
        </w:trPr>
        <w:tc>
          <w:tcPr>
            <w:tcW w:type="dxa" w:w="3000"/>
          </w:tcPr>
          <w:p>
            <w:pPr>
              <w:pStyle w:val="TableText"/>
              <w:jc w:val="left"/>
            </w:pPr>
            <w:r>
              <w:rPr>
                <w:rFonts w:ascii="Courier New" w:hAnsi="Courier New" w:cs="Courier New" w:eastAsia="Courier New"/>
                <w:sz w:val="20"/>
              </w:rPr>
              <w:t xml:space="preserve">src/config.py</w:t>
            </w:r>
          </w:p>
        </w:tc>
        <w:tc>
          <w:tcPr>
            <w:tcW w:type="dxa" w:w="700"/>
          </w:tcPr>
          <w:p>
            <w:pPr>
              <w:pStyle w:val="TableText"/>
              <w:jc w:val="left"/>
            </w:pPr>
            <w:r>
              <w:rPr>
                <w:rFonts w:ascii="Times New Roman" w:hAnsi="Times New Roman" w:cs="Times New Roman" w:eastAsia="Times New Roman"/>
                <w:sz w:val="20"/>
              </w:rPr>
              <w:t xml:space="preserve">202</w:t>
            </w:r>
          </w:p>
        </w:tc>
        <w:tc>
          <w:tcPr>
            <w:tcW w:type="dxa" w:w="4606"/>
          </w:tcPr>
          <w:p>
            <w:pPr>
              <w:pStyle w:val="TableText"/>
              <w:jc w:val="left"/>
            </w:pPr>
            <w:r>
              <w:rPr>
                <w:rFonts w:ascii="Times New Roman" w:hAnsi="Times New Roman" w:cs="Times New Roman" w:eastAsia="Times New Roman"/>
                <w:sz w:val="20"/>
              </w:rPr>
              <w:t xml:space="preserve">Frozen dataclasses (MRI, VEP, model, training, augmentation); class names; upgrade of legacy checkpoint configurations</w:t>
            </w:r>
          </w:p>
        </w:tc>
      </w:tr>
      <w:tr>
        <w:trPr>
          <w:cantSplit/>
        </w:trPr>
        <w:tc>
          <w:tcPr>
            <w:tcW w:type="dxa" w:w="3000"/>
          </w:tcPr>
          <w:p>
            <w:pPr>
              <w:pStyle w:val="TableText"/>
              <w:jc w:val="left"/>
            </w:pPr>
            <w:r>
              <w:rPr>
                <w:rFonts w:ascii="Courier New" w:hAnsi="Courier New" w:cs="Courier New" w:eastAsia="Courier New"/>
                <w:sz w:val="20"/>
              </w:rPr>
              <w:t xml:space="preserve">src/data/synthetic.py</w:t>
            </w:r>
          </w:p>
        </w:tc>
        <w:tc>
          <w:tcPr>
            <w:tcW w:type="dxa" w:w="700"/>
          </w:tcPr>
          <w:p>
            <w:pPr>
              <w:pStyle w:val="TableText"/>
              <w:jc w:val="left"/>
            </w:pPr>
            <w:r>
              <w:rPr>
                <w:rFonts w:ascii="Times New Roman" w:hAnsi="Times New Roman" w:cs="Times New Roman" w:eastAsia="Times New Roman"/>
                <w:sz w:val="20"/>
              </w:rPr>
              <w:t xml:space="preserve">215</w:t>
            </w:r>
          </w:p>
        </w:tc>
        <w:tc>
          <w:tcPr>
            <w:tcW w:type="dxa" w:w="4606"/>
          </w:tcPr>
          <w:p>
            <w:pPr>
              <w:pStyle w:val="TableText"/>
              <w:jc w:val="left"/>
            </w:pPr>
            <w:r>
              <w:rPr>
                <w:rFonts w:ascii="Times New Roman" w:hAnsi="Times New Roman" w:cs="Times New Roman" w:eastAsia="Times New Roman"/>
                <w:sz w:val="20"/>
              </w:rPr>
              <w:t xml:space="preserve">Synthetic MRI and VEP generators with controllable strengths; on-disk dataset writer</w:t>
            </w:r>
          </w:p>
        </w:tc>
      </w:tr>
      <w:tr>
        <w:trPr>
          <w:cantSplit/>
        </w:trPr>
        <w:tc>
          <w:tcPr>
            <w:tcW w:type="dxa" w:w="3000"/>
          </w:tcPr>
          <w:p>
            <w:pPr>
              <w:pStyle w:val="TableText"/>
              <w:jc w:val="left"/>
            </w:pPr>
            <w:r>
              <w:rPr>
                <w:rFonts w:ascii="Courier New" w:hAnsi="Courier New" w:cs="Courier New" w:eastAsia="Courier New"/>
                <w:sz w:val="20"/>
              </w:rPr>
              <w:t xml:space="preserve">src/data/dataset.py</w:t>
            </w:r>
          </w:p>
        </w:tc>
        <w:tc>
          <w:tcPr>
            <w:tcW w:type="dxa" w:w="700"/>
          </w:tcPr>
          <w:p>
            <w:pPr>
              <w:pStyle w:val="TableText"/>
              <w:jc w:val="left"/>
            </w:pPr>
            <w:r>
              <w:rPr>
                <w:rFonts w:ascii="Times New Roman" w:hAnsi="Times New Roman" w:cs="Times New Roman" w:eastAsia="Times New Roman"/>
                <w:sz w:val="20"/>
              </w:rPr>
              <w:t xml:space="preserve">352</w:t>
            </w:r>
          </w:p>
        </w:tc>
        <w:tc>
          <w:tcPr>
            <w:tcW w:type="dxa" w:w="4606"/>
          </w:tcPr>
          <w:p>
            <w:pPr>
              <w:pStyle w:val="TableText"/>
              <w:jc w:val="left"/>
            </w:pPr>
            <w:r>
              <w:rPr>
                <w:rFonts w:ascii="Times New Roman" w:hAnsi="Times New Roman" w:cs="Times New Roman" w:eastAsia="Times New Roman"/>
                <w:sz w:val="20"/>
              </w:rPr>
              <w:t xml:space="preserve">PairedNeuroDataset (validated manifest), SyntheticNeuroDataset, augmentation wrapper, class weights</w:t>
            </w:r>
          </w:p>
        </w:tc>
      </w:tr>
      <w:tr>
        <w:trPr>
          <w:cantSplit/>
        </w:trPr>
        <w:tc>
          <w:tcPr>
            <w:tcW w:type="dxa" w:w="3000"/>
          </w:tcPr>
          <w:p>
            <w:pPr>
              <w:pStyle w:val="TableText"/>
              <w:jc w:val="left"/>
            </w:pPr>
            <w:r>
              <w:rPr>
                <w:rFonts w:ascii="Courier New" w:hAnsi="Courier New" w:cs="Courier New" w:eastAsia="Courier New"/>
                <w:sz w:val="20"/>
              </w:rPr>
              <w:t xml:space="preserve">src/data/cohorts.py</w:t>
            </w:r>
          </w:p>
        </w:tc>
        <w:tc>
          <w:tcPr>
            <w:tcW w:type="dxa" w:w="700"/>
          </w:tcPr>
          <w:p>
            <w:pPr>
              <w:pStyle w:val="TableText"/>
              <w:jc w:val="left"/>
            </w:pPr>
            <w:r>
              <w:rPr>
                <w:rFonts w:ascii="Times New Roman" w:hAnsi="Times New Roman" w:cs="Times New Roman" w:eastAsia="Times New Roman"/>
                <w:sz w:val="20"/>
              </w:rPr>
              <w:t xml:space="preserve">354</w:t>
            </w:r>
          </w:p>
        </w:tc>
        <w:tc>
          <w:tcPr>
            <w:tcW w:type="dxa" w:w="4606"/>
          </w:tcPr>
          <w:p>
            <w:pPr>
              <w:pStyle w:val="TableText"/>
              <w:jc w:val="left"/>
            </w:pPr>
            <w:r>
              <w:rPr>
                <w:rFonts w:ascii="Times New Roman" w:hAnsi="Times New Roman" w:cs="Times New Roman" w:eastAsia="Times New Roman"/>
                <w:sz w:val="20"/>
              </w:rPr>
              <w:t xml:space="preserve">Real-cohort discovery (BIDS), log-PSD spectrum extraction, T1-weighted caching, manifest</w:t>
            </w:r>
          </w:p>
        </w:tc>
      </w:tr>
      <w:tr>
        <w:trPr>
          <w:cantSplit/>
        </w:trPr>
        <w:tc>
          <w:tcPr>
            <w:tcW w:type="dxa" w:w="3000"/>
          </w:tcPr>
          <w:p>
            <w:pPr>
              <w:pStyle w:val="TableText"/>
              <w:jc w:val="left"/>
            </w:pPr>
            <w:r>
              <w:rPr>
                <w:rFonts w:ascii="Courier New" w:hAnsi="Courier New" w:cs="Courier New" w:eastAsia="Courier New"/>
                <w:sz w:val="20"/>
              </w:rPr>
              <w:t xml:space="preserve">src/data/splits.py</w:t>
            </w:r>
          </w:p>
        </w:tc>
        <w:tc>
          <w:tcPr>
            <w:tcW w:type="dxa" w:w="700"/>
          </w:tcPr>
          <w:p>
            <w:pPr>
              <w:pStyle w:val="TableText"/>
              <w:jc w:val="left"/>
            </w:pPr>
            <w:r>
              <w:rPr>
                <w:rFonts w:ascii="Times New Roman" w:hAnsi="Times New Roman" w:cs="Times New Roman" w:eastAsia="Times New Roman"/>
                <w:sz w:val="20"/>
              </w:rPr>
              <w:t xml:space="preserve">291</w:t>
            </w:r>
          </w:p>
        </w:tc>
        <w:tc>
          <w:tcPr>
            <w:tcW w:type="dxa" w:w="4606"/>
          </w:tcPr>
          <w:p>
            <w:pPr>
              <w:pStyle w:val="TableText"/>
              <w:jc w:val="left"/>
            </w:pPr>
            <w:r>
              <w:rPr>
                <w:rFonts w:ascii="Times New Roman" w:hAnsi="Times New Roman" w:cs="Times New Roman" w:eastAsia="Times New Roman"/>
                <w:sz w:val="20"/>
              </w:rPr>
              <w:t xml:space="preserve">Stratified and subject-grouped train/validation/test splits</w:t>
            </w:r>
          </w:p>
        </w:tc>
      </w:tr>
      <w:tr>
        <w:trPr>
          <w:cantSplit/>
        </w:trPr>
        <w:tc>
          <w:tcPr>
            <w:tcW w:type="dxa" w:w="3000"/>
          </w:tcPr>
          <w:p>
            <w:pPr>
              <w:pStyle w:val="TableText"/>
              <w:jc w:val="left"/>
            </w:pPr>
            <w:r>
              <w:rPr>
                <w:rFonts w:ascii="Courier New" w:hAnsi="Courier New" w:cs="Courier New" w:eastAsia="Courier New"/>
                <w:sz w:val="20"/>
              </w:rPr>
              <w:t xml:space="preserve">src/data/augment.py</w:t>
            </w:r>
          </w:p>
        </w:tc>
        <w:tc>
          <w:tcPr>
            <w:tcW w:type="dxa" w:w="700"/>
          </w:tcPr>
          <w:p>
            <w:pPr>
              <w:pStyle w:val="TableText"/>
              <w:jc w:val="left"/>
            </w:pPr>
            <w:r>
              <w:rPr>
                <w:rFonts w:ascii="Times New Roman" w:hAnsi="Times New Roman" w:cs="Times New Roman" w:eastAsia="Times New Roman"/>
                <w:sz w:val="20"/>
              </w:rPr>
              <w:t xml:space="preserve">142</w:t>
            </w:r>
          </w:p>
        </w:tc>
        <w:tc>
          <w:tcPr>
            <w:tcW w:type="dxa" w:w="4606"/>
          </w:tcPr>
          <w:p>
            <w:pPr>
              <w:pStyle w:val="TableText"/>
              <w:jc w:val="left"/>
            </w:pPr>
            <w:r>
              <w:rPr>
                <w:rFonts w:ascii="Times New Roman" w:hAnsi="Times New Roman" w:cs="Times New Roman" w:eastAsia="Times New Roman"/>
                <w:sz w:val="20"/>
              </w:rPr>
              <w:t xml:space="preserve">Train-time MRI and VEP augmentation</w:t>
            </w:r>
          </w:p>
        </w:tc>
      </w:tr>
      <w:tr>
        <w:trPr>
          <w:cantSplit/>
        </w:trPr>
        <w:tc>
          <w:tcPr>
            <w:tcW w:type="dxa" w:w="3000"/>
          </w:tcPr>
          <w:p>
            <w:pPr>
              <w:pStyle w:val="TableText"/>
              <w:jc w:val="left"/>
            </w:pPr>
            <w:r>
              <w:rPr>
                <w:rFonts w:ascii="Courier New" w:hAnsi="Courier New" w:cs="Courier New" w:eastAsia="Courier New"/>
                <w:sz w:val="20"/>
              </w:rPr>
              <w:t xml:space="preserve">src/preprocessing/mri_transforms.py</w:t>
            </w:r>
          </w:p>
        </w:tc>
        <w:tc>
          <w:tcPr>
            <w:tcW w:type="dxa" w:w="700"/>
          </w:tcPr>
          <w:p>
            <w:pPr>
              <w:pStyle w:val="TableText"/>
              <w:jc w:val="left"/>
            </w:pPr>
            <w:r>
              <w:rPr>
                <w:rFonts w:ascii="Times New Roman" w:hAnsi="Times New Roman" w:cs="Times New Roman" w:eastAsia="Times New Roman"/>
                <w:sz w:val="20"/>
              </w:rPr>
              <w:t xml:space="preserve">229</w:t>
            </w:r>
          </w:p>
        </w:tc>
        <w:tc>
          <w:tcPr>
            <w:tcW w:type="dxa" w:w="4606"/>
          </w:tcPr>
          <w:p>
            <w:pPr>
              <w:pStyle w:val="TableText"/>
              <w:jc w:val="left"/>
            </w:pPr>
            <w:r>
              <w:rPr>
                <w:rFonts w:ascii="Times New Roman" w:hAnsi="Times New Roman" w:cs="Times New Roman" w:eastAsia="Times New Roman"/>
                <w:sz w:val="20"/>
              </w:rPr>
              <w:t xml:space="preserve">NIfTI loading, resampling, percentile or Otsu masking, scaling, centre crop or bounding-box resize</w:t>
            </w:r>
          </w:p>
        </w:tc>
      </w:tr>
      <w:tr>
        <w:trPr>
          <w:cantSplit/>
        </w:trPr>
        <w:tc>
          <w:tcPr>
            <w:tcW w:type="dxa" w:w="3000"/>
          </w:tcPr>
          <w:p>
            <w:pPr>
              <w:pStyle w:val="TableText"/>
              <w:jc w:val="left"/>
            </w:pPr>
            <w:r>
              <w:rPr>
                <w:rFonts w:ascii="Courier New" w:hAnsi="Courier New" w:cs="Courier New" w:eastAsia="Courier New"/>
                <w:sz w:val="20"/>
              </w:rPr>
              <w:t xml:space="preserve">src/preprocessing/signal_cleaner.py</w:t>
            </w:r>
          </w:p>
        </w:tc>
        <w:tc>
          <w:tcPr>
            <w:tcW w:type="dxa" w:w="700"/>
          </w:tcPr>
          <w:p>
            <w:pPr>
              <w:pStyle w:val="TableText"/>
              <w:jc w:val="left"/>
            </w:pPr>
            <w:r>
              <w:rPr>
                <w:rFonts w:ascii="Times New Roman" w:hAnsi="Times New Roman" w:cs="Times New Roman" w:eastAsia="Times New Roman"/>
                <w:sz w:val="20"/>
              </w:rPr>
              <w:t xml:space="preserve">132</w:t>
            </w:r>
          </w:p>
        </w:tc>
        <w:tc>
          <w:tcPr>
            <w:tcW w:type="dxa" w:w="4606"/>
          </w:tcPr>
          <w:p>
            <w:pPr>
              <w:pStyle w:val="TableText"/>
              <w:jc w:val="left"/>
            </w:pPr>
            <w:r>
              <w:rPr>
                <w:rFonts w:ascii="Times New Roman" w:hAnsi="Times New Roman" w:cs="Times New Roman" w:eastAsia="Times New Roman"/>
                <w:sz w:val="20"/>
              </w:rPr>
              <w:t xml:space="preserve">Validation, band-pass, notch, baseline correction, resampling, z-score, spectrum mode</w:t>
            </w:r>
          </w:p>
        </w:tc>
      </w:tr>
      <w:tr>
        <w:trPr>
          <w:cantSplit/>
        </w:trPr>
        <w:tc>
          <w:tcPr>
            <w:tcW w:type="dxa" w:w="3000"/>
          </w:tcPr>
          <w:p>
            <w:pPr>
              <w:pStyle w:val="TableText"/>
              <w:jc w:val="left"/>
            </w:pPr>
            <w:r>
              <w:rPr>
                <w:rFonts w:ascii="Courier New" w:hAnsi="Courier New" w:cs="Courier New" w:eastAsia="Courier New"/>
                <w:sz w:val="20"/>
              </w:rPr>
              <w:t xml:space="preserve">src/models/spatial_encoder.py</w:t>
            </w:r>
          </w:p>
        </w:tc>
        <w:tc>
          <w:tcPr>
            <w:tcW w:type="dxa" w:w="700"/>
          </w:tcPr>
          <w:p>
            <w:pPr>
              <w:pStyle w:val="TableText"/>
              <w:jc w:val="left"/>
            </w:pPr>
            <w:r>
              <w:rPr>
                <w:rFonts w:ascii="Times New Roman" w:hAnsi="Times New Roman" w:cs="Times New Roman" w:eastAsia="Times New Roman"/>
                <w:sz w:val="20"/>
              </w:rPr>
              <w:t xml:space="preserve">92</w:t>
            </w:r>
          </w:p>
        </w:tc>
        <w:tc>
          <w:tcPr>
            <w:tcW w:type="dxa" w:w="4606"/>
          </w:tcPr>
          <w:p>
            <w:pPr>
              <w:pStyle w:val="TableText"/>
              <w:jc w:val="left"/>
            </w:pPr>
            <w:r>
              <w:rPr>
                <w:rFonts w:ascii="Times New Roman" w:hAnsi="Times New Roman" w:cs="Times New Roman" w:eastAsia="Times New Roman"/>
                <w:sz w:val="20"/>
              </w:rPr>
              <w:t xml:space="preserve">3D residual CNN with squeeze-and-excitation producing spatial tokens</w:t>
            </w:r>
          </w:p>
        </w:tc>
      </w:tr>
      <w:tr>
        <w:trPr>
          <w:cantSplit/>
        </w:trPr>
        <w:tc>
          <w:tcPr>
            <w:tcW w:type="dxa" w:w="3000"/>
          </w:tcPr>
          <w:p>
            <w:pPr>
              <w:pStyle w:val="TableText"/>
              <w:jc w:val="left"/>
            </w:pPr>
            <w:r>
              <w:rPr>
                <w:rFonts w:ascii="Courier New" w:hAnsi="Courier New" w:cs="Courier New" w:eastAsia="Courier New"/>
                <w:sz w:val="20"/>
              </w:rPr>
              <w:t xml:space="preserve">src/models/temporal_encoder.py</w:t>
            </w:r>
          </w:p>
        </w:tc>
        <w:tc>
          <w:tcPr>
            <w:tcW w:type="dxa" w:w="700"/>
          </w:tcPr>
          <w:p>
            <w:pPr>
              <w:pStyle w:val="TableText"/>
              <w:jc w:val="left"/>
            </w:pPr>
            <w:r>
              <w:rPr>
                <w:rFonts w:ascii="Times New Roman" w:hAnsi="Times New Roman" w:cs="Times New Roman" w:eastAsia="Times New Roman"/>
                <w:sz w:val="20"/>
              </w:rPr>
              <w:t xml:space="preserve">70</w:t>
            </w:r>
          </w:p>
        </w:tc>
        <w:tc>
          <w:tcPr>
            <w:tcW w:type="dxa" w:w="4606"/>
          </w:tcPr>
          <w:p>
            <w:pPr>
              <w:pStyle w:val="TableText"/>
              <w:jc w:val="left"/>
            </w:pPr>
            <w:r>
              <w:rPr>
                <w:rFonts w:ascii="Times New Roman" w:hAnsi="Times New Roman" w:cs="Times New Roman" w:eastAsia="Times New Roman"/>
                <w:sz w:val="20"/>
              </w:rPr>
              <w:t xml:space="preserve">Multi-scale 1D CNN producing temporal tokens</w:t>
            </w:r>
          </w:p>
        </w:tc>
      </w:tr>
      <w:tr>
        <w:trPr>
          <w:cantSplit/>
        </w:trPr>
        <w:tc>
          <w:tcPr>
            <w:tcW w:type="dxa" w:w="3000"/>
          </w:tcPr>
          <w:p>
            <w:pPr>
              <w:pStyle w:val="TableText"/>
              <w:jc w:val="left"/>
            </w:pPr>
            <w:r>
              <w:rPr>
                <w:rFonts w:ascii="Courier New" w:hAnsi="Courier New" w:cs="Courier New" w:eastAsia="Courier New"/>
                <w:sz w:val="20"/>
              </w:rPr>
              <w:t xml:space="preserve">src/models/cross_attention.py</w:t>
            </w:r>
          </w:p>
        </w:tc>
        <w:tc>
          <w:tcPr>
            <w:tcW w:type="dxa" w:w="700"/>
          </w:tcPr>
          <w:p>
            <w:pPr>
              <w:pStyle w:val="TableText"/>
              <w:jc w:val="left"/>
            </w:pPr>
            <w:r>
              <w:rPr>
                <w:rFonts w:ascii="Times New Roman" w:hAnsi="Times New Roman" w:cs="Times New Roman" w:eastAsia="Times New Roman"/>
                <w:sz w:val="20"/>
              </w:rPr>
              <w:t xml:space="preserve">197</w:t>
            </w:r>
          </w:p>
        </w:tc>
        <w:tc>
          <w:tcPr>
            <w:tcW w:type="dxa" w:w="4606"/>
          </w:tcPr>
          <w:p>
            <w:pPr>
              <w:pStyle w:val="TableText"/>
              <w:jc w:val="left"/>
            </w:pPr>
            <w:r>
              <w:rPr>
                <w:rFonts w:ascii="Times New Roman" w:hAnsi="Times New Roman" w:cs="Times New Roman" w:eastAsia="Times New Roman"/>
                <w:sz w:val="20"/>
              </w:rPr>
              <w:t xml:space="preserve">Multi-head cross-attention; one-way and gated bidirectional fusion</w:t>
            </w:r>
          </w:p>
        </w:tc>
      </w:tr>
      <w:tr>
        <w:trPr>
          <w:cantSplit/>
        </w:trPr>
        <w:tc>
          <w:tcPr>
            <w:tcW w:type="dxa" w:w="3000"/>
          </w:tcPr>
          <w:p>
            <w:pPr>
              <w:pStyle w:val="TableText"/>
              <w:jc w:val="left"/>
            </w:pPr>
            <w:r>
              <w:rPr>
                <w:rFonts w:ascii="Courier New" w:hAnsi="Courier New" w:cs="Courier New" w:eastAsia="Courier New"/>
                <w:sz w:val="20"/>
              </w:rPr>
              <w:t xml:space="preserve">src/models/attention_pool.py</w:t>
            </w:r>
          </w:p>
        </w:tc>
        <w:tc>
          <w:tcPr>
            <w:tcW w:type="dxa" w:w="700"/>
          </w:tcPr>
          <w:p>
            <w:pPr>
              <w:pStyle w:val="TableText"/>
              <w:jc w:val="left"/>
            </w:pPr>
            <w:r>
              <w:rPr>
                <w:rFonts w:ascii="Times New Roman" w:hAnsi="Times New Roman" w:cs="Times New Roman" w:eastAsia="Times New Roman"/>
                <w:sz w:val="20"/>
              </w:rPr>
              <w:t xml:space="preserve">41</w:t>
            </w:r>
          </w:p>
        </w:tc>
        <w:tc>
          <w:tcPr>
            <w:tcW w:type="dxa" w:w="4606"/>
          </w:tcPr>
          <w:p>
            <w:pPr>
              <w:pStyle w:val="TableText"/>
              <w:jc w:val="left"/>
            </w:pPr>
            <w:r>
              <w:rPr>
                <w:rFonts w:ascii="Times New Roman" w:hAnsi="Times New Roman" w:cs="Times New Roman" w:eastAsia="Times New Roman"/>
                <w:sz w:val="20"/>
              </w:rPr>
              <w:t xml:space="preserve">Learned attention pooling</w:t>
            </w:r>
          </w:p>
        </w:tc>
      </w:tr>
      <w:tr>
        <w:trPr>
          <w:cantSplit/>
        </w:trPr>
        <w:tc>
          <w:tcPr>
            <w:tcW w:type="dxa" w:w="3000"/>
          </w:tcPr>
          <w:p>
            <w:pPr>
              <w:pStyle w:val="TableText"/>
              <w:jc w:val="left"/>
            </w:pPr>
            <w:r>
              <w:rPr>
                <w:rFonts w:ascii="Courier New" w:hAnsi="Courier New" w:cs="Courier New" w:eastAsia="Courier New"/>
                <w:sz w:val="20"/>
              </w:rPr>
              <w:t xml:space="preserve">src/models/positional.py</w:t>
            </w:r>
          </w:p>
        </w:tc>
        <w:tc>
          <w:tcPr>
            <w:tcW w:type="dxa" w:w="700"/>
          </w:tcPr>
          <w:p>
            <w:pPr>
              <w:pStyle w:val="TableText"/>
              <w:jc w:val="left"/>
            </w:pPr>
            <w:r>
              <w:rPr>
                <w:rFonts w:ascii="Times New Roman" w:hAnsi="Times New Roman" w:cs="Times New Roman" w:eastAsia="Times New Roman"/>
                <w:sz w:val="20"/>
              </w:rPr>
              <w:t xml:space="preserve">104</w:t>
            </w:r>
          </w:p>
        </w:tc>
        <w:tc>
          <w:tcPr>
            <w:tcW w:type="dxa" w:w="4606"/>
          </w:tcPr>
          <w:p>
            <w:pPr>
              <w:pStyle w:val="TableText"/>
              <w:jc w:val="left"/>
            </w:pPr>
            <w:r>
              <w:rPr>
                <w:rFonts w:ascii="Times New Roman" w:hAnsi="Times New Roman" w:cs="Times New Roman" w:eastAsia="Times New Roman"/>
                <w:sz w:val="20"/>
              </w:rPr>
              <w:t xml:space="preserve">Learned 3D spatial and sinusoidal temporal positional encodings</w:t>
            </w:r>
          </w:p>
        </w:tc>
      </w:tr>
      <w:tr>
        <w:trPr>
          <w:cantSplit/>
        </w:trPr>
        <w:tc>
          <w:tcPr>
            <w:tcW w:type="dxa" w:w="3000"/>
          </w:tcPr>
          <w:p>
            <w:pPr>
              <w:pStyle w:val="TableText"/>
              <w:jc w:val="left"/>
            </w:pPr>
            <w:r>
              <w:rPr>
                <w:rFonts w:ascii="Courier New" w:hAnsi="Courier New" w:cs="Courier New" w:eastAsia="Courier New"/>
                <w:sz w:val="20"/>
              </w:rPr>
              <w:t xml:space="preserve">src/models/pooling.py</w:t>
            </w:r>
          </w:p>
        </w:tc>
        <w:tc>
          <w:tcPr>
            <w:tcW w:type="dxa" w:w="700"/>
          </w:tcPr>
          <w:p>
            <w:pPr>
              <w:pStyle w:val="TableText"/>
              <w:jc w:val="left"/>
            </w:pPr>
            <w:r>
              <w:rPr>
                <w:rFonts w:ascii="Times New Roman" w:hAnsi="Times New Roman" w:cs="Times New Roman" w:eastAsia="Times New Roman"/>
                <w:sz w:val="20"/>
              </w:rPr>
              <w:t xml:space="preserve">55</w:t>
            </w:r>
          </w:p>
        </w:tc>
        <w:tc>
          <w:tcPr>
            <w:tcW w:type="dxa" w:w="4606"/>
          </w:tcPr>
          <w:p>
            <w:pPr>
              <w:pStyle w:val="TableText"/>
              <w:jc w:val="left"/>
            </w:pPr>
            <w:r>
              <w:rPr>
                <w:rFonts w:ascii="Times New Roman" w:hAnsi="Times New Roman" w:cs="Times New Roman" w:eastAsia="Times New Roman"/>
                <w:sz w:val="20"/>
              </w:rPr>
              <w:t xml:space="preserve">Deterministic adaptive average pooling</w:t>
            </w:r>
          </w:p>
        </w:tc>
      </w:tr>
      <w:tr>
        <w:trPr>
          <w:cantSplit/>
        </w:trPr>
        <w:tc>
          <w:tcPr>
            <w:tcW w:type="dxa" w:w="3000"/>
          </w:tcPr>
          <w:p>
            <w:pPr>
              <w:pStyle w:val="TableText"/>
              <w:jc w:val="left"/>
            </w:pPr>
            <w:r>
              <w:rPr>
                <w:rFonts w:ascii="Courier New" w:hAnsi="Courier New" w:cs="Courier New" w:eastAsia="Courier New"/>
                <w:sz w:val="20"/>
              </w:rPr>
              <w:t xml:space="preserve">src/models/losses.py</w:t>
            </w:r>
          </w:p>
        </w:tc>
        <w:tc>
          <w:tcPr>
            <w:tcW w:type="dxa" w:w="700"/>
          </w:tcPr>
          <w:p>
            <w:pPr>
              <w:pStyle w:val="TableText"/>
              <w:jc w:val="left"/>
            </w:pPr>
            <w:r>
              <w:rPr>
                <w:rFonts w:ascii="Times New Roman" w:hAnsi="Times New Roman" w:cs="Times New Roman" w:eastAsia="Times New Roman"/>
                <w:sz w:val="20"/>
              </w:rPr>
              <w:t xml:space="preserve">86</w:t>
            </w:r>
          </w:p>
        </w:tc>
        <w:tc>
          <w:tcPr>
            <w:tcW w:type="dxa" w:w="4606"/>
          </w:tcPr>
          <w:p>
            <w:pPr>
              <w:pStyle w:val="TableText"/>
              <w:jc w:val="left"/>
            </w:pPr>
            <w:r>
              <w:rPr>
                <w:rFonts w:ascii="Times New Roman" w:hAnsi="Times New Roman" w:cs="Times New Roman" w:eastAsia="Times New Roman"/>
                <w:sz w:val="20"/>
              </w:rPr>
              <w:t xml:space="preserve">Multi-task cross-entropy and uncertainty-weighted loss</w:t>
            </w:r>
          </w:p>
        </w:tc>
      </w:tr>
      <w:tr>
        <w:trPr>
          <w:cantSplit/>
        </w:trPr>
        <w:tc>
          <w:tcPr>
            <w:tcW w:type="dxa" w:w="3000"/>
          </w:tcPr>
          <w:p>
            <w:pPr>
              <w:pStyle w:val="TableText"/>
              <w:jc w:val="left"/>
            </w:pPr>
            <w:r>
              <w:rPr>
                <w:rFonts w:ascii="Courier New" w:hAnsi="Courier New" w:cs="Courier New" w:eastAsia="Courier New"/>
                <w:sz w:val="20"/>
              </w:rPr>
              <w:t xml:space="preserve">src/models/cafn.py</w:t>
            </w:r>
          </w:p>
        </w:tc>
        <w:tc>
          <w:tcPr>
            <w:tcW w:type="dxa" w:w="700"/>
          </w:tcPr>
          <w:p>
            <w:pPr>
              <w:pStyle w:val="TableText"/>
              <w:jc w:val="left"/>
            </w:pPr>
            <w:r>
              <w:rPr>
                <w:rFonts w:ascii="Times New Roman" w:hAnsi="Times New Roman" w:cs="Times New Roman" w:eastAsia="Times New Roman"/>
                <w:sz w:val="20"/>
              </w:rPr>
              <w:t xml:space="preserve">207</w:t>
            </w:r>
          </w:p>
        </w:tc>
        <w:tc>
          <w:tcPr>
            <w:tcW w:type="dxa" w:w="4606"/>
          </w:tcPr>
          <w:p>
            <w:pPr>
              <w:pStyle w:val="TableText"/>
              <w:jc w:val="left"/>
            </w:pPr>
            <w:r>
              <w:rPr>
                <w:rFonts w:ascii="Times New Roman" w:hAnsi="Times New Roman" w:cs="Times New Roman" w:eastAsia="Times New Roman"/>
                <w:sz w:val="20"/>
              </w:rPr>
              <w:t xml:space="preserve">Full model, fusion modes (bidirectional, one-way, concatenation, sum, unimodal) and heads</w:t>
            </w:r>
          </w:p>
        </w:tc>
      </w:tr>
      <w:tr>
        <w:trPr>
          <w:cantSplit/>
        </w:trPr>
        <w:tc>
          <w:tcPr>
            <w:tcW w:type="dxa" w:w="3000"/>
          </w:tcPr>
          <w:p>
            <w:pPr>
              <w:pStyle w:val="TableText"/>
              <w:jc w:val="left"/>
            </w:pPr>
            <w:r>
              <w:rPr>
                <w:rFonts w:ascii="Courier New" w:hAnsi="Courier New" w:cs="Courier New" w:eastAsia="Courier New"/>
                <w:sz w:val="20"/>
              </w:rPr>
              <w:t xml:space="preserve">src/train.py</w:t>
            </w:r>
          </w:p>
        </w:tc>
        <w:tc>
          <w:tcPr>
            <w:tcW w:type="dxa" w:w="700"/>
          </w:tcPr>
          <w:p>
            <w:pPr>
              <w:pStyle w:val="TableText"/>
              <w:jc w:val="left"/>
            </w:pPr>
            <w:r>
              <w:rPr>
                <w:rFonts w:ascii="Times New Roman" w:hAnsi="Times New Roman" w:cs="Times New Roman" w:eastAsia="Times New Roman"/>
                <w:sz w:val="20"/>
              </w:rPr>
              <w:t xml:space="preserve">940</w:t>
            </w:r>
          </w:p>
        </w:tc>
        <w:tc>
          <w:tcPr>
            <w:tcW w:type="dxa" w:w="4606"/>
          </w:tcPr>
          <w:p>
            <w:pPr>
              <w:pStyle w:val="TableText"/>
              <w:jc w:val="left"/>
            </w:pPr>
            <w:r>
              <w:rPr>
                <w:rFonts w:ascii="Times New Roman" w:hAnsi="Times New Roman" w:cs="Times New Roman" w:eastAsia="Times New Roman"/>
                <w:sz w:val="20"/>
              </w:rPr>
              <w:t xml:space="preserve">Training, evaluation, split, checkpoints, command line</w:t>
            </w:r>
          </w:p>
        </w:tc>
      </w:tr>
      <w:tr>
        <w:trPr>
          <w:cantSplit/>
        </w:trPr>
        <w:tc>
          <w:tcPr>
            <w:tcW w:type="dxa" w:w="3000"/>
          </w:tcPr>
          <w:p>
            <w:pPr>
              <w:pStyle w:val="TableText"/>
              <w:jc w:val="left"/>
            </w:pPr>
            <w:r>
              <w:rPr>
                <w:rFonts w:ascii="Courier New" w:hAnsi="Courier New" w:cs="Courier New" w:eastAsia="Courier New"/>
                <w:sz w:val="20"/>
              </w:rPr>
              <w:t xml:space="preserve">src/evaluation.py</w:t>
            </w:r>
          </w:p>
        </w:tc>
        <w:tc>
          <w:tcPr>
            <w:tcW w:type="dxa" w:w="700"/>
          </w:tcPr>
          <w:p>
            <w:pPr>
              <w:pStyle w:val="TableText"/>
              <w:jc w:val="left"/>
            </w:pPr>
            <w:r>
              <w:rPr>
                <w:rFonts w:ascii="Times New Roman" w:hAnsi="Times New Roman" w:cs="Times New Roman" w:eastAsia="Times New Roman"/>
                <w:sz w:val="20"/>
              </w:rPr>
              <w:t xml:space="preserve">251</w:t>
            </w:r>
          </w:p>
        </w:tc>
        <w:tc>
          <w:tcPr>
            <w:tcW w:type="dxa" w:w="4606"/>
          </w:tcPr>
          <w:p>
            <w:pPr>
              <w:pStyle w:val="TableText"/>
              <w:jc w:val="left"/>
            </w:pPr>
            <w:r>
              <w:rPr>
                <w:rFonts w:ascii="Times New Roman" w:hAnsi="Times New Roman" w:cs="Times New Roman" w:eastAsia="Times New Roman"/>
                <w:sz w:val="20"/>
              </w:rPr>
              <w:t xml:space="preserve">Detailed metrics, confusion matrix, training-curve plots</w:t>
            </w:r>
          </w:p>
        </w:tc>
      </w:tr>
      <w:tr>
        <w:trPr>
          <w:cantSplit/>
        </w:trPr>
        <w:tc>
          <w:tcPr>
            <w:tcW w:type="dxa" w:w="3000"/>
          </w:tcPr>
          <w:p>
            <w:pPr>
              <w:pStyle w:val="TableText"/>
              <w:jc w:val="left"/>
            </w:pPr>
            <w:r>
              <w:rPr>
                <w:rFonts w:ascii="Courier New" w:hAnsi="Courier New" w:cs="Courier New" w:eastAsia="Courier New"/>
                <w:sz w:val="20"/>
              </w:rPr>
              <w:t xml:space="preserve">src/utils.py</w:t>
            </w:r>
          </w:p>
        </w:tc>
        <w:tc>
          <w:tcPr>
            <w:tcW w:type="dxa" w:w="700"/>
          </w:tcPr>
          <w:p>
            <w:pPr>
              <w:pStyle w:val="TableText"/>
              <w:jc w:val="left"/>
            </w:pPr>
            <w:r>
              <w:rPr>
                <w:rFonts w:ascii="Times New Roman" w:hAnsi="Times New Roman" w:cs="Times New Roman" w:eastAsia="Times New Roman"/>
                <w:sz w:val="20"/>
              </w:rPr>
              <w:t xml:space="preserve">300</w:t>
            </w:r>
          </w:p>
        </w:tc>
        <w:tc>
          <w:tcPr>
            <w:tcW w:type="dxa" w:w="4606"/>
          </w:tcPr>
          <w:p>
            <w:pPr>
              <w:pStyle w:val="TableText"/>
              <w:jc w:val="left"/>
            </w:pPr>
            <w:r>
              <w:rPr>
                <w:rFonts w:ascii="Times New Roman" w:hAnsi="Times New Roman" w:cs="Times New Roman" w:eastAsia="Times New Roman"/>
                <w:sz w:val="20"/>
              </w:rPr>
              <w:t xml:space="preserve">Seeding, device selection, label and group utilities</w:t>
            </w:r>
          </w:p>
        </w:tc>
      </w:tr>
      <w:tr>
        <w:trPr>
          <w:cantSplit/>
        </w:trPr>
        <w:tc>
          <w:tcPr>
            <w:tcW w:type="dxa" w:w="3000"/>
          </w:tcPr>
          <w:p>
            <w:pPr>
              <w:pStyle w:val="TableText"/>
              <w:jc w:val="left"/>
            </w:pPr>
            <w:r>
              <w:rPr>
                <w:rFonts w:ascii="Courier New" w:hAnsi="Courier New" w:cs="Courier New" w:eastAsia="Courier New"/>
                <w:sz w:val="20"/>
              </w:rPr>
              <w:t xml:space="preserve">src/predict.py</w:t>
            </w:r>
          </w:p>
        </w:tc>
        <w:tc>
          <w:tcPr>
            <w:tcW w:type="dxa" w:w="700"/>
          </w:tcPr>
          <w:p>
            <w:pPr>
              <w:pStyle w:val="TableText"/>
              <w:jc w:val="left"/>
            </w:pPr>
            <w:r>
              <w:rPr>
                <w:rFonts w:ascii="Times New Roman" w:hAnsi="Times New Roman" w:cs="Times New Roman" w:eastAsia="Times New Roman"/>
                <w:sz w:val="20"/>
              </w:rPr>
              <w:t xml:space="preserve">149</w:t>
            </w:r>
          </w:p>
        </w:tc>
        <w:tc>
          <w:tcPr>
            <w:tcW w:type="dxa" w:w="4606"/>
          </w:tcPr>
          <w:p>
            <w:pPr>
              <w:pStyle w:val="TableText"/>
              <w:jc w:val="left"/>
            </w:pPr>
            <w:r>
              <w:rPr>
                <w:rFonts w:ascii="Times New Roman" w:hAnsi="Times New Roman" w:cs="Times New Roman" w:eastAsia="Times New Roman"/>
                <w:sz w:val="20"/>
              </w:rPr>
              <w:t xml:space="preserve">Single-subject inference with an evidence bundle</w:t>
            </w:r>
          </w:p>
        </w:tc>
      </w:tr>
      <w:tr>
        <w:trPr>
          <w:cantSplit/>
        </w:trPr>
        <w:tc>
          <w:tcPr>
            <w:tcW w:type="dxa" w:w="3000"/>
          </w:tcPr>
          <w:p>
            <w:pPr>
              <w:pStyle w:val="TableText"/>
              <w:jc w:val="left"/>
            </w:pPr>
            <w:r>
              <w:rPr>
                <w:rFonts w:ascii="Courier New" w:hAnsi="Courier New" w:cs="Courier New" w:eastAsia="Courier New"/>
                <w:sz w:val="20"/>
              </w:rPr>
              <w:t xml:space="preserve">src/explainability/grad_cam_3d.py</w:t>
            </w:r>
          </w:p>
        </w:tc>
        <w:tc>
          <w:tcPr>
            <w:tcW w:type="dxa" w:w="700"/>
          </w:tcPr>
          <w:p>
            <w:pPr>
              <w:pStyle w:val="TableText"/>
              <w:jc w:val="left"/>
            </w:pPr>
            <w:r>
              <w:rPr>
                <w:rFonts w:ascii="Times New Roman" w:hAnsi="Times New Roman" w:cs="Times New Roman" w:eastAsia="Times New Roman"/>
                <w:sz w:val="20"/>
              </w:rPr>
              <w:t xml:space="preserve">213</w:t>
            </w:r>
          </w:p>
        </w:tc>
        <w:tc>
          <w:tcPr>
            <w:tcW w:type="dxa" w:w="4606"/>
          </w:tcPr>
          <w:p>
            <w:pPr>
              <w:pStyle w:val="TableText"/>
              <w:jc w:val="left"/>
            </w:pPr>
            <w:r>
              <w:rPr>
                <w:rFonts w:ascii="Times New Roman" w:hAnsi="Times New Roman" w:cs="Times New Roman" w:eastAsia="Times New Roman"/>
                <w:sz w:val="20"/>
              </w:rPr>
              <w:t xml:space="preserve">3D Grad-CAM and Grad-CAM++ and slice plots</w:t>
            </w:r>
          </w:p>
        </w:tc>
      </w:tr>
      <w:tr>
        <w:trPr>
          <w:cantSplit/>
        </w:trPr>
        <w:tc>
          <w:tcPr>
            <w:tcW w:type="dxa" w:w="3000"/>
          </w:tcPr>
          <w:p>
            <w:pPr>
              <w:pStyle w:val="TableText"/>
              <w:jc w:val="left"/>
            </w:pPr>
            <w:r>
              <w:rPr>
                <w:rFonts w:ascii="Courier New" w:hAnsi="Courier New" w:cs="Courier New" w:eastAsia="Courier New"/>
                <w:sz w:val="20"/>
              </w:rPr>
              <w:t xml:space="preserve">src/explainability/plot_attention.py</w:t>
            </w:r>
          </w:p>
        </w:tc>
        <w:tc>
          <w:tcPr>
            <w:tcW w:type="dxa" w:w="700"/>
          </w:tcPr>
          <w:p>
            <w:pPr>
              <w:pStyle w:val="TableText"/>
              <w:jc w:val="left"/>
            </w:pPr>
            <w:r>
              <w:rPr>
                <w:rFonts w:ascii="Times New Roman" w:hAnsi="Times New Roman" w:cs="Times New Roman" w:eastAsia="Times New Roman"/>
                <w:sz w:val="20"/>
              </w:rPr>
              <w:t xml:space="preserve">105</w:t>
            </w:r>
          </w:p>
        </w:tc>
        <w:tc>
          <w:tcPr>
            <w:tcW w:type="dxa" w:w="4606"/>
          </w:tcPr>
          <w:p>
            <w:pPr>
              <w:pStyle w:val="TableText"/>
              <w:jc w:val="left"/>
            </w:pPr>
            <w:r>
              <w:rPr>
                <w:rFonts w:ascii="Times New Roman" w:hAnsi="Times New Roman" w:cs="Times New Roman" w:eastAsia="Times New Roman"/>
                <w:sz w:val="20"/>
              </w:rPr>
              <w:t xml:space="preserve">Attention reduction and per-direction, per-head heatmaps</w:t>
            </w:r>
          </w:p>
        </w:tc>
      </w:tr>
      <w:tr>
        <w:trPr>
          <w:cantSplit/>
        </w:trPr>
        <w:tc>
          <w:tcPr>
            <w:tcW w:type="dxa" w:w="3000"/>
          </w:tcPr>
          <w:p>
            <w:pPr>
              <w:pStyle w:val="TableText"/>
              <w:jc w:val="left"/>
            </w:pPr>
            <w:r>
              <w:rPr>
                <w:rFonts w:ascii="Courier New" w:hAnsi="Courier New" w:cs="Courier New" w:eastAsia="Courier New"/>
                <w:sz w:val="20"/>
              </w:rPr>
              <w:t xml:space="preserve">src/explainability/p100.py</w:t>
            </w:r>
          </w:p>
        </w:tc>
        <w:tc>
          <w:tcPr>
            <w:tcW w:type="dxa" w:w="700"/>
          </w:tcPr>
          <w:p>
            <w:pPr>
              <w:pStyle w:val="TableText"/>
              <w:jc w:val="left"/>
            </w:pPr>
            <w:r>
              <w:rPr>
                <w:rFonts w:ascii="Times New Roman" w:hAnsi="Times New Roman" w:cs="Times New Roman" w:eastAsia="Times New Roman"/>
                <w:sz w:val="20"/>
              </w:rPr>
              <w:t xml:space="preserve">137</w:t>
            </w:r>
          </w:p>
        </w:tc>
        <w:tc>
          <w:tcPr>
            <w:tcW w:type="dxa" w:w="4606"/>
          </w:tcPr>
          <w:p>
            <w:pPr>
              <w:pStyle w:val="TableText"/>
              <w:jc w:val="left"/>
            </w:pPr>
            <w:r>
              <w:rPr>
                <w:rFonts w:ascii="Times New Roman" w:hAnsi="Times New Roman" w:cs="Times New Roman" w:eastAsia="Times New Roman"/>
                <w:sz w:val="20"/>
              </w:rPr>
              <w:t xml:space="preserve">P100 latency and amplitude estimator</w:t>
            </w:r>
          </w:p>
        </w:tc>
      </w:tr>
      <w:tr>
        <w:trPr>
          <w:cantSplit/>
        </w:trPr>
        <w:tc>
          <w:tcPr>
            <w:tcW w:type="dxa" w:w="3000"/>
          </w:tcPr>
          <w:p>
            <w:pPr>
              <w:pStyle w:val="TableText"/>
              <w:jc w:val="left"/>
            </w:pPr>
            <w:r>
              <w:rPr>
                <w:rFonts w:ascii="Courier New" w:hAnsi="Courier New" w:cs="Courier New" w:eastAsia="Courier New"/>
                <w:sz w:val="20"/>
              </w:rPr>
              <w:t xml:space="preserve">src/ablation_synthetic.py</w:t>
            </w:r>
          </w:p>
        </w:tc>
        <w:tc>
          <w:tcPr>
            <w:tcW w:type="dxa" w:w="700"/>
          </w:tcPr>
          <w:p>
            <w:pPr>
              <w:pStyle w:val="TableText"/>
              <w:jc w:val="left"/>
            </w:pPr>
            <w:r>
              <w:rPr>
                <w:rFonts w:ascii="Times New Roman" w:hAnsi="Times New Roman" w:cs="Times New Roman" w:eastAsia="Times New Roman"/>
                <w:sz w:val="20"/>
              </w:rPr>
              <w:t xml:space="preserve">160</w:t>
            </w:r>
          </w:p>
        </w:tc>
        <w:tc>
          <w:tcPr>
            <w:tcW w:type="dxa" w:w="4606"/>
          </w:tcPr>
          <w:p>
            <w:pPr>
              <w:pStyle w:val="TableText"/>
              <w:jc w:val="left"/>
            </w:pPr>
            <w:r>
              <w:rPr>
                <w:rFonts w:ascii="Times New Roman" w:hAnsi="Times New Roman" w:cs="Times New Roman" w:eastAsia="Times New Roman"/>
                <w:sz w:val="20"/>
              </w:rPr>
              <w:t xml:space="preserve">Study A runner: fusion baselines, ablations, informativeness sweep</w:t>
            </w:r>
          </w:p>
        </w:tc>
      </w:tr>
      <w:tr>
        <w:trPr>
          <w:cantSplit/>
        </w:trPr>
        <w:tc>
          <w:tcPr>
            <w:tcW w:type="dxa" w:w="3000"/>
          </w:tcPr>
          <w:p>
            <w:pPr>
              <w:pStyle w:val="TableText"/>
              <w:jc w:val="left"/>
            </w:pPr>
            <w:r>
              <w:rPr>
                <w:rFonts w:ascii="Courier New" w:hAnsi="Courier New" w:cs="Courier New" w:eastAsia="Courier New"/>
                <w:sz w:val="20"/>
              </w:rPr>
              <w:t xml:space="preserve">src/cohort_experiments.py</w:t>
            </w:r>
          </w:p>
        </w:tc>
        <w:tc>
          <w:tcPr>
            <w:tcW w:type="dxa" w:w="700"/>
          </w:tcPr>
          <w:p>
            <w:pPr>
              <w:pStyle w:val="TableText"/>
              <w:jc w:val="left"/>
            </w:pPr>
            <w:r>
              <w:rPr>
                <w:rFonts w:ascii="Times New Roman" w:hAnsi="Times New Roman" w:cs="Times New Roman" w:eastAsia="Times New Roman"/>
                <w:sz w:val="20"/>
              </w:rPr>
              <w:t xml:space="preserve">423</w:t>
            </w:r>
          </w:p>
        </w:tc>
        <w:tc>
          <w:tcPr>
            <w:tcW w:type="dxa" w:w="4606"/>
          </w:tcPr>
          <w:p>
            <w:pPr>
              <w:pStyle w:val="TableText"/>
              <w:jc w:val="left"/>
            </w:pPr>
            <w:r>
              <w:rPr>
                <w:rFonts w:ascii="Times New Roman" w:hAnsi="Times New Roman" w:cs="Times New Roman" w:eastAsia="Times New Roman"/>
                <w:sz w:val="20"/>
              </w:rPr>
              <w:t xml:space="preserve">Study B runner: pooled and leave-one-cohort-out training</w:t>
            </w:r>
          </w:p>
        </w:tc>
      </w:tr>
      <w:tr>
        <w:trPr>
          <w:cantSplit/>
        </w:trPr>
        <w:tc>
          <w:tcPr>
            <w:tcW w:type="dxa" w:w="3000"/>
          </w:tcPr>
          <w:p>
            <w:pPr>
              <w:pStyle w:val="TableText"/>
              <w:jc w:val="left"/>
            </w:pPr>
            <w:r>
              <w:rPr>
                <w:rFonts w:ascii="Courier New" w:hAnsi="Courier New" w:cs="Courier New" w:eastAsia="Courier New"/>
                <w:sz w:val="20"/>
              </w:rPr>
              <w:t xml:space="preserve">src/cv_real.py</w:t>
            </w:r>
          </w:p>
        </w:tc>
        <w:tc>
          <w:tcPr>
            <w:tcW w:type="dxa" w:w="700"/>
          </w:tcPr>
          <w:p>
            <w:pPr>
              <w:pStyle w:val="TableText"/>
              <w:jc w:val="left"/>
            </w:pPr>
            <w:r>
              <w:rPr>
                <w:rFonts w:ascii="Times New Roman" w:hAnsi="Times New Roman" w:cs="Times New Roman" w:eastAsia="Times New Roman"/>
                <w:sz w:val="20"/>
              </w:rPr>
              <w:t xml:space="preserve">280</w:t>
            </w:r>
          </w:p>
        </w:tc>
        <w:tc>
          <w:tcPr>
            <w:tcW w:type="dxa" w:w="4606"/>
          </w:tcPr>
          <w:p>
            <w:pPr>
              <w:pStyle w:val="TableText"/>
              <w:jc w:val="left"/>
            </w:pPr>
            <w:r>
              <w:rPr>
                <w:rFonts w:ascii="Times New Roman" w:hAnsi="Times New Roman" w:cs="Times New Roman" w:eastAsia="Times New Roman"/>
                <w:sz w:val="20"/>
              </w:rPr>
              <w:t xml:space="preserve">Study B runner: repeated cross-validation, baselines, bootstrap, permutation tests</w:t>
            </w:r>
          </w:p>
        </w:tc>
      </w:tr>
      <w:tr>
        <w:trPr>
          <w:cantSplit/>
        </w:trPr>
        <w:tc>
          <w:tcPr>
            <w:tcW w:type="dxa" w:w="3000"/>
          </w:tcPr>
          <w:p>
            <w:pPr>
              <w:pStyle w:val="TableText"/>
              <w:jc w:val="left"/>
            </w:pPr>
            <w:r>
              <w:rPr>
                <w:rFonts w:ascii="Courier New" w:hAnsi="Courier New" w:cs="Courier New" w:eastAsia="Courier New"/>
                <w:sz w:val="20"/>
              </w:rPr>
              <w:t xml:space="preserve">scripts/download_datasets.py</w:t>
            </w:r>
          </w:p>
        </w:tc>
        <w:tc>
          <w:tcPr>
            <w:tcW w:type="dxa" w:w="700"/>
          </w:tcPr>
          <w:p>
            <w:pPr>
              <w:pStyle w:val="TableText"/>
              <w:jc w:val="left"/>
            </w:pPr>
            <w:r>
              <w:rPr>
                <w:rFonts w:ascii="Times New Roman" w:hAnsi="Times New Roman" w:cs="Times New Roman" w:eastAsia="Times New Roman"/>
                <w:sz w:val="20"/>
              </w:rPr>
              <w:t xml:space="preserve">224</w:t>
            </w:r>
          </w:p>
        </w:tc>
        <w:tc>
          <w:tcPr>
            <w:tcW w:type="dxa" w:w="4606"/>
          </w:tcPr>
          <w:p>
            <w:pPr>
              <w:pStyle w:val="TableText"/>
              <w:jc w:val="left"/>
            </w:pPr>
            <w:r>
              <w:rPr>
                <w:rFonts w:ascii="Times New Roman" w:hAnsi="Times New Roman" w:cs="Times New Roman" w:eastAsia="Times New Roman"/>
                <w:sz w:val="20"/>
              </w:rPr>
              <w:t xml:space="preserve">Resumable, size-verified downloader for the public cohorts</w:t>
            </w:r>
          </w:p>
        </w:tc>
      </w:tr>
      <w:tr>
        <w:trPr>
          <w:cantSplit/>
        </w:trPr>
        <w:tc>
          <w:tcPr>
            <w:tcW w:type="dxa" w:w="3000"/>
          </w:tcPr>
          <w:p>
            <w:pPr>
              <w:pStyle w:val="TableText"/>
              <w:jc w:val="left"/>
            </w:pPr>
            <w:r>
              <w:rPr>
                <w:rFonts w:ascii="Courier New" w:hAnsi="Courier New" w:cs="Courier New" w:eastAsia="Courier New"/>
                <w:sz w:val="20"/>
              </w:rPr>
              <w:t xml:space="preserve">run_all.sh</w:t>
            </w:r>
          </w:p>
        </w:tc>
        <w:tc>
          <w:tcPr>
            <w:tcW w:type="dxa" w:w="700"/>
          </w:tcPr>
          <w:p>
            <w:pPr>
              <w:pStyle w:val="TableText"/>
              <w:jc w:val="left"/>
            </w:pPr>
            <w:r>
              <w:rPr>
                <w:rFonts w:ascii="Times New Roman" w:hAnsi="Times New Roman" w:cs="Times New Roman" w:eastAsia="Times New Roman"/>
                <w:sz w:val="20"/>
              </w:rPr>
              <w:t xml:space="preserve">155</w:t>
            </w:r>
          </w:p>
        </w:tc>
        <w:tc>
          <w:tcPr>
            <w:tcW w:type="dxa" w:w="4606"/>
          </w:tcPr>
          <w:p>
            <w:pPr>
              <w:pStyle w:val="TableText"/>
              <w:jc w:val="left"/>
            </w:pPr>
            <w:r>
              <w:rPr>
                <w:rFonts w:ascii="Times New Roman" w:hAnsi="Times New Roman" w:cs="Times New Roman" w:eastAsia="Times New Roman"/>
                <w:sz w:val="20"/>
              </w:rPr>
              <w:t xml:space="preserve">One-command pipeline: environment, self-check, download, preprocess, train, validate, test</w:t>
            </w:r>
          </w:p>
        </w:tc>
      </w:tr>
    </w:tbl>
    <w:p>
      <w:pPr>
        <w:spacing w:after="80" w:line="240" w:lineRule="auto"/>
      </w:pPr>
    </w:p>
    <w:p>
      <w:pPr>
        <w:pStyle w:val="BodyJ"/>
      </w:pPr>
      <w:r>
        <w:rPr>
          <w:rFonts w:ascii="Times New Roman" w:hAnsi="Times New Roman" w:cs="Times New Roman" w:eastAsia="Times New Roman"/>
          <w:b/>
        </w:rPr>
        <w:t xml:space="preserve">One-command pipeline.</w:t>
      </w:r>
      <w:r>
        <w:rPr>
          <w:rFonts w:ascii="Times New Roman" w:hAnsi="Times New Roman" w:cs="Times New Roman" w:eastAsia="Times New Roman"/>
        </w:rPr>
        <w:t xml:space="preserve"> </w:t>
      </w:r>
      <w:r>
        <w:rPr>
          <w:rFonts w:ascii="Courier New" w:hAnsi="Courier New" w:cs="Courier New" w:eastAsia="Courier New"/>
        </w:rPr>
        <w:t xml:space="preserve">./run_all.sh</w:t>
      </w:r>
      <w:r>
        <w:rPr>
          <w:rFonts w:ascii="Times New Roman" w:hAnsi="Times New Roman" w:cs="Times New Roman" w:eastAsia="Times New Roman"/>
        </w:rPr>
        <w:t xml:space="preserve"> performs, in order, the environment set-up (virtual environment, dependencies, GPU check and an environment snapshot with the git commit and the seed), a pre-flight test of the cohort loaders and the experiment runner, the download of the two cohorts, the preprocessing (T1-weighted volumes to 64³ arrays, resting recordings to 500-point log power spectra, manifest) and the training, validation and testing of the pooled and leave-one-cohort-out models. It is safe to interrupt and re-run, because downloads resume, preprocessed subjects are cached and finished training runs are skipped. </w:t>
      </w:r>
      <w:r>
        <w:rPr>
          <w:rFonts w:ascii="Courier New" w:hAnsi="Courier New" w:cs="Courier New" w:eastAsia="Courier New"/>
        </w:rPr>
        <w:t xml:space="preserve">./run_all.sh --smoke</w:t>
      </w:r>
      <w:r>
        <w:rPr>
          <w:rFonts w:ascii="Times New Roman" w:hAnsi="Times New Roman" w:cs="Times New Roman" w:eastAsia="Times New Roman"/>
        </w:rPr>
        <w:t xml:space="preserve"> runs one subject per diagnostic group for two epochs as a plumbing check. The repeated cross-validation study and the synthetic benchmark are run with </w:t>
      </w:r>
      <w:r>
        <w:rPr>
          <w:rFonts w:ascii="Courier New" w:hAnsi="Courier New" w:cs="Courier New" w:eastAsia="Courier New"/>
        </w:rPr>
        <w:t xml:space="preserve">python -m src.cv_real</w:t>
      </w:r>
      <w:r>
        <w:rPr>
          <w:rFonts w:ascii="Times New Roman" w:hAnsi="Times New Roman" w:cs="Times New Roman" w:eastAsia="Times New Roman"/>
        </w:rPr>
        <w:t xml:space="preserve"> and </w:t>
      </w:r>
      <w:r>
        <w:rPr>
          <w:rFonts w:ascii="Courier New" w:hAnsi="Courier New" w:cs="Courier New" w:eastAsia="Courier New"/>
        </w:rPr>
        <w:t xml:space="preserve">python -m src.ablation_synthetic</w:t>
      </w:r>
      <w:r>
        <w:rPr>
          <w:rFonts w:ascii="Times New Roman" w:hAnsi="Times New Roman" w:cs="Times New Roman" w:eastAsia="Times New Roman"/>
        </w:rPr>
        <w:t xml:space="preserve"> (Appendix 4).</w:t>
      </w:r>
    </w:p>
    <w:p>
      <w:pPr>
        <w:pStyle w:val="Heading2"/>
      </w:pPr>
      <w:r>
        <w:rPr>
          <w:rFonts w:ascii="Times New Roman" w:hAnsi="Times New Roman" w:cs="Times New Roman" w:eastAsia="Times New Roman"/>
          <w:b/>
          <w:sz w:val="28"/>
        </w:rPr>
        <w:t>4.9  TEST DESIGN</w:t>
      </w:r>
    </w:p>
    <w:p>
      <w:pPr>
        <w:pStyle w:val="BodyJ"/>
      </w:pPr>
      <w:r>
        <w:rPr>
          <w:rFonts w:ascii="Times New Roman" w:hAnsi="Times New Roman" w:cs="Times New Roman" w:eastAsia="Times New Roman"/>
        </w:rPr>
        <w:t xml:space="preserve">The test suite (</w:t>
      </w:r>
      <w:r>
        <w:rPr>
          <w:rFonts w:ascii="Courier New" w:hAnsi="Courier New" w:cs="Courier New" w:eastAsia="Courier New"/>
        </w:rPr>
        <w:t xml:space="preserve">tests/</w:t>
      </w:r>
      <w:r>
        <w:rPr>
          <w:rFonts w:ascii="Times New Roman" w:hAnsi="Times New Roman" w:cs="Times New Roman" w:eastAsia="Times New Roman"/>
        </w:rPr>
        <w:t xml:space="preserve">) now contains 340 test functions in 29 files: 310 unit tests and 30 integration tests (the original suite had 86 tests in 12 files). A shared </w:t>
      </w:r>
      <w:r>
        <w:rPr>
          <w:rFonts w:ascii="Courier New" w:hAnsi="Courier New" w:cs="Courier New" w:eastAsia="Courier New"/>
        </w:rPr>
        <w:t xml:space="preserve">tiny_config</w:t>
      </w:r>
      <w:r>
        <w:rPr>
          <w:rFonts w:ascii="Times New Roman" w:hAnsi="Times New Roman" w:cs="Times New Roman" w:eastAsia="Times New Roman"/>
        </w:rPr>
        <w:t xml:space="preserve"> fixture scales the model down (MRI shape 32³, VEP length 200, </w:t>
      </w:r>
      <w:r>
        <w:rPr>
          <w:rFonts w:ascii="Times New Roman" w:hAnsi="Times New Roman" w:cs="Times New Roman" w:eastAsia="Times New Roman"/>
          <w:i/>
        </w:rPr>
        <w:t xml:space="preserve">d</w:t>
      </w:r>
      <w:r>
        <w:rPr>
          <w:rFonts w:ascii="Times New Roman" w:hAnsi="Times New Roman" w:cs="Times New Roman" w:eastAsia="Times New Roman"/>
          <w:vertAlign w:val="subscript"/>
        </w:rPr>
        <w:t xml:space="preserve">model</w:t>
      </w:r>
      <w:r>
        <w:rPr>
          <w:rFonts w:ascii="Times New Roman" w:hAnsi="Times New Roman" w:cs="Times New Roman" w:eastAsia="Times New Roman"/>
        </w:rPr>
        <w:t xml:space="preserve"> = 32, two heads, eight spatial and eight temporal tokens, three epochs) so that tests run quickly while exercising the same interfaces. Fixtures also provide a seeded random generator, a factory that writes synthetic NIfTI files with non-isotropic spacing, and a VEP-like array with known 10 Hz and 50 Hz components. All tests run with fixed seeds. Besides the original modules, the suite covers the v2/v3 additions: bidirectional fusion and gating, positional embeddings, attention pooling, the fusion baselines, the controllable generator strengths, deterministic pooling, Otsu and bounding-box preprocessing, the cohort loaders, the experiment runners, augmentation, evaluation metrics and the command-line tools (Table 4.7).</w:t>
      </w:r>
    </w:p>
    <w:p>
      <w:pPr>
        <w:pStyle w:val="Caption"/>
        <w:keepNext/>
        <w:spacing w:before="160" w:after="80"/>
      </w:pPr>
      <w:bookmarkStart w:id="1033" w:name="_Ref_Table_4_7"/>
      <w:r>
        <w:rPr>
          <w:rFonts w:ascii="Times New Roman" w:hAnsi="Times New Roman" w:cs="Times New Roman" w:eastAsia="Times New Roman"/>
          <w:b/>
          <w:sz w:val="22"/>
        </w:rPr>
        <w:t xml:space="preserve">Table 4.7: </w:t>
      </w:r>
      <w:r>
        <w:rPr>
          <w:rFonts w:ascii="Times New Roman" w:hAnsi="Times New Roman" w:cs="Times New Roman" w:eastAsia="Times New Roman"/>
          <w:sz w:val="22"/>
        </w:rPr>
        <w:t xml:space="preserve">Test files and what they verify (current suite: 340 tests in 29 files).</w:t>
      </w:r>
      <w:bookmarkEnd w:id="1033"/>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700"/>
        <w:gridCol w:w="650"/>
        <w:gridCol w:w="4956"/>
      </w:tblGrid>
      <w:tr>
        <w:trPr>
          <w:cantSplit/>
          <w:tblHeader/>
        </w:trPr>
        <w:tc>
          <w:tcPr>
            <w:tcW w:type="dxa" w:w="2700"/>
            <w:shd w:val="clear" w:color="auto" w:fill="D9D9D9"/>
          </w:tcPr>
          <w:p>
            <w:pPr>
              <w:pStyle w:val="TableText"/>
              <w:keepNext/>
              <w:jc w:val="left"/>
            </w:pPr>
            <w:r>
              <w:rPr>
                <w:rFonts w:ascii="Times New Roman" w:hAnsi="Times New Roman" w:cs="Times New Roman" w:eastAsia="Times New Roman"/>
                <w:b/>
                <w:sz w:val="20"/>
              </w:rPr>
              <w:t xml:space="preserve">Test file</w:t>
            </w:r>
          </w:p>
        </w:tc>
        <w:tc>
          <w:tcPr>
            <w:tcW w:type="dxa" w:w="650"/>
            <w:shd w:val="clear" w:color="auto" w:fill="D9D9D9"/>
          </w:tcPr>
          <w:p>
            <w:pPr>
              <w:pStyle w:val="TableText"/>
              <w:keepNext/>
              <w:jc w:val="left"/>
            </w:pPr>
            <w:r>
              <w:rPr>
                <w:rFonts w:ascii="Times New Roman" w:hAnsi="Times New Roman" w:cs="Times New Roman" w:eastAsia="Times New Roman"/>
                <w:b/>
                <w:sz w:val="20"/>
              </w:rPr>
              <w:t xml:space="preserve">Tests</w:t>
            </w:r>
          </w:p>
        </w:tc>
        <w:tc>
          <w:tcPr>
            <w:tcW w:type="dxa" w:w="4956"/>
            <w:shd w:val="clear" w:color="auto" w:fill="D9D9D9"/>
          </w:tcPr>
          <w:p>
            <w:pPr>
              <w:pStyle w:val="TableText"/>
              <w:keepNext/>
              <w:jc w:val="left"/>
            </w:pPr>
            <w:r>
              <w:rPr>
                <w:rFonts w:ascii="Times New Roman" w:hAnsi="Times New Roman" w:cs="Times New Roman" w:eastAsia="Times New Roman"/>
                <w:b/>
                <w:sz w:val="20"/>
              </w:rPr>
              <w:t xml:space="preserve">Properties verified</w:t>
            </w:r>
          </w:p>
        </w:tc>
      </w:tr>
      <w:tr>
        <w:trPr>
          <w:cantSplit/>
        </w:trPr>
        <w:tc>
          <w:tcPr>
            <w:tcW w:type="dxa" w:w="2700"/>
          </w:tcPr>
          <w:p>
            <w:pPr>
              <w:pStyle w:val="TableText"/>
              <w:jc w:val="left"/>
            </w:pPr>
            <w:r>
              <w:rPr>
                <w:rFonts w:ascii="Courier New" w:hAnsi="Courier New" w:cs="Courier New" w:eastAsia="Courier New"/>
                <w:sz w:val="20"/>
              </w:rPr>
              <w:t xml:space="preserve">unit/test_utils_extra.py</w:t>
            </w:r>
          </w:p>
        </w:tc>
        <w:tc>
          <w:tcPr>
            <w:tcW w:type="dxa" w:w="650"/>
          </w:tcPr>
          <w:p>
            <w:pPr>
              <w:pStyle w:val="TableText"/>
              <w:jc w:val="left"/>
            </w:pPr>
            <w:r>
              <w:rPr>
                <w:rFonts w:ascii="Times New Roman" w:hAnsi="Times New Roman" w:cs="Times New Roman" w:eastAsia="Times New Roman"/>
                <w:sz w:val="20"/>
              </w:rPr>
              <w:t xml:space="preserve">31</w:t>
            </w:r>
          </w:p>
        </w:tc>
        <w:tc>
          <w:tcPr>
            <w:tcW w:type="dxa" w:w="4956"/>
          </w:tcPr>
          <w:p>
            <w:pPr>
              <w:pStyle w:val="TableText"/>
              <w:jc w:val="left"/>
            </w:pPr>
            <w:r>
              <w:rPr>
                <w:rFonts w:ascii="Times New Roman" w:hAnsi="Times New Roman" w:cs="Times New Roman" w:eastAsia="Times New Roman"/>
                <w:sz w:val="20"/>
              </w:rPr>
              <w:t xml:space="preserve">Device-resolution fallbacks; label and group extraction on subsets; split edge cases; baseline-correction guards</w:t>
            </w:r>
          </w:p>
        </w:tc>
      </w:tr>
      <w:tr>
        <w:trPr>
          <w:cantSplit/>
        </w:trPr>
        <w:tc>
          <w:tcPr>
            <w:tcW w:type="dxa" w:w="2700"/>
          </w:tcPr>
          <w:p>
            <w:pPr>
              <w:pStyle w:val="TableText"/>
              <w:jc w:val="left"/>
            </w:pPr>
            <w:r>
              <w:rPr>
                <w:rFonts w:ascii="Courier New" w:hAnsi="Courier New" w:cs="Courier New" w:eastAsia="Courier New"/>
                <w:sz w:val="20"/>
              </w:rPr>
              <w:t xml:space="preserve">unit/test_upgrades_v3.py</w:t>
            </w:r>
          </w:p>
        </w:tc>
        <w:tc>
          <w:tcPr>
            <w:tcW w:type="dxa" w:w="650"/>
          </w:tcPr>
          <w:p>
            <w:pPr>
              <w:pStyle w:val="TableText"/>
              <w:jc w:val="left"/>
            </w:pPr>
            <w:r>
              <w:rPr>
                <w:rFonts w:ascii="Times New Roman" w:hAnsi="Times New Roman" w:cs="Times New Roman" w:eastAsia="Times New Roman"/>
                <w:sz w:val="20"/>
              </w:rPr>
              <w:t xml:space="preserve">26</w:t>
            </w:r>
          </w:p>
        </w:tc>
        <w:tc>
          <w:tcPr>
            <w:tcW w:type="dxa" w:w="4956"/>
          </w:tcPr>
          <w:p>
            <w:pPr>
              <w:pStyle w:val="TableText"/>
              <w:jc w:val="left"/>
            </w:pPr>
            <w:r>
              <w:rPr>
                <w:rFonts w:ascii="Times New Roman" w:hAnsi="Times New Roman" w:cs="Times New Roman" w:eastAsia="Times New Roman"/>
                <w:sz w:val="20"/>
              </w:rPr>
              <w:t xml:space="preserve">Subject-grouped splitting; per-index deterministic synthetic data; manifest validation; Otsu and z-score preprocessing; command-line smoke tests</w:t>
            </w:r>
          </w:p>
        </w:tc>
      </w:tr>
      <w:tr>
        <w:trPr>
          <w:cantSplit/>
        </w:trPr>
        <w:tc>
          <w:tcPr>
            <w:tcW w:type="dxa" w:w="2700"/>
          </w:tcPr>
          <w:p>
            <w:pPr>
              <w:pStyle w:val="TableText"/>
              <w:jc w:val="left"/>
            </w:pPr>
            <w:r>
              <w:rPr>
                <w:rFonts w:ascii="Courier New" w:hAnsi="Courier New" w:cs="Courier New" w:eastAsia="Courier New"/>
                <w:sz w:val="20"/>
              </w:rPr>
              <w:t xml:space="preserve">unit/test_splits.py</w:t>
            </w:r>
          </w:p>
        </w:tc>
        <w:tc>
          <w:tcPr>
            <w:tcW w:type="dxa" w:w="650"/>
          </w:tcPr>
          <w:p>
            <w:pPr>
              <w:pStyle w:val="TableText"/>
              <w:jc w:val="left"/>
            </w:pPr>
            <w:r>
              <w:rPr>
                <w:rFonts w:ascii="Times New Roman" w:hAnsi="Times New Roman" w:cs="Times New Roman" w:eastAsia="Times New Roman"/>
                <w:sz w:val="20"/>
              </w:rPr>
              <w:t xml:space="preserve">20</w:t>
            </w:r>
          </w:p>
        </w:tc>
        <w:tc>
          <w:tcPr>
            <w:tcW w:type="dxa" w:w="4956"/>
          </w:tcPr>
          <w:p>
            <w:pPr>
              <w:pStyle w:val="TableText"/>
              <w:jc w:val="left"/>
            </w:pPr>
            <w:r>
              <w:rPr>
                <w:rFonts w:ascii="Times New Roman" w:hAnsi="Times New Roman" w:cs="Times New Roman" w:eastAsia="Times New Roman"/>
                <w:sz w:val="20"/>
              </w:rPr>
              <w:t xml:space="preserve">Stratified, grouped and three-way splits: partitions, class ratios, determinism, degenerate cases</w:t>
            </w:r>
          </w:p>
        </w:tc>
      </w:tr>
      <w:tr>
        <w:trPr>
          <w:cantSplit/>
        </w:trPr>
        <w:tc>
          <w:tcPr>
            <w:tcW w:type="dxa" w:w="2700"/>
          </w:tcPr>
          <w:p>
            <w:pPr>
              <w:pStyle w:val="TableText"/>
              <w:jc w:val="left"/>
            </w:pPr>
            <w:r>
              <w:rPr>
                <w:rFonts w:ascii="Courier New" w:hAnsi="Courier New" w:cs="Courier New" w:eastAsia="Courier New"/>
                <w:sz w:val="20"/>
              </w:rPr>
              <w:t xml:space="preserve">unit/test_cafn_extras.py</w:t>
            </w:r>
          </w:p>
        </w:tc>
        <w:tc>
          <w:tcPr>
            <w:tcW w:type="dxa" w:w="650"/>
          </w:tcPr>
          <w:p>
            <w:pPr>
              <w:pStyle w:val="TableText"/>
              <w:jc w:val="left"/>
            </w:pPr>
            <w:r>
              <w:rPr>
                <w:rFonts w:ascii="Times New Roman" w:hAnsi="Times New Roman" w:cs="Times New Roman" w:eastAsia="Times New Roman"/>
                <w:sz w:val="20"/>
              </w:rPr>
              <w:t xml:space="preserve">19</w:t>
            </w:r>
          </w:p>
        </w:tc>
        <w:tc>
          <w:tcPr>
            <w:tcW w:type="dxa" w:w="4956"/>
          </w:tcPr>
          <w:p>
            <w:pPr>
              <w:pStyle w:val="TableText"/>
              <w:jc w:val="left"/>
            </w:pPr>
            <w:r>
              <w:rPr>
                <w:rFonts w:ascii="Times New Roman" w:hAnsi="Times New Roman" w:cs="Times New Roman" w:eastAsia="Times New Roman"/>
                <w:sz w:val="20"/>
              </w:rPr>
              <w:t xml:space="preserve">Positional embeddings; attention pooling (a zeroed scorer equals mean pooling); modality dropout; class weights; label smoothing; uncertainty-weighted loss</w:t>
            </w:r>
          </w:p>
        </w:tc>
      </w:tr>
      <w:tr>
        <w:trPr>
          <w:cantSplit/>
        </w:trPr>
        <w:tc>
          <w:tcPr>
            <w:tcW w:type="dxa" w:w="2700"/>
          </w:tcPr>
          <w:p>
            <w:pPr>
              <w:pStyle w:val="TableText"/>
              <w:jc w:val="left"/>
            </w:pPr>
            <w:r>
              <w:rPr>
                <w:rFonts w:ascii="Courier New" w:hAnsi="Courier New" w:cs="Courier New" w:eastAsia="Courier New"/>
                <w:sz w:val="20"/>
              </w:rPr>
              <w:t xml:space="preserve">unit/test_signal_cleaner.py</w:t>
            </w:r>
          </w:p>
        </w:tc>
        <w:tc>
          <w:tcPr>
            <w:tcW w:type="dxa" w:w="650"/>
          </w:tcPr>
          <w:p>
            <w:pPr>
              <w:pStyle w:val="TableText"/>
              <w:jc w:val="left"/>
            </w:pPr>
            <w:r>
              <w:rPr>
                <w:rFonts w:ascii="Times New Roman" w:hAnsi="Times New Roman" w:cs="Times New Roman" w:eastAsia="Times New Roman"/>
                <w:sz w:val="20"/>
              </w:rPr>
              <w:t xml:space="preserve">18</w:t>
            </w:r>
          </w:p>
        </w:tc>
        <w:tc>
          <w:tcPr>
            <w:tcW w:type="dxa" w:w="4956"/>
          </w:tcPr>
          <w:p>
            <w:pPr>
              <w:pStyle w:val="TableText"/>
              <w:jc w:val="left"/>
            </w:pPr>
            <w:r>
              <w:rPr>
                <w:rFonts w:ascii="Times New Roman" w:hAnsi="Times New Roman" w:cs="Times New Roman" w:eastAsia="Times New Roman"/>
                <w:sz w:val="20"/>
              </w:rPr>
              <w:t xml:space="preserve">Output shape; attenuation of drift and mains hum; preservation of in-band content; rejection of invalid input; mean 0 / std 1; P100-like peak latency is not shifted</w:t>
            </w:r>
          </w:p>
        </w:tc>
      </w:tr>
      <w:tr>
        <w:trPr>
          <w:cantSplit/>
        </w:trPr>
        <w:tc>
          <w:tcPr>
            <w:tcW w:type="dxa" w:w="2700"/>
          </w:tcPr>
          <w:p>
            <w:pPr>
              <w:pStyle w:val="TableText"/>
              <w:jc w:val="left"/>
            </w:pPr>
            <w:r>
              <w:rPr>
                <w:rFonts w:ascii="Courier New" w:hAnsi="Courier New" w:cs="Courier New" w:eastAsia="Courier New"/>
                <w:sz w:val="20"/>
              </w:rPr>
              <w:t xml:space="preserve">unit/test_evaluation.py</w:t>
            </w:r>
          </w:p>
        </w:tc>
        <w:tc>
          <w:tcPr>
            <w:tcW w:type="dxa" w:w="650"/>
          </w:tcPr>
          <w:p>
            <w:pPr>
              <w:pStyle w:val="TableText"/>
              <w:jc w:val="left"/>
            </w:pPr>
            <w:r>
              <w:rPr>
                <w:rFonts w:ascii="Times New Roman" w:hAnsi="Times New Roman" w:cs="Times New Roman" w:eastAsia="Times New Roman"/>
                <w:sz w:val="20"/>
              </w:rPr>
              <w:t xml:space="preserve">16</w:t>
            </w:r>
          </w:p>
        </w:tc>
        <w:tc>
          <w:tcPr>
            <w:tcW w:type="dxa" w:w="4956"/>
          </w:tcPr>
          <w:p>
            <w:pPr>
              <w:pStyle w:val="TableText"/>
              <w:jc w:val="left"/>
            </w:pPr>
            <w:r>
              <w:rPr>
                <w:rFonts w:ascii="Times New Roman" w:hAnsi="Times New Roman" w:cs="Times New Roman" w:eastAsia="Times New Roman"/>
                <w:sz w:val="20"/>
              </w:rPr>
              <w:t xml:space="preserve">Balanced accuracy, macro-F1, ROC-AUC, confusion matrix, input validation, plots</w:t>
            </w:r>
          </w:p>
        </w:tc>
      </w:tr>
      <w:tr>
        <w:trPr>
          <w:cantSplit/>
        </w:trPr>
        <w:tc>
          <w:tcPr>
            <w:tcW w:type="dxa" w:w="2700"/>
          </w:tcPr>
          <w:p>
            <w:pPr>
              <w:pStyle w:val="TableText"/>
              <w:jc w:val="left"/>
            </w:pPr>
            <w:r>
              <w:rPr>
                <w:rFonts w:ascii="Courier New" w:hAnsi="Courier New" w:cs="Courier New" w:eastAsia="Courier New"/>
                <w:sz w:val="20"/>
              </w:rPr>
              <w:t xml:space="preserve">unit/test_guards.py</w:t>
            </w:r>
          </w:p>
        </w:tc>
        <w:tc>
          <w:tcPr>
            <w:tcW w:type="dxa" w:w="650"/>
          </w:tcPr>
          <w:p>
            <w:pPr>
              <w:pStyle w:val="TableText"/>
              <w:jc w:val="left"/>
            </w:pPr>
            <w:r>
              <w:rPr>
                <w:rFonts w:ascii="Times New Roman" w:hAnsi="Times New Roman" w:cs="Times New Roman" w:eastAsia="Times New Roman"/>
                <w:sz w:val="20"/>
              </w:rPr>
              <w:t xml:space="preserve">15</w:t>
            </w:r>
          </w:p>
        </w:tc>
        <w:tc>
          <w:tcPr>
            <w:tcW w:type="dxa" w:w="4956"/>
          </w:tcPr>
          <w:p>
            <w:pPr>
              <w:pStyle w:val="TableText"/>
              <w:jc w:val="left"/>
            </w:pPr>
            <w:r>
              <w:rPr>
                <w:rFonts w:ascii="Times New Roman" w:hAnsi="Times New Roman" w:cs="Times New Roman" w:eastAsia="Times New Roman"/>
                <w:sz w:val="20"/>
              </w:rPr>
              <w:t xml:space="preserve">Configuration validation; legacy checkpoint merging; embedding API; attention-plot input variants; degenerate splits</w:t>
            </w:r>
          </w:p>
        </w:tc>
      </w:tr>
      <w:tr>
        <w:trPr>
          <w:cantSplit/>
        </w:trPr>
        <w:tc>
          <w:tcPr>
            <w:tcW w:type="dxa" w:w="2700"/>
          </w:tcPr>
          <w:p>
            <w:pPr>
              <w:pStyle w:val="TableText"/>
              <w:jc w:val="left"/>
            </w:pPr>
            <w:r>
              <w:rPr>
                <w:rFonts w:ascii="Courier New" w:hAnsi="Courier New" w:cs="Courier New" w:eastAsia="Courier New"/>
                <w:sz w:val="20"/>
              </w:rPr>
              <w:t xml:space="preserve">unit/test_cafn_v2.py</w:t>
            </w:r>
          </w:p>
        </w:tc>
        <w:tc>
          <w:tcPr>
            <w:tcW w:type="dxa" w:w="650"/>
          </w:tcPr>
          <w:p>
            <w:pPr>
              <w:pStyle w:val="TableText"/>
              <w:jc w:val="left"/>
            </w:pPr>
            <w:r>
              <w:rPr>
                <w:rFonts w:ascii="Times New Roman" w:hAnsi="Times New Roman" w:cs="Times New Roman" w:eastAsia="Times New Roman"/>
                <w:sz w:val="20"/>
              </w:rPr>
              <w:t xml:space="preserve">14</w:t>
            </w:r>
          </w:p>
        </w:tc>
        <w:tc>
          <w:tcPr>
            <w:tcW w:type="dxa" w:w="4956"/>
          </w:tcPr>
          <w:p>
            <w:pPr>
              <w:pStyle w:val="TableText"/>
              <w:jc w:val="left"/>
            </w:pPr>
            <w:r>
              <w:rPr>
                <w:rFonts w:ascii="Times New Roman" w:hAnsi="Times New Roman" w:cs="Times New Roman" w:eastAsia="Times New Roman"/>
                <w:sz w:val="20"/>
              </w:rPr>
              <w:t xml:space="preserve">Both fused streams and both attention directions; gates; positional information; gradient flow to all parameters; fusion-mode selection</w:t>
            </w:r>
          </w:p>
        </w:tc>
      </w:tr>
      <w:tr>
        <w:trPr>
          <w:cantSplit/>
        </w:trPr>
        <w:tc>
          <w:tcPr>
            <w:tcW w:type="dxa" w:w="2700"/>
          </w:tcPr>
          <w:p>
            <w:pPr>
              <w:pStyle w:val="TableText"/>
              <w:jc w:val="left"/>
            </w:pPr>
            <w:r>
              <w:rPr>
                <w:rFonts w:ascii="Courier New" w:hAnsi="Courier New" w:cs="Courier New" w:eastAsia="Courier New"/>
                <w:sz w:val="20"/>
              </w:rPr>
              <w:t xml:space="preserve">unit/test_mri_transforms.py</w:t>
            </w:r>
          </w:p>
        </w:tc>
        <w:tc>
          <w:tcPr>
            <w:tcW w:type="dxa" w:w="650"/>
          </w:tcPr>
          <w:p>
            <w:pPr>
              <w:pStyle w:val="TableText"/>
              <w:jc w:val="left"/>
            </w:pPr>
            <w:r>
              <w:rPr>
                <w:rFonts w:ascii="Times New Roman" w:hAnsi="Times New Roman" w:cs="Times New Roman" w:eastAsia="Times New Roman"/>
                <w:sz w:val="20"/>
              </w:rPr>
              <w:t xml:space="preserve">14</w:t>
            </w:r>
          </w:p>
        </w:tc>
        <w:tc>
          <w:tcPr>
            <w:tcW w:type="dxa" w:w="4956"/>
          </w:tcPr>
          <w:p>
            <w:pPr>
              <w:pStyle w:val="TableText"/>
              <w:jc w:val="left"/>
            </w:pPr>
            <w:r>
              <w:rPr>
                <w:rFonts w:ascii="Times New Roman" w:hAnsi="Times New Roman" w:cs="Times New Roman" w:eastAsia="Times New Roman"/>
                <w:sz w:val="20"/>
              </w:rPr>
              <w:t xml:space="preserve">RAS orientation; voxel zooms; masking; anisotropic resampling; output shape and range; constant volumes; bounding-box fit of a whole head</w:t>
            </w:r>
          </w:p>
        </w:tc>
      </w:tr>
      <w:tr>
        <w:trPr>
          <w:cantSplit/>
        </w:trPr>
        <w:tc>
          <w:tcPr>
            <w:tcW w:type="dxa" w:w="2700"/>
          </w:tcPr>
          <w:p>
            <w:pPr>
              <w:pStyle w:val="TableText"/>
              <w:jc w:val="left"/>
            </w:pPr>
            <w:r>
              <w:rPr>
                <w:rFonts w:ascii="Courier New" w:hAnsi="Courier New" w:cs="Courier New" w:eastAsia="Courier New"/>
                <w:sz w:val="20"/>
              </w:rPr>
              <w:t xml:space="preserve">unit/test_p100.py</w:t>
            </w:r>
          </w:p>
        </w:tc>
        <w:tc>
          <w:tcPr>
            <w:tcW w:type="dxa" w:w="650"/>
          </w:tcPr>
          <w:p>
            <w:pPr>
              <w:pStyle w:val="TableText"/>
              <w:jc w:val="left"/>
            </w:pPr>
            <w:r>
              <w:rPr>
                <w:rFonts w:ascii="Times New Roman" w:hAnsi="Times New Roman" w:cs="Times New Roman" w:eastAsia="Times New Roman"/>
                <w:sz w:val="20"/>
              </w:rPr>
              <w:t xml:space="preserve">14</w:t>
            </w:r>
          </w:p>
        </w:tc>
        <w:tc>
          <w:tcPr>
            <w:tcW w:type="dxa" w:w="4956"/>
          </w:tcPr>
          <w:p>
            <w:pPr>
              <w:pStyle w:val="TableText"/>
              <w:jc w:val="left"/>
            </w:pPr>
            <w:r>
              <w:rPr>
                <w:rFonts w:ascii="Times New Roman" w:hAnsi="Times New Roman" w:cs="Times New Roman" w:eastAsia="Times New Roman"/>
                <w:sz w:val="20"/>
              </w:rPr>
              <w:t xml:space="preserve">P100 latency recovery; neuritis later than healthy; window handling; input validation; effective-rate correction</w:t>
            </w:r>
          </w:p>
        </w:tc>
      </w:tr>
      <w:tr>
        <w:trPr>
          <w:cantSplit/>
        </w:trPr>
        <w:tc>
          <w:tcPr>
            <w:tcW w:type="dxa" w:w="2700"/>
          </w:tcPr>
          <w:p>
            <w:pPr>
              <w:pStyle w:val="TableText"/>
              <w:jc w:val="left"/>
            </w:pPr>
            <w:r>
              <w:rPr>
                <w:rFonts w:ascii="Courier New" w:hAnsi="Courier New" w:cs="Courier New" w:eastAsia="Courier New"/>
                <w:sz w:val="20"/>
              </w:rPr>
              <w:t xml:space="preserve">unit/test_utils.py</w:t>
            </w:r>
          </w:p>
        </w:tc>
        <w:tc>
          <w:tcPr>
            <w:tcW w:type="dxa" w:w="650"/>
          </w:tcPr>
          <w:p>
            <w:pPr>
              <w:pStyle w:val="TableText"/>
              <w:jc w:val="left"/>
            </w:pPr>
            <w:r>
              <w:rPr>
                <w:rFonts w:ascii="Times New Roman" w:hAnsi="Times New Roman" w:cs="Times New Roman" w:eastAsia="Times New Roman"/>
                <w:sz w:val="20"/>
              </w:rPr>
              <w:t xml:space="preserve">12</w:t>
            </w:r>
          </w:p>
        </w:tc>
        <w:tc>
          <w:tcPr>
            <w:tcW w:type="dxa" w:w="4956"/>
          </w:tcPr>
          <w:p>
            <w:pPr>
              <w:pStyle w:val="TableText"/>
              <w:jc w:val="left"/>
            </w:pPr>
            <w:r>
              <w:rPr>
                <w:rFonts w:ascii="Times New Roman" w:hAnsi="Times New Roman" w:cs="Times New Roman" w:eastAsia="Times New Roman"/>
                <w:sz w:val="20"/>
              </w:rPr>
              <w:t xml:space="preserve">Seeding; device selection; label extraction; stratified split on small cohorts</w:t>
            </w:r>
          </w:p>
        </w:tc>
      </w:tr>
      <w:tr>
        <w:trPr>
          <w:cantSplit/>
        </w:trPr>
        <w:tc>
          <w:tcPr>
            <w:tcW w:type="dxa" w:w="2700"/>
          </w:tcPr>
          <w:p>
            <w:pPr>
              <w:pStyle w:val="TableText"/>
              <w:jc w:val="left"/>
            </w:pPr>
            <w:r>
              <w:rPr>
                <w:rFonts w:ascii="Courier New" w:hAnsi="Courier New" w:cs="Courier New" w:eastAsia="Courier New"/>
                <w:sz w:val="20"/>
              </w:rPr>
              <w:t xml:space="preserve">unit/test_augment.py</w:t>
            </w:r>
          </w:p>
        </w:tc>
        <w:tc>
          <w:tcPr>
            <w:tcW w:type="dxa" w:w="650"/>
          </w:tcPr>
          <w:p>
            <w:pPr>
              <w:pStyle w:val="TableText"/>
              <w:jc w:val="left"/>
            </w:pPr>
            <w:r>
              <w:rPr>
                <w:rFonts w:ascii="Times New Roman" w:hAnsi="Times New Roman" w:cs="Times New Roman" w:eastAsia="Times New Roman"/>
                <w:sz w:val="20"/>
              </w:rPr>
              <w:t xml:space="preserve">11</w:t>
            </w:r>
          </w:p>
        </w:tc>
        <w:tc>
          <w:tcPr>
            <w:tcW w:type="dxa" w:w="4956"/>
          </w:tcPr>
          <w:p>
            <w:pPr>
              <w:pStyle w:val="TableText"/>
              <w:jc w:val="left"/>
            </w:pPr>
            <w:r>
              <w:rPr>
                <w:rFonts w:ascii="Times New Roman" w:hAnsi="Times New Roman" w:cs="Times New Roman" w:eastAsia="Times New Roman"/>
                <w:sz w:val="20"/>
              </w:rPr>
              <w:t xml:space="preserve">Flips, rotations, intensity jitter, noise, bounded VEP shift; determinism given the generator; disabled means identity</w:t>
            </w:r>
          </w:p>
        </w:tc>
      </w:tr>
      <w:tr>
        <w:trPr>
          <w:cantSplit/>
        </w:trPr>
        <w:tc>
          <w:tcPr>
            <w:tcW w:type="dxa" w:w="2700"/>
          </w:tcPr>
          <w:p>
            <w:pPr>
              <w:pStyle w:val="TableText"/>
              <w:jc w:val="left"/>
            </w:pPr>
            <w:r>
              <w:rPr>
                <w:rFonts w:ascii="Courier New" w:hAnsi="Courier New" w:cs="Courier New" w:eastAsia="Courier New"/>
                <w:sz w:val="20"/>
              </w:rPr>
              <w:t xml:space="preserve">unit/test_cohort_experiments.py</w:t>
            </w:r>
          </w:p>
        </w:tc>
        <w:tc>
          <w:tcPr>
            <w:tcW w:type="dxa" w:w="650"/>
          </w:tcPr>
          <w:p>
            <w:pPr>
              <w:pStyle w:val="TableText"/>
              <w:jc w:val="left"/>
            </w:pPr>
            <w:r>
              <w:rPr>
                <w:rFonts w:ascii="Times New Roman" w:hAnsi="Times New Roman" w:cs="Times New Roman" w:eastAsia="Times New Roman"/>
                <w:sz w:val="20"/>
              </w:rPr>
              <w:t xml:space="preserve">10</w:t>
            </w:r>
          </w:p>
        </w:tc>
        <w:tc>
          <w:tcPr>
            <w:tcW w:type="dxa" w:w="4956"/>
          </w:tcPr>
          <w:p>
            <w:pPr>
              <w:pStyle w:val="TableText"/>
              <w:jc w:val="left"/>
            </w:pPr>
            <w:r>
              <w:rPr>
                <w:rFonts w:ascii="Times New Roman" w:hAnsi="Times New Roman" w:cs="Times New Roman" w:eastAsia="Times New Roman"/>
                <w:sz w:val="20"/>
              </w:rPr>
              <w:t xml:space="preserve">Per-cohort splits; binary metrics; bootstrap interval; end-to-end pooled and leave-one-cohort-out run; resumption; out-of-memory fallback; cohort-identity probe; checkpoint selection</w:t>
            </w:r>
          </w:p>
        </w:tc>
      </w:tr>
      <w:tr>
        <w:trPr>
          <w:cantSplit/>
        </w:trPr>
        <w:tc>
          <w:tcPr>
            <w:tcW w:type="dxa" w:w="2700"/>
          </w:tcPr>
          <w:p>
            <w:pPr>
              <w:pStyle w:val="TableText"/>
              <w:jc w:val="left"/>
            </w:pPr>
            <w:r>
              <w:rPr>
                <w:rFonts w:ascii="Courier New" w:hAnsi="Courier New" w:cs="Courier New" w:eastAsia="Courier New"/>
                <w:sz w:val="20"/>
              </w:rPr>
              <w:t xml:space="preserve">unit/test_cohorts.py</w:t>
            </w:r>
          </w:p>
        </w:tc>
        <w:tc>
          <w:tcPr>
            <w:tcW w:type="dxa" w:w="650"/>
          </w:tcPr>
          <w:p>
            <w:pPr>
              <w:pStyle w:val="TableText"/>
              <w:jc w:val="left"/>
            </w:pPr>
            <w:r>
              <w:rPr>
                <w:rFonts w:ascii="Times New Roman" w:hAnsi="Times New Roman" w:cs="Times New Roman" w:eastAsia="Times New Roman"/>
                <w:sz w:val="20"/>
              </w:rPr>
              <w:t xml:space="preserve">10</w:t>
            </w:r>
          </w:p>
        </w:tc>
        <w:tc>
          <w:tcPr>
            <w:tcW w:type="dxa" w:w="4956"/>
          </w:tcPr>
          <w:p>
            <w:pPr>
              <w:pStyle w:val="TableText"/>
              <w:jc w:val="left"/>
            </w:pPr>
            <w:r>
              <w:rPr>
                <w:rFonts w:ascii="Times New Roman" w:hAnsi="Times New Roman" w:cs="Times New Roman" w:eastAsia="Times New Roman"/>
                <w:sz w:val="20"/>
              </w:rPr>
              <w:t xml:space="preserve">Log-PSD extraction; window placement; EEG channel selection; BIDS discovery; manifest round-trip; spectrum mode skips filtering</w:t>
            </w:r>
          </w:p>
        </w:tc>
      </w:tr>
      <w:tr>
        <w:trPr>
          <w:cantSplit/>
        </w:trPr>
        <w:tc>
          <w:tcPr>
            <w:tcW w:type="dxa" w:w="2700"/>
          </w:tcPr>
          <w:p>
            <w:pPr>
              <w:pStyle w:val="TableText"/>
              <w:jc w:val="left"/>
            </w:pPr>
            <w:r>
              <w:rPr>
                <w:rFonts w:ascii="Courier New" w:hAnsi="Courier New" w:cs="Courier New" w:eastAsia="Courier New"/>
                <w:sz w:val="20"/>
              </w:rPr>
              <w:t xml:space="preserve">unit/test_fusion_variants.py</w:t>
            </w:r>
          </w:p>
        </w:tc>
        <w:tc>
          <w:tcPr>
            <w:tcW w:type="dxa" w:w="650"/>
          </w:tcPr>
          <w:p>
            <w:pPr>
              <w:pStyle w:val="TableText"/>
              <w:jc w:val="left"/>
            </w:pPr>
            <w:r>
              <w:rPr>
                <w:rFonts w:ascii="Times New Roman" w:hAnsi="Times New Roman" w:cs="Times New Roman" w:eastAsia="Times New Roman"/>
                <w:sz w:val="20"/>
              </w:rPr>
              <w:t xml:space="preserve">10</w:t>
            </w:r>
          </w:p>
        </w:tc>
        <w:tc>
          <w:tcPr>
            <w:tcW w:type="dxa" w:w="4956"/>
          </w:tcPr>
          <w:p>
            <w:pPr>
              <w:pStyle w:val="TableText"/>
              <w:jc w:val="left"/>
            </w:pPr>
            <w:r>
              <w:rPr>
                <w:rFonts w:ascii="Times New Roman" w:hAnsi="Times New Roman" w:cs="Times New Roman" w:eastAsia="Times New Roman"/>
                <w:sz w:val="20"/>
              </w:rPr>
              <w:t xml:space="preserve">Every fusion mode in forward and backward passes; unimodal references ignore the other modality; generator strength 0 removes class signal</w:t>
            </w:r>
          </w:p>
        </w:tc>
      </w:tr>
      <w:tr>
        <w:trPr>
          <w:cantSplit/>
        </w:trPr>
        <w:tc>
          <w:tcPr>
            <w:tcW w:type="dxa" w:w="2700"/>
          </w:tcPr>
          <w:p>
            <w:pPr>
              <w:pStyle w:val="TableText"/>
              <w:jc w:val="left"/>
            </w:pPr>
            <w:r>
              <w:rPr>
                <w:rFonts w:ascii="Courier New" w:hAnsi="Courier New" w:cs="Courier New" w:eastAsia="Courier New"/>
                <w:sz w:val="20"/>
              </w:rPr>
              <w:t xml:space="preserve">unit/test_cross_attention.py</w:t>
            </w:r>
          </w:p>
        </w:tc>
        <w:tc>
          <w:tcPr>
            <w:tcW w:type="dxa" w:w="650"/>
          </w:tcPr>
          <w:p>
            <w:pPr>
              <w:pStyle w:val="TableText"/>
              <w:jc w:val="left"/>
            </w:pPr>
            <w:r>
              <w:rPr>
                <w:rFonts w:ascii="Times New Roman" w:hAnsi="Times New Roman" w:cs="Times New Roman" w:eastAsia="Times New Roman"/>
                <w:sz w:val="20"/>
              </w:rPr>
              <w:t xml:space="preserve">8</w:t>
            </w:r>
          </w:p>
        </w:tc>
        <w:tc>
          <w:tcPr>
            <w:tcW w:type="dxa" w:w="4956"/>
          </w:tcPr>
          <w:p>
            <w:pPr>
              <w:pStyle w:val="TableText"/>
              <w:jc w:val="left"/>
            </w:pPr>
            <w:r>
              <w:rPr>
                <w:rFonts w:ascii="Times New Roman" w:hAnsi="Times New Roman" w:cs="Times New Roman" w:eastAsia="Times New Roman"/>
                <w:sz w:val="20"/>
              </w:rPr>
              <w:t xml:space="preserve">Output and attention shapes; attention rows sum to one; mismatched query/key lengths; divisibility check; finite outputs; gradients reach all parameters</w:t>
            </w:r>
          </w:p>
        </w:tc>
      </w:tr>
      <w:tr>
        <w:trPr>
          <w:cantSplit/>
        </w:trPr>
        <w:tc>
          <w:tcPr>
            <w:tcW w:type="dxa" w:w="2700"/>
          </w:tcPr>
          <w:p>
            <w:pPr>
              <w:pStyle w:val="TableText"/>
              <w:jc w:val="left"/>
            </w:pPr>
            <w:r>
              <w:rPr>
                <w:rFonts w:ascii="Courier New" w:hAnsi="Courier New" w:cs="Courier New" w:eastAsia="Courier New"/>
                <w:sz w:val="20"/>
              </w:rPr>
              <w:t xml:space="preserve">unit/test_explainability_v2.py</w:t>
            </w:r>
          </w:p>
        </w:tc>
        <w:tc>
          <w:tcPr>
            <w:tcW w:type="dxa" w:w="650"/>
          </w:tcPr>
          <w:p>
            <w:pPr>
              <w:pStyle w:val="TableText"/>
              <w:jc w:val="left"/>
            </w:pPr>
            <w:r>
              <w:rPr>
                <w:rFonts w:ascii="Times New Roman" w:hAnsi="Times New Roman" w:cs="Times New Roman" w:eastAsia="Times New Roman"/>
                <w:sz w:val="20"/>
              </w:rPr>
              <w:t xml:space="preserve">8</w:t>
            </w:r>
          </w:p>
        </w:tc>
        <w:tc>
          <w:tcPr>
            <w:tcW w:type="dxa" w:w="4956"/>
          </w:tcPr>
          <w:p>
            <w:pPr>
              <w:pStyle w:val="TableText"/>
              <w:jc w:val="left"/>
            </w:pPr>
            <w:r>
              <w:rPr>
                <w:rFonts w:ascii="Times New Roman" w:hAnsi="Times New Roman" w:cs="Times New Roman" w:eastAsia="Times New Roman"/>
                <w:sz w:val="20"/>
              </w:rPr>
              <w:t xml:space="preserve">Grad-CAM++ shapes and differences from Grad-CAM; direction-aware attention heatmaps; per-head plots</w:t>
            </w:r>
          </w:p>
        </w:tc>
      </w:tr>
      <w:tr>
        <w:trPr>
          <w:cantSplit/>
        </w:trPr>
        <w:tc>
          <w:tcPr>
            <w:tcW w:type="dxa" w:w="2700"/>
          </w:tcPr>
          <w:p>
            <w:pPr>
              <w:pStyle w:val="TableText"/>
              <w:jc w:val="left"/>
            </w:pPr>
            <w:r>
              <w:rPr>
                <w:rFonts w:ascii="Courier New" w:hAnsi="Courier New" w:cs="Courier New" w:eastAsia="Courier New"/>
                <w:sz w:val="20"/>
              </w:rPr>
              <w:t xml:space="preserve">unit/test_grad_cam_3d.py</w:t>
            </w:r>
          </w:p>
        </w:tc>
        <w:tc>
          <w:tcPr>
            <w:tcW w:type="dxa" w:w="650"/>
          </w:tcPr>
          <w:p>
            <w:pPr>
              <w:pStyle w:val="TableText"/>
              <w:jc w:val="left"/>
            </w:pPr>
            <w:r>
              <w:rPr>
                <w:rFonts w:ascii="Times New Roman" w:hAnsi="Times New Roman" w:cs="Times New Roman" w:eastAsia="Times New Roman"/>
                <w:sz w:val="20"/>
              </w:rPr>
              <w:t xml:space="preserve">8</w:t>
            </w:r>
          </w:p>
        </w:tc>
        <w:tc>
          <w:tcPr>
            <w:tcW w:type="dxa" w:w="4956"/>
          </w:tcPr>
          <w:p>
            <w:pPr>
              <w:pStyle w:val="TableText"/>
              <w:jc w:val="left"/>
            </w:pPr>
            <w:r>
              <w:rPr>
                <w:rFonts w:ascii="Times New Roman" w:hAnsi="Times New Roman" w:cs="Times New Roman" w:eastAsia="Times New Roman"/>
                <w:sz w:val="20"/>
              </w:rPr>
              <w:t xml:space="preserve">Map shape and [0, 1] range; explicit target class respected; hooks removed; training mode restored; PNG written</w:t>
            </w:r>
          </w:p>
        </w:tc>
      </w:tr>
      <w:tr>
        <w:trPr>
          <w:cantSplit/>
        </w:trPr>
        <w:tc>
          <w:tcPr>
            <w:tcW w:type="dxa" w:w="2700"/>
          </w:tcPr>
          <w:p>
            <w:pPr>
              <w:pStyle w:val="TableText"/>
              <w:jc w:val="left"/>
            </w:pPr>
            <w:r>
              <w:rPr>
                <w:rFonts w:ascii="Courier New" w:hAnsi="Courier New" w:cs="Courier New" w:eastAsia="Courier New"/>
                <w:sz w:val="20"/>
              </w:rPr>
              <w:t xml:space="preserve">unit/test_pooling.py</w:t>
            </w:r>
          </w:p>
        </w:tc>
        <w:tc>
          <w:tcPr>
            <w:tcW w:type="dxa" w:w="650"/>
          </w:tcPr>
          <w:p>
            <w:pPr>
              <w:pStyle w:val="TableText"/>
              <w:jc w:val="left"/>
            </w:pPr>
            <w:r>
              <w:rPr>
                <w:rFonts w:ascii="Times New Roman" w:hAnsi="Times New Roman" w:cs="Times New Roman" w:eastAsia="Times New Roman"/>
                <w:sz w:val="20"/>
              </w:rPr>
              <w:t xml:space="preserve">8</w:t>
            </w:r>
          </w:p>
        </w:tc>
        <w:tc>
          <w:tcPr>
            <w:tcW w:type="dxa" w:w="4956"/>
          </w:tcPr>
          <w:p>
            <w:pPr>
              <w:pStyle w:val="TableText"/>
              <w:jc w:val="left"/>
            </w:pPr>
            <w:r>
              <w:rPr>
                <w:rFonts w:ascii="Times New Roman" w:hAnsi="Times New Roman" w:cs="Times New Roman" w:eastAsia="Times New Roman"/>
                <w:sz w:val="20"/>
              </w:rPr>
              <w:t xml:space="preserve">Deterministic pooling equals PyTorch's pooling in forward and backward passes; backward is bitwise repeatable</w:t>
            </w:r>
          </w:p>
        </w:tc>
      </w:tr>
      <w:tr>
        <w:trPr>
          <w:cantSplit/>
        </w:trPr>
        <w:tc>
          <w:tcPr>
            <w:tcW w:type="dxa" w:w="2700"/>
          </w:tcPr>
          <w:p>
            <w:pPr>
              <w:pStyle w:val="TableText"/>
              <w:jc w:val="left"/>
            </w:pPr>
            <w:r>
              <w:rPr>
                <w:rFonts w:ascii="Courier New" w:hAnsi="Courier New" w:cs="Courier New" w:eastAsia="Courier New"/>
                <w:sz w:val="20"/>
              </w:rPr>
              <w:t xml:space="preserve">unit/test_cafn_model.py</w:t>
            </w:r>
          </w:p>
        </w:tc>
        <w:tc>
          <w:tcPr>
            <w:tcW w:type="dxa" w:w="650"/>
          </w:tcPr>
          <w:p>
            <w:pPr>
              <w:pStyle w:val="TableText"/>
              <w:jc w:val="left"/>
            </w:pPr>
            <w:r>
              <w:rPr>
                <w:rFonts w:ascii="Times New Roman" w:hAnsi="Times New Roman" w:cs="Times New Roman" w:eastAsia="Times New Roman"/>
                <w:sz w:val="20"/>
              </w:rPr>
              <w:t xml:space="preserve">7</w:t>
            </w:r>
          </w:p>
        </w:tc>
        <w:tc>
          <w:tcPr>
            <w:tcW w:type="dxa" w:w="4956"/>
          </w:tcPr>
          <w:p>
            <w:pPr>
              <w:pStyle w:val="TableText"/>
              <w:jc w:val="left"/>
            </w:pPr>
            <w:r>
              <w:rPr>
                <w:rFonts w:ascii="Times New Roman" w:hAnsi="Times New Roman" w:cs="Times New Roman" w:eastAsia="Times New Roman"/>
                <w:sz w:val="20"/>
              </w:rPr>
              <w:t xml:space="preserve">Output keys and shapes; batch size one; finite logits; loss equals the weighted sum of parts; backward reaches every parameter</w:t>
            </w:r>
          </w:p>
        </w:tc>
      </w:tr>
      <w:tr>
        <w:trPr>
          <w:cantSplit/>
        </w:trPr>
        <w:tc>
          <w:tcPr>
            <w:tcW w:type="dxa" w:w="2700"/>
          </w:tcPr>
          <w:p>
            <w:pPr>
              <w:pStyle w:val="TableText"/>
              <w:jc w:val="left"/>
            </w:pPr>
            <w:r>
              <w:rPr>
                <w:rFonts w:ascii="Courier New" w:hAnsi="Courier New" w:cs="Courier New" w:eastAsia="Courier New"/>
                <w:sz w:val="20"/>
              </w:rPr>
              <w:t xml:space="preserve">unit/test_dataset.py</w:t>
            </w:r>
          </w:p>
        </w:tc>
        <w:tc>
          <w:tcPr>
            <w:tcW w:type="dxa" w:w="650"/>
          </w:tcPr>
          <w:p>
            <w:pPr>
              <w:pStyle w:val="TableText"/>
              <w:jc w:val="left"/>
            </w:pPr>
            <w:r>
              <w:rPr>
                <w:rFonts w:ascii="Times New Roman" w:hAnsi="Times New Roman" w:cs="Times New Roman" w:eastAsia="Times New Roman"/>
                <w:sz w:val="20"/>
              </w:rPr>
              <w:t xml:space="preserve">7</w:t>
            </w:r>
          </w:p>
        </w:tc>
        <w:tc>
          <w:tcPr>
            <w:tcW w:type="dxa" w:w="4956"/>
          </w:tcPr>
          <w:p>
            <w:pPr>
              <w:pStyle w:val="TableText"/>
              <w:jc w:val="left"/>
            </w:pPr>
            <w:r>
              <w:rPr>
                <w:rFonts w:ascii="Times New Roman" w:hAnsi="Times New Roman" w:cs="Times New Roman" w:eastAsia="Times New Roman"/>
                <w:sz w:val="20"/>
              </w:rPr>
              <w:t xml:space="preserve">Item shapes and types; length; balanced labels; data-loader batching; seed dependence; manifest reading</w:t>
            </w:r>
          </w:p>
        </w:tc>
      </w:tr>
      <w:tr>
        <w:trPr>
          <w:cantSplit/>
        </w:trPr>
        <w:tc>
          <w:tcPr>
            <w:tcW w:type="dxa" w:w="2700"/>
          </w:tcPr>
          <w:p>
            <w:pPr>
              <w:pStyle w:val="TableText"/>
              <w:jc w:val="left"/>
            </w:pPr>
            <w:r>
              <w:rPr>
                <w:rFonts w:ascii="Courier New" w:hAnsi="Courier New" w:cs="Courier New" w:eastAsia="Courier New"/>
                <w:sz w:val="20"/>
              </w:rPr>
              <w:t xml:space="preserve">unit/test_cli_v2.py</w:t>
            </w:r>
          </w:p>
        </w:tc>
        <w:tc>
          <w:tcPr>
            <w:tcW w:type="dxa" w:w="650"/>
          </w:tcPr>
          <w:p>
            <w:pPr>
              <w:pStyle w:val="TableText"/>
              <w:jc w:val="left"/>
            </w:pPr>
            <w:r>
              <w:rPr>
                <w:rFonts w:ascii="Times New Roman" w:hAnsi="Times New Roman" w:cs="Times New Roman" w:eastAsia="Times New Roman"/>
                <w:sz w:val="20"/>
              </w:rPr>
              <w:t xml:space="preserve">6</w:t>
            </w:r>
          </w:p>
        </w:tc>
        <w:tc>
          <w:tcPr>
            <w:tcW w:type="dxa" w:w="4956"/>
          </w:tcPr>
          <w:p>
            <w:pPr>
              <w:pStyle w:val="TableText"/>
              <w:jc w:val="left"/>
            </w:pPr>
            <w:r>
              <w:rPr>
                <w:rFonts w:ascii="Times New Roman" w:hAnsi="Times New Roman" w:cs="Times New Roman" w:eastAsia="Times New Roman"/>
                <w:sz w:val="20"/>
              </w:rPr>
              <w:t xml:space="preserve">Command line: held-out test split with report and plots; evaluation of a saved checkpoint; manifest mode; failure isolation</w:t>
            </w:r>
          </w:p>
        </w:tc>
      </w:tr>
      <w:tr>
        <w:trPr>
          <w:cantSplit/>
        </w:trPr>
        <w:tc>
          <w:tcPr>
            <w:tcW w:type="dxa" w:w="2700"/>
          </w:tcPr>
          <w:p>
            <w:pPr>
              <w:pStyle w:val="TableText"/>
              <w:jc w:val="left"/>
            </w:pPr>
            <w:r>
              <w:rPr>
                <w:rFonts w:ascii="Courier New" w:hAnsi="Courier New" w:cs="Courier New" w:eastAsia="Courier New"/>
                <w:sz w:val="20"/>
              </w:rPr>
              <w:t xml:space="preserve">unit/test_plot_attention.py</w:t>
            </w:r>
          </w:p>
        </w:tc>
        <w:tc>
          <w:tcPr>
            <w:tcW w:type="dxa" w:w="650"/>
          </w:tcPr>
          <w:p>
            <w:pPr>
              <w:pStyle w:val="TableText"/>
              <w:jc w:val="left"/>
            </w:pPr>
            <w:r>
              <w:rPr>
                <w:rFonts w:ascii="Times New Roman" w:hAnsi="Times New Roman" w:cs="Times New Roman" w:eastAsia="Times New Roman"/>
                <w:sz w:val="20"/>
              </w:rPr>
              <w:t xml:space="preserve">5</w:t>
            </w:r>
          </w:p>
        </w:tc>
        <w:tc>
          <w:tcPr>
            <w:tcW w:type="dxa" w:w="4956"/>
          </w:tcPr>
          <w:p>
            <w:pPr>
              <w:pStyle w:val="TableText"/>
              <w:jc w:val="left"/>
            </w:pPr>
            <w:r>
              <w:rPr>
                <w:rFonts w:ascii="Times New Roman" w:hAnsi="Times New Roman" w:cs="Times New Roman" w:eastAsia="Times New Roman"/>
                <w:sz w:val="20"/>
              </w:rPr>
              <w:t xml:space="preserve">Reduction over batch and heads; non-negative values; PNG written; matches manual reduction</w:t>
            </w:r>
          </w:p>
        </w:tc>
      </w:tr>
      <w:tr>
        <w:trPr>
          <w:cantSplit/>
        </w:trPr>
        <w:tc>
          <w:tcPr>
            <w:tcW w:type="dxa" w:w="2700"/>
          </w:tcPr>
          <w:p>
            <w:pPr>
              <w:pStyle w:val="TableText"/>
              <w:jc w:val="left"/>
            </w:pPr>
            <w:r>
              <w:rPr>
                <w:rFonts w:ascii="Courier New" w:hAnsi="Courier New" w:cs="Courier New" w:eastAsia="Courier New"/>
                <w:sz w:val="20"/>
              </w:rPr>
              <w:t xml:space="preserve">unit/test_spatial_encoder.py</w:t>
            </w:r>
          </w:p>
        </w:tc>
        <w:tc>
          <w:tcPr>
            <w:tcW w:type="dxa" w:w="650"/>
          </w:tcPr>
          <w:p>
            <w:pPr>
              <w:pStyle w:val="TableText"/>
              <w:jc w:val="left"/>
            </w:pPr>
            <w:r>
              <w:rPr>
                <w:rFonts w:ascii="Times New Roman" w:hAnsi="Times New Roman" w:cs="Times New Roman" w:eastAsia="Times New Roman"/>
                <w:sz w:val="20"/>
              </w:rPr>
              <w:t xml:space="preserve">5</w:t>
            </w:r>
          </w:p>
        </w:tc>
        <w:tc>
          <w:tcPr>
            <w:tcW w:type="dxa" w:w="4956"/>
          </w:tcPr>
          <w:p>
            <w:pPr>
              <w:pStyle w:val="TableText"/>
              <w:jc w:val="left"/>
            </w:pPr>
            <w:r>
              <w:rPr>
                <w:rFonts w:ascii="Times New Roman" w:hAnsi="Times New Roman" w:cs="Times New Roman" w:eastAsia="Times New Roman"/>
                <w:sz w:val="20"/>
              </w:rPr>
              <w:t xml:space="preserve">Output shape; batch size one; gradient flow; hook target participates; eval-mode determinism</w:t>
            </w:r>
          </w:p>
        </w:tc>
      </w:tr>
      <w:tr>
        <w:trPr>
          <w:cantSplit/>
        </w:trPr>
        <w:tc>
          <w:tcPr>
            <w:tcW w:type="dxa" w:w="2700"/>
          </w:tcPr>
          <w:p>
            <w:pPr>
              <w:pStyle w:val="TableText"/>
              <w:jc w:val="left"/>
            </w:pPr>
            <w:r>
              <w:rPr>
                <w:rFonts w:ascii="Courier New" w:hAnsi="Courier New" w:cs="Courier New" w:eastAsia="Courier New"/>
                <w:sz w:val="20"/>
              </w:rPr>
              <w:t xml:space="preserve">unit/test_temporal_encoder.py</w:t>
            </w:r>
          </w:p>
        </w:tc>
        <w:tc>
          <w:tcPr>
            <w:tcW w:type="dxa" w:w="650"/>
          </w:tcPr>
          <w:p>
            <w:pPr>
              <w:pStyle w:val="TableText"/>
              <w:jc w:val="left"/>
            </w:pPr>
            <w:r>
              <w:rPr>
                <w:rFonts w:ascii="Times New Roman" w:hAnsi="Times New Roman" w:cs="Times New Roman" w:eastAsia="Times New Roman"/>
                <w:sz w:val="20"/>
              </w:rPr>
              <w:t xml:space="preserve">4</w:t>
            </w:r>
          </w:p>
        </w:tc>
        <w:tc>
          <w:tcPr>
            <w:tcW w:type="dxa" w:w="4956"/>
          </w:tcPr>
          <w:p>
            <w:pPr>
              <w:pStyle w:val="TableText"/>
              <w:jc w:val="left"/>
            </w:pPr>
            <w:r>
              <w:rPr>
                <w:rFonts w:ascii="Times New Roman" w:hAnsi="Times New Roman" w:cs="Times New Roman" w:eastAsia="Times New Roman"/>
                <w:sz w:val="20"/>
              </w:rPr>
              <w:t xml:space="preserve">Output shape; batch size one; gradient flow; robustness to input length</w:t>
            </w:r>
          </w:p>
        </w:tc>
      </w:tr>
      <w:tr>
        <w:trPr>
          <w:cantSplit/>
        </w:trPr>
        <w:tc>
          <w:tcPr>
            <w:tcW w:type="dxa" w:w="2700"/>
          </w:tcPr>
          <w:p>
            <w:pPr>
              <w:pStyle w:val="TableText"/>
              <w:jc w:val="left"/>
            </w:pPr>
            <w:r>
              <w:rPr>
                <w:rFonts w:ascii="Courier New" w:hAnsi="Courier New" w:cs="Courier New" w:eastAsia="Courier New"/>
                <w:sz w:val="20"/>
              </w:rPr>
              <w:t xml:space="preserve">unit/test_train_utils.py</w:t>
            </w:r>
          </w:p>
        </w:tc>
        <w:tc>
          <w:tcPr>
            <w:tcW w:type="dxa" w:w="650"/>
          </w:tcPr>
          <w:p>
            <w:pPr>
              <w:pStyle w:val="TableText"/>
              <w:jc w:val="left"/>
            </w:pPr>
            <w:r>
              <w:rPr>
                <w:rFonts w:ascii="Times New Roman" w:hAnsi="Times New Roman" w:cs="Times New Roman" w:eastAsia="Times New Roman"/>
                <w:sz w:val="20"/>
              </w:rPr>
              <w:t xml:space="preserve">4</w:t>
            </w:r>
          </w:p>
        </w:tc>
        <w:tc>
          <w:tcPr>
            <w:tcW w:type="dxa" w:w="4956"/>
          </w:tcPr>
          <w:p>
            <w:pPr>
              <w:pStyle w:val="TableText"/>
              <w:jc w:val="left"/>
            </w:pPr>
            <w:r>
              <w:rPr>
                <w:rFonts w:ascii="Times New Roman" w:hAnsi="Times New Roman" w:cs="Times New Roman" w:eastAsia="Times New Roman"/>
                <w:sz w:val="20"/>
              </w:rPr>
              <w:t xml:space="preserve">Split partitions the dataset; single-sample fallback; determinism for a fixed seed; empty loader</w:t>
            </w:r>
          </w:p>
        </w:tc>
      </w:tr>
      <w:tr>
        <w:trPr>
          <w:cantSplit/>
        </w:trPr>
        <w:tc>
          <w:tcPr>
            <w:tcW w:type="dxa" w:w="2700"/>
          </w:tcPr>
          <w:p>
            <w:pPr>
              <w:pStyle w:val="TableText"/>
              <w:jc w:val="left"/>
            </w:pPr>
            <w:r>
              <w:rPr>
                <w:rFonts w:ascii="Courier New" w:hAnsi="Courier New" w:cs="Courier New" w:eastAsia="Courier New"/>
                <w:sz w:val="20"/>
              </w:rPr>
              <w:t xml:space="preserve">integration/test_train_upgrade.py</w:t>
            </w:r>
          </w:p>
        </w:tc>
        <w:tc>
          <w:tcPr>
            <w:tcW w:type="dxa" w:w="650"/>
          </w:tcPr>
          <w:p>
            <w:pPr>
              <w:pStyle w:val="TableText"/>
              <w:jc w:val="left"/>
            </w:pPr>
            <w:r>
              <w:rPr>
                <w:rFonts w:ascii="Times New Roman" w:hAnsi="Times New Roman" w:cs="Times New Roman" w:eastAsia="Times New Roman"/>
                <w:sz w:val="20"/>
              </w:rPr>
              <w:t xml:space="preserve">21</w:t>
            </w:r>
          </w:p>
        </w:tc>
        <w:tc>
          <w:tcPr>
            <w:tcW w:type="dxa" w:w="4956"/>
          </w:tcPr>
          <w:p>
            <w:pPr>
              <w:pStyle w:val="TableText"/>
              <w:jc w:val="left"/>
            </w:pPr>
            <w:r>
              <w:rPr>
                <w:rFonts w:ascii="Times New Roman" w:hAnsi="Times New Roman" w:cs="Times New Roman" w:eastAsia="Times New Roman"/>
                <w:sz w:val="20"/>
              </w:rPr>
              <w:t xml:space="preserve">Rich metrics; class weighting; augmentation views; scheduler; caching; early stopping; resume; checkpoint round-trip; prediction CLI</w:t>
            </w:r>
          </w:p>
        </w:tc>
      </w:tr>
      <w:tr>
        <w:trPr>
          <w:cantSplit/>
        </w:trPr>
        <w:tc>
          <w:tcPr>
            <w:tcW w:type="dxa" w:w="2700"/>
          </w:tcPr>
          <w:p>
            <w:pPr>
              <w:pStyle w:val="TableText"/>
              <w:jc w:val="left"/>
            </w:pPr>
            <w:r>
              <w:rPr>
                <w:rFonts w:ascii="Courier New" w:hAnsi="Courier New" w:cs="Courier New" w:eastAsia="Courier New"/>
                <w:sz w:val="20"/>
              </w:rPr>
              <w:t xml:space="preserve">integration/test_pipeline_end_to_end.py</w:t>
            </w:r>
          </w:p>
        </w:tc>
        <w:tc>
          <w:tcPr>
            <w:tcW w:type="dxa" w:w="650"/>
          </w:tcPr>
          <w:p>
            <w:pPr>
              <w:pStyle w:val="TableText"/>
              <w:jc w:val="left"/>
            </w:pPr>
            <w:r>
              <w:rPr>
                <w:rFonts w:ascii="Times New Roman" w:hAnsi="Times New Roman" w:cs="Times New Roman" w:eastAsia="Times New Roman"/>
                <w:sz w:val="20"/>
              </w:rPr>
              <w:t xml:space="preserve">5</w:t>
            </w:r>
          </w:p>
        </w:tc>
        <w:tc>
          <w:tcPr>
            <w:tcW w:type="dxa" w:w="4956"/>
          </w:tcPr>
          <w:p>
            <w:pPr>
              <w:pStyle w:val="TableText"/>
              <w:jc w:val="left"/>
            </w:pPr>
            <w:r>
              <w:rPr>
                <w:rFonts w:ascii="Times New Roman" w:hAnsi="Times New Roman" w:cs="Times New Roman" w:eastAsia="Times New Roman"/>
                <w:sz w:val="20"/>
              </w:rPr>
              <w:t xml:space="preserve">Raw files → preprocessing → model → loss → backward → optimiser step; shape compatibility; Grad-CAM and attention plots; command-line entry point; glaucoma and neuritis VEP peaks distinguishable</w:t>
            </w:r>
          </w:p>
        </w:tc>
      </w:tr>
      <w:tr>
        <w:trPr>
          <w:cantSplit/>
        </w:trPr>
        <w:tc>
          <w:tcPr>
            <w:tcW w:type="dxa" w:w="2700"/>
          </w:tcPr>
          <w:p>
            <w:pPr>
              <w:pStyle w:val="TableText"/>
              <w:jc w:val="left"/>
            </w:pPr>
            <w:r>
              <w:rPr>
                <w:rFonts w:ascii="Courier New" w:hAnsi="Courier New" w:cs="Courier New" w:eastAsia="Courier New"/>
                <w:sz w:val="20"/>
              </w:rPr>
              <w:t xml:space="preserve">integration/test_training_loop.py</w:t>
            </w:r>
          </w:p>
        </w:tc>
        <w:tc>
          <w:tcPr>
            <w:tcW w:type="dxa" w:w="650"/>
          </w:tcPr>
          <w:p>
            <w:pPr>
              <w:pStyle w:val="TableText"/>
              <w:jc w:val="left"/>
            </w:pPr>
            <w:r>
              <w:rPr>
                <w:rFonts w:ascii="Times New Roman" w:hAnsi="Times New Roman" w:cs="Times New Roman" w:eastAsia="Times New Roman"/>
                <w:sz w:val="20"/>
              </w:rPr>
              <w:t xml:space="preserve">4</w:t>
            </w:r>
          </w:p>
        </w:tc>
        <w:tc>
          <w:tcPr>
            <w:tcW w:type="dxa" w:w="4956"/>
          </w:tcPr>
          <w:p>
            <w:pPr>
              <w:pStyle w:val="TableText"/>
              <w:jc w:val="left"/>
            </w:pPr>
            <w:r>
              <w:rPr>
                <w:rFonts w:ascii="Times New Roman" w:hAnsi="Times New Roman" w:cs="Times New Roman" w:eastAsia="Times New Roman"/>
                <w:sz w:val="20"/>
              </w:rPr>
              <w:t xml:space="preserve">Training loss falls substantially; separation of synthetic classes above a minimum validation accuracy; training without a validation set; checkpoint round-trip</w:t>
            </w:r>
          </w:p>
        </w:tc>
      </w:tr>
    </w:tbl>
    <w:p>
      <w:pPr>
        <w:spacing w:after="80" w:line="240" w:lineRule="auto"/>
      </w:pPr>
    </w:p>
    <w:p>
      <w:pPr>
        <w:pStyle w:val="BodyJ"/>
      </w:pPr>
      <w:r>
        <w:rPr>
          <w:rFonts w:ascii="Times New Roman" w:hAnsi="Times New Roman" w:cs="Times New Roman" w:eastAsia="Times New Roman"/>
          <w:b/>
        </w:rPr>
        <w:t xml:space="preserve">Verification on two platforms.</w:t>
      </w:r>
      <w:r>
        <w:rPr>
          <w:rFonts w:ascii="Times New Roman" w:hAnsi="Times New Roman" w:cs="Times New Roman" w:eastAsia="Times New Roman"/>
        </w:rPr>
        <w:t xml:space="preserve"> All 340 tests pass on macOS (Python 3.14) and on Ubuntu 22.04 under WSL2 (Python 3.12, CUDA), where one test is skipped. Running on the second platform exposed three latent defects that the first platform had masked: a type annotation in </w:t>
      </w:r>
      <w:r>
        <w:rPr>
          <w:rFonts w:ascii="Courier New" w:hAnsi="Courier New" w:cs="Courier New" w:eastAsia="Courier New"/>
        </w:rPr>
        <w:t xml:space="preserve">utils.py</w:t>
      </w:r>
      <w:r>
        <w:rPr>
          <w:rFonts w:ascii="Times New Roman" w:hAnsi="Times New Roman" w:cs="Times New Roman" w:eastAsia="Times New Roman"/>
        </w:rPr>
        <w:t xml:space="preserve"> that raised a </w:t>
      </w:r>
      <w:r>
        <w:rPr>
          <w:rFonts w:ascii="Courier New" w:hAnsi="Courier New" w:cs="Courier New" w:eastAsia="Courier New"/>
        </w:rPr>
        <w:t xml:space="preserve">NameError</w:t>
      </w:r>
      <w:r>
        <w:rPr>
          <w:rFonts w:ascii="Times New Roman" w:hAnsi="Times New Roman" w:cs="Times New Roman" w:eastAsia="Times New Roman"/>
        </w:rPr>
        <w:t xml:space="preserve"> on Python 3.13 and earlier, a device mismatch in the evaluation-only path (</w:t>
      </w:r>
      <w:r>
        <w:rPr>
          <w:rFonts w:ascii="Courier New" w:hAnsi="Courier New" w:cs="Courier New" w:eastAsia="Courier New"/>
        </w:rPr>
        <w:t xml:space="preserve">--eval-only</w:t>
      </w:r>
      <w:r>
        <w:rPr>
          <w:rFonts w:ascii="Times New Roman" w:hAnsi="Times New Roman" w:cs="Times New Roman" w:eastAsia="Times New Roman"/>
        </w:rPr>
        <w:t xml:space="preserve">) on CUDA, and a unit test whose assertion was mathematically vacuous. All three were fixed. The two real-file readers (CTF MEG and EDF polysomnography) were also checked on real recordings.</w:t>
      </w:r>
    </w:p>
    <w:p>
      <w:pPr>
        <w:pStyle w:val="Heading1"/>
      </w:pPr>
      <w:r>
        <w:rPr>
          <w:rFonts w:ascii="Times New Roman" w:hAnsi="Times New Roman" w:cs="Times New Roman" w:eastAsia="Times New Roman"/>
          <w:b/>
          <w:sz w:val="24"/>
        </w:rPr>
        <w:t>CHAPTER 5</w:t>
        <w:br/>
      </w:r>
      <w:r>
        <w:rPr>
          <w:rFonts w:ascii="Times New Roman" w:hAnsi="Times New Roman" w:cs="Times New Roman" w:eastAsia="Times New Roman"/>
          <w:b/>
          <w:sz w:val="32"/>
        </w:rPr>
        <w:t>RESULTS</w:t>
      </w:r>
    </w:p>
    <w:p>
      <w:pPr>
        <w:pStyle w:val="Heading2"/>
      </w:pPr>
      <w:r>
        <w:rPr>
          <w:rFonts w:ascii="Times New Roman" w:hAnsi="Times New Roman" w:cs="Times New Roman" w:eastAsia="Times New Roman"/>
          <w:b/>
          <w:sz w:val="28"/>
        </w:rPr>
        <w:t>5.1  INTRODUCTION</w:t>
      </w:r>
    </w:p>
    <w:p>
      <w:pPr>
        <w:pStyle w:val="BodyJ"/>
      </w:pPr>
      <w:r>
        <w:rPr>
          <w:rFonts w:ascii="Times New Roman" w:hAnsi="Times New Roman" w:cs="Times New Roman" w:eastAsia="Times New Roman"/>
        </w:rPr>
        <w:t xml:space="preserve">This chapter presents the measurements obtained for the project. Following the evaluation strategy of Section 3.9, the results concern (i) the behaviour of the signal-conditioning pipeline, (ii) the properties of the synthetic data, (iii) the size and computational cost of the model, (iv) the results of the automated verification (test suite), and (v) the experiments with trained models: the controlled synthetic benchmark of Study A (Sections 5.9 and 5.10) and the real-cohort experiments of Study B (Sections 5.11 and 5.12). They are presented without interpretation; the interpretation follows in Chapter 6.</w:t>
      </w:r>
    </w:p>
    <w:p>
      <w:pPr>
        <w:pStyle w:val="BodyJ"/>
      </w:pPr>
      <w:r>
        <w:rPr>
          <w:rFonts w:ascii="Times New Roman" w:hAnsi="Times New Roman" w:cs="Times New Roman" w:eastAsia="Times New Roman"/>
        </w:rPr>
        <w:t xml:space="preserve">Every result is labelled as synthetic or real-cohort. Synthetic results come from a controlled benchmark and are not clinical performance; real-cohort results come from public cohorts that are not eye-disease data (Section 3.4.2) and are reported as found. The measurements of Sections 5.2 and 5.3 were produced by running the project's own functions on seeded synthetic data from the original generator (Section 3.5; 50 trials per class, 150 in total; sampling rate 250 Hz; 500 samples per record). Section 5.4 reports the model size of the final design and Section 5.6 the test results; the coverage figure there belongs to the original code base. Training and evaluation of the model were carried out after the first prototype, and their results are reported in Sections 5.9 to 5.12. No clinical or diagnostic accuracy is claimed anywhere in this report.</w:t>
      </w:r>
    </w:p>
    <w:p>
      <w:pPr>
        <w:pStyle w:val="Heading2"/>
      </w:pPr>
      <w:r>
        <w:rPr>
          <w:rFonts w:ascii="Times New Roman" w:hAnsi="Times New Roman" w:cs="Times New Roman" w:eastAsia="Times New Roman"/>
          <w:b/>
          <w:sz w:val="28"/>
        </w:rPr>
        <w:t>5.2  SIGNAL CONDITIONING RESULTS</w:t>
      </w:r>
    </w:p>
    <w:p>
      <w:pPr>
        <w:pStyle w:val="BodyJ"/>
      </w:pPr>
      <w:r>
        <w:rPr>
          <w:rFonts w:ascii="Times New Roman" w:hAnsi="Times New Roman" w:cs="Times New Roman" w:eastAsia="Times New Roman"/>
        </w:rPr>
        <w:t>Generator used in Sections 5.2 and 5.3: all measurements below were made on the original synthetic generator (Sections 3.5.1 to 3.5.3; P100 latencies 100, 108 and 140 ms; block-shaped lesions), not on the current generator of Section 3.5.4.</w:t>
      </w:r>
    </w:p>
    <w:p>
      <w:pPr>
        <w:pStyle w:val="Heading3"/>
      </w:pPr>
      <w:r>
        <w:rPr>
          <w:rFonts w:ascii="Times New Roman" w:hAnsi="Times New Roman" w:cs="Times New Roman" w:eastAsia="Times New Roman"/>
          <w:b/>
          <w:sz w:val="24"/>
        </w:rPr>
        <w:t>5.2.1  FREQUENCY RESPONSE</w:t>
      </w:r>
    </w:p>
    <w:p>
      <w:pPr>
        <w:pStyle w:val="BodyJ"/>
      </w:pPr>
      <w:r>
        <w:rPr>
          <w:rFonts w:ascii="Times New Roman" w:hAnsi="Times New Roman" w:cs="Times New Roman" w:eastAsia="Times New Roman"/>
        </w:rPr>
        <w:t>The combined frequency response of the zero-phase conditioning filters (fourth-order Butterworth band-pass, 1–100 Hz, followed by a 50 Hz notch with Q = 30, each applied forward and backward) is shown in Figure 5.1 and sampled at selected frequencies in Table 5.1. The −6 dB bandwidth of the notch (the −3 dB point of a single pass) extends from 49.18 to 50.83 Hz.</w:t>
      </w:r>
    </w:p>
    <w:p>
      <w:pPr>
        <w:keepNext/>
        <w:spacing w:before="120" w:after="40" w:line="240" w:lineRule="auto"/>
        <w:jc w:val="center"/>
      </w:pPr>
      <w:r>
        <w:drawing>
          <wp:inline xmlns:a="http://schemas.openxmlformats.org/drawingml/2006/main" xmlns:pic="http://schemas.openxmlformats.org/drawingml/2006/picture">
            <wp:extent cx="4500000" cy="2340434"/>
            <wp:docPr id="29" name="Picture 29"/>
            <wp:cNvGraphicFramePr>
              <a:graphicFrameLocks noChangeAspect="1"/>
            </wp:cNvGraphicFramePr>
            <a:graphic>
              <a:graphicData uri="http://schemas.openxmlformats.org/drawingml/2006/picture">
                <pic:pic>
                  <pic:nvPicPr>
                    <pic:cNvPr id="0" name="fig_filter_response.png"/>
                    <pic:cNvPicPr/>
                  </pic:nvPicPr>
                  <pic:blipFill>
                    <a:blip r:embed="rId37"/>
                    <a:stretch>
                      <a:fillRect/>
                    </a:stretch>
                  </pic:blipFill>
                  <pic:spPr>
                    <a:xfrm>
                      <a:off x="0" y="0"/>
                      <a:ext cx="4500000" cy="2340434"/>
                    </a:xfrm>
                    <a:prstGeom prst="rect"/>
                  </pic:spPr>
                </pic:pic>
              </a:graphicData>
            </a:graphic>
          </wp:inline>
        </w:drawing>
      </w:r>
    </w:p>
    <w:p>
      <w:pPr>
        <w:pStyle w:val="Caption"/>
      </w:pPr>
      <w:bookmarkStart w:id="1034" w:name="_Ref_Figure_5_1"/>
      <w:r>
        <w:rPr>
          <w:rFonts w:ascii="Times New Roman" w:hAnsi="Times New Roman" w:cs="Times New Roman" w:eastAsia="Times New Roman"/>
          <w:b/>
          <w:sz w:val="22"/>
        </w:rPr>
        <w:t xml:space="preserve">Figure 5.1: </w:t>
      </w:r>
      <w:r>
        <w:rPr>
          <w:rFonts w:ascii="Times New Roman" w:hAnsi="Times New Roman" w:cs="Times New Roman" w:eastAsia="Times New Roman"/>
          <w:sz w:val="22"/>
        </w:rPr>
        <w:t>Magnitude response of the conditioning filters in the effective (forward-backward) form.</w:t>
      </w:r>
      <w:bookmarkEnd w:id="1034"/>
    </w:p>
    <w:p>
      <w:pPr>
        <w:pStyle w:val="Caption"/>
        <w:keepNext/>
        <w:spacing w:before="160" w:after="80"/>
      </w:pPr>
      <w:bookmarkStart w:id="1035" w:name="_Ref_Table_5_1"/>
      <w:r>
        <w:rPr>
          <w:rFonts w:ascii="Times New Roman" w:hAnsi="Times New Roman" w:cs="Times New Roman" w:eastAsia="Times New Roman"/>
          <w:b/>
          <w:sz w:val="22"/>
        </w:rPr>
        <w:t xml:space="preserve">Table 5.1: </w:t>
      </w:r>
      <w:r>
        <w:rPr>
          <w:rFonts w:ascii="Times New Roman" w:hAnsi="Times New Roman" w:cs="Times New Roman" w:eastAsia="Times New Roman"/>
          <w:sz w:val="22"/>
        </w:rPr>
        <w:t>Effective magnitude response (dB) at selected frequencies.</w:t>
      </w:r>
      <w:bookmarkEnd w:id="1035"/>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41"/>
        <w:gridCol w:w="2041"/>
        <w:gridCol w:w="2041"/>
        <w:gridCol w:w="2182"/>
      </w:tblGrid>
      <w:tr>
        <w:trPr>
          <w:cantSplit/>
          <w:tblHeader/>
        </w:trPr>
        <w:tc>
          <w:tcPr>
            <w:tcW w:type="dxa" w:w="2041"/>
            <w:shd w:val="clear" w:color="auto" w:fill="D9D9D9"/>
          </w:tcPr>
          <w:p>
            <w:pPr>
              <w:pStyle w:val="TableText"/>
              <w:keepNext/>
              <w:jc w:val="center"/>
            </w:pPr>
            <w:r>
              <w:rPr>
                <w:rFonts w:ascii="Times New Roman" w:hAnsi="Times New Roman" w:cs="Times New Roman" w:eastAsia="Times New Roman"/>
                <w:b/>
                <w:sz w:val="21"/>
              </w:rPr>
              <w:t>Frequency (Hz)</w:t>
            </w:r>
          </w:p>
        </w:tc>
        <w:tc>
          <w:tcPr>
            <w:tcW w:type="dxa" w:w="2041"/>
            <w:shd w:val="clear" w:color="auto" w:fill="D9D9D9"/>
          </w:tcPr>
          <w:p>
            <w:pPr>
              <w:pStyle w:val="TableText"/>
              <w:keepNext/>
              <w:jc w:val="center"/>
            </w:pPr>
            <w:r>
              <w:rPr>
                <w:rFonts w:ascii="Times New Roman" w:hAnsi="Times New Roman" w:cs="Times New Roman" w:eastAsia="Times New Roman"/>
                <w:b/>
                <w:sz w:val="21"/>
              </w:rPr>
              <w:t>Band-pass</w:t>
            </w:r>
          </w:p>
        </w:tc>
        <w:tc>
          <w:tcPr>
            <w:tcW w:type="dxa" w:w="2041"/>
            <w:shd w:val="clear" w:color="auto" w:fill="D9D9D9"/>
          </w:tcPr>
          <w:p>
            <w:pPr>
              <w:pStyle w:val="TableText"/>
              <w:keepNext/>
              <w:jc w:val="center"/>
            </w:pPr>
            <w:r>
              <w:rPr>
                <w:rFonts w:ascii="Times New Roman" w:hAnsi="Times New Roman" w:cs="Times New Roman" w:eastAsia="Times New Roman"/>
                <w:b/>
                <w:sz w:val="21"/>
              </w:rPr>
              <w:t>Notch</w:t>
            </w:r>
          </w:p>
        </w:tc>
        <w:tc>
          <w:tcPr>
            <w:tcW w:type="dxa" w:w="2183"/>
            <w:shd w:val="clear" w:color="auto" w:fill="D9D9D9"/>
          </w:tcPr>
          <w:p>
            <w:pPr>
              <w:pStyle w:val="TableText"/>
              <w:keepNext/>
              <w:jc w:val="center"/>
            </w:pPr>
            <w:r>
              <w:rPr>
                <w:rFonts w:ascii="Times New Roman" w:hAnsi="Times New Roman" w:cs="Times New Roman" w:eastAsia="Times New Roman"/>
                <w:b/>
                <w:sz w:val="21"/>
              </w:rPr>
              <w:t>Combined</w:t>
            </w:r>
          </w:p>
        </w:tc>
      </w:tr>
      <w:tr>
        <w:trPr>
          <w:cantSplit/>
        </w:trPr>
        <w:tc>
          <w:tcPr>
            <w:tcW w:type="dxa" w:w="2041"/>
          </w:tcPr>
          <w:p>
            <w:pPr>
              <w:pStyle w:val="TableText"/>
              <w:keepNext/>
              <w:jc w:val="center"/>
            </w:pPr>
            <w:r>
              <w:rPr>
                <w:rFonts w:ascii="Times New Roman" w:hAnsi="Times New Roman" w:cs="Times New Roman" w:eastAsia="Times New Roman"/>
                <w:sz w:val="21"/>
              </w:rPr>
              <w:t>0.3</w:t>
            </w:r>
          </w:p>
        </w:tc>
        <w:tc>
          <w:tcPr>
            <w:tcW w:type="dxa" w:w="2041"/>
          </w:tcPr>
          <w:p>
            <w:pPr>
              <w:pStyle w:val="TableText"/>
              <w:keepNext/>
              <w:jc w:val="center"/>
            </w:pPr>
            <w:r>
              <w:rPr>
                <w:rFonts w:ascii="Times New Roman" w:hAnsi="Times New Roman" w:cs="Times New Roman" w:eastAsia="Times New Roman"/>
                <w:sz w:val="21"/>
              </w:rPr>
              <w:t>-82.73</w:t>
            </w:r>
          </w:p>
        </w:tc>
        <w:tc>
          <w:tcPr>
            <w:tcW w:type="dxa" w:w="2041"/>
          </w:tcPr>
          <w:p>
            <w:pPr>
              <w:pStyle w:val="TableText"/>
              <w:keepNext/>
              <w:jc w:val="center"/>
            </w:pPr>
            <w:r>
              <w:rPr>
                <w:rFonts w:ascii="Times New Roman" w:hAnsi="Times New Roman" w:cs="Times New Roman" w:eastAsia="Times New Roman"/>
                <w:sz w:val="21"/>
              </w:rPr>
              <w:t>0.00</w:t>
            </w:r>
          </w:p>
        </w:tc>
        <w:tc>
          <w:tcPr>
            <w:tcW w:type="dxa" w:w="2183"/>
          </w:tcPr>
          <w:p>
            <w:pPr>
              <w:pStyle w:val="TableText"/>
              <w:keepNext/>
              <w:jc w:val="center"/>
            </w:pPr>
            <w:r>
              <w:rPr>
                <w:rFonts w:ascii="Times New Roman" w:hAnsi="Times New Roman" w:cs="Times New Roman" w:eastAsia="Times New Roman"/>
                <w:sz w:val="21"/>
              </w:rPr>
              <w:t>-82.73</w:t>
            </w:r>
          </w:p>
        </w:tc>
      </w:tr>
      <w:tr>
        <w:trPr>
          <w:cantSplit/>
        </w:trPr>
        <w:tc>
          <w:tcPr>
            <w:tcW w:type="dxa" w:w="2041"/>
          </w:tcPr>
          <w:p>
            <w:pPr>
              <w:pStyle w:val="TableText"/>
              <w:keepNext/>
              <w:jc w:val="center"/>
            </w:pPr>
            <w:r>
              <w:rPr>
                <w:rFonts w:ascii="Times New Roman" w:hAnsi="Times New Roman" w:cs="Times New Roman" w:eastAsia="Times New Roman"/>
                <w:sz w:val="21"/>
              </w:rPr>
              <w:t>1.0</w:t>
            </w:r>
          </w:p>
        </w:tc>
        <w:tc>
          <w:tcPr>
            <w:tcW w:type="dxa" w:w="2041"/>
          </w:tcPr>
          <w:p>
            <w:pPr>
              <w:pStyle w:val="TableText"/>
              <w:keepNext/>
              <w:jc w:val="center"/>
            </w:pPr>
            <w:r>
              <w:rPr>
                <w:rFonts w:ascii="Times New Roman" w:hAnsi="Times New Roman" w:cs="Times New Roman" w:eastAsia="Times New Roman"/>
                <w:sz w:val="21"/>
              </w:rPr>
              <w:t>-5.78</w:t>
            </w:r>
          </w:p>
        </w:tc>
        <w:tc>
          <w:tcPr>
            <w:tcW w:type="dxa" w:w="2041"/>
          </w:tcPr>
          <w:p>
            <w:pPr>
              <w:pStyle w:val="TableText"/>
              <w:keepNext/>
              <w:jc w:val="center"/>
            </w:pPr>
            <w:r>
              <w:rPr>
                <w:rFonts w:ascii="Times New Roman" w:hAnsi="Times New Roman" w:cs="Times New Roman" w:eastAsia="Times New Roman"/>
                <w:sz w:val="21"/>
              </w:rPr>
              <w:t>0.00</w:t>
            </w:r>
          </w:p>
        </w:tc>
        <w:tc>
          <w:tcPr>
            <w:tcW w:type="dxa" w:w="2183"/>
          </w:tcPr>
          <w:p>
            <w:pPr>
              <w:pStyle w:val="TableText"/>
              <w:keepNext/>
              <w:jc w:val="center"/>
            </w:pPr>
            <w:r>
              <w:rPr>
                <w:rFonts w:ascii="Times New Roman" w:hAnsi="Times New Roman" w:cs="Times New Roman" w:eastAsia="Times New Roman"/>
                <w:sz w:val="21"/>
              </w:rPr>
              <w:t>-5.78</w:t>
            </w:r>
          </w:p>
        </w:tc>
      </w:tr>
      <w:tr>
        <w:trPr>
          <w:cantSplit/>
        </w:trPr>
        <w:tc>
          <w:tcPr>
            <w:tcW w:type="dxa" w:w="2041"/>
          </w:tcPr>
          <w:p>
            <w:pPr>
              <w:pStyle w:val="TableText"/>
              <w:jc w:val="center"/>
            </w:pPr>
            <w:r>
              <w:rPr>
                <w:rFonts w:ascii="Times New Roman" w:hAnsi="Times New Roman" w:cs="Times New Roman" w:eastAsia="Times New Roman"/>
                <w:sz w:val="21"/>
              </w:rPr>
              <w:t>10.0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0.00</w:t>
            </w:r>
          </w:p>
        </w:tc>
        <w:tc>
          <w:tcPr>
            <w:tcW w:type="dxa" w:w="2183"/>
          </w:tcPr>
          <w:p>
            <w:pPr>
              <w:pStyle w:val="TableText"/>
              <w:jc w:val="center"/>
            </w:pPr>
            <w:r>
              <w:rPr>
                <w:rFonts w:ascii="Times New Roman" w:hAnsi="Times New Roman" w:cs="Times New Roman" w:eastAsia="Times New Roman"/>
                <w:sz w:val="21"/>
              </w:rPr>
              <w:t>0.00</w:t>
            </w:r>
          </w:p>
        </w:tc>
      </w:tr>
      <w:tr>
        <w:trPr>
          <w:cantSplit/>
        </w:trPr>
        <w:tc>
          <w:tcPr>
            <w:tcW w:type="dxa" w:w="2041"/>
          </w:tcPr>
          <w:p>
            <w:pPr>
              <w:pStyle w:val="TableText"/>
              <w:jc w:val="center"/>
            </w:pPr>
            <w:r>
              <w:rPr>
                <w:rFonts w:ascii="Times New Roman" w:hAnsi="Times New Roman" w:cs="Times New Roman" w:eastAsia="Times New Roman"/>
                <w:sz w:val="21"/>
              </w:rPr>
              <w:t>49.0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-4.52</w:t>
            </w:r>
          </w:p>
        </w:tc>
        <w:tc>
          <w:tcPr>
            <w:tcW w:type="dxa" w:w="2183"/>
          </w:tcPr>
          <w:p>
            <w:pPr>
              <w:pStyle w:val="TableText"/>
              <w:jc w:val="center"/>
            </w:pPr>
            <w:r>
              <w:rPr>
                <w:rFonts w:ascii="Times New Roman" w:hAnsi="Times New Roman" w:cs="Times New Roman" w:eastAsia="Times New Roman"/>
                <w:sz w:val="21"/>
              </w:rPr>
              <w:t>-4.52</w:t>
            </w:r>
          </w:p>
        </w:tc>
      </w:tr>
      <w:tr>
        <w:trPr>
          <w:cantSplit/>
        </w:trPr>
        <w:tc>
          <w:tcPr>
            <w:tcW w:type="dxa" w:w="2041"/>
          </w:tcPr>
          <w:p>
            <w:pPr>
              <w:pStyle w:val="TableText"/>
              <w:jc w:val="center"/>
            </w:pPr>
            <w:r>
              <w:rPr>
                <w:rFonts w:ascii="Times New Roman" w:hAnsi="Times New Roman" w:cs="Times New Roman" w:eastAsia="Times New Roman"/>
                <w:sz w:val="21"/>
              </w:rPr>
              <w:t>50.0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-97.45</w:t>
            </w:r>
          </w:p>
        </w:tc>
        <w:tc>
          <w:tcPr>
            <w:tcW w:type="dxa" w:w="2183"/>
          </w:tcPr>
          <w:p>
            <w:pPr>
              <w:pStyle w:val="TableText"/>
              <w:jc w:val="center"/>
            </w:pPr>
            <w:r>
              <w:rPr>
                <w:rFonts w:ascii="Times New Roman" w:hAnsi="Times New Roman" w:cs="Times New Roman" w:eastAsia="Times New Roman"/>
                <w:sz w:val="21"/>
              </w:rPr>
              <w:t>-97.45</w:t>
            </w:r>
          </w:p>
        </w:tc>
      </w:tr>
      <w:tr>
        <w:trPr>
          <w:cantSplit/>
        </w:trPr>
        <w:tc>
          <w:tcPr>
            <w:tcW w:type="dxa" w:w="2041"/>
          </w:tcPr>
          <w:p>
            <w:pPr>
              <w:pStyle w:val="TableText"/>
              <w:jc w:val="center"/>
            </w:pPr>
            <w:r>
              <w:rPr>
                <w:rFonts w:ascii="Times New Roman" w:hAnsi="Times New Roman" w:cs="Times New Roman" w:eastAsia="Times New Roman"/>
                <w:sz w:val="21"/>
              </w:rPr>
              <w:t>51.0</w:t>
            </w:r>
          </w:p>
        </w:tc>
        <w:tc>
          <w:tcPr>
            <w:tcW w:type="dxa" w:w="2041"/>
          </w:tcPr>
          <w:p>
            <w:pPr>
              <w:pStyle w:val="TableText"/>
              <w:jc w:val="center"/>
            </w:pPr>
            <w:r>
              <w:rPr>
                <w:rFonts w:ascii="Times New Roman" w:hAnsi="Times New Roman" w:cs="Times New Roman" w:eastAsia="Times New Roman"/>
                <w:sz w:val="21"/>
              </w:rPr>
              <w:t>0.00</w:t>
            </w:r>
          </w:p>
        </w:tc>
        <w:tc>
          <w:tcPr>
            <w:tcW w:type="dxa" w:w="2041"/>
          </w:tcPr>
          <w:p>
            <w:pPr>
              <w:pStyle w:val="TableText"/>
              <w:jc w:val="center"/>
            </w:pPr>
            <w:r>
              <w:rPr>
                <w:rFonts w:ascii="Times New Roman" w:hAnsi="Times New Roman" w:cs="Times New Roman" w:eastAsia="Times New Roman"/>
                <w:sz w:val="21"/>
              </w:rPr>
              <w:t>-4.65</w:t>
            </w:r>
          </w:p>
        </w:tc>
        <w:tc>
          <w:tcPr>
            <w:tcW w:type="dxa" w:w="2183"/>
          </w:tcPr>
          <w:p>
            <w:pPr>
              <w:pStyle w:val="TableText"/>
              <w:jc w:val="center"/>
            </w:pPr>
            <w:r>
              <w:rPr>
                <w:rFonts w:ascii="Times New Roman" w:hAnsi="Times New Roman" w:cs="Times New Roman" w:eastAsia="Times New Roman"/>
                <w:sz w:val="21"/>
              </w:rPr>
              <w:t>-4.65</w:t>
            </w:r>
          </w:p>
        </w:tc>
      </w:tr>
      <w:tr>
        <w:trPr>
          <w:cantSplit/>
        </w:trPr>
        <w:tc>
          <w:tcPr>
            <w:tcW w:type="dxa" w:w="2041"/>
          </w:tcPr>
          <w:p>
            <w:pPr>
              <w:pStyle w:val="TableText"/>
              <w:jc w:val="center"/>
            </w:pPr>
            <w:r>
              <w:rPr>
                <w:rFonts w:ascii="Times New Roman" w:hAnsi="Times New Roman" w:cs="Times New Roman" w:eastAsia="Times New Roman"/>
                <w:sz w:val="21"/>
              </w:rPr>
              <w:t>100.0</w:t>
            </w:r>
          </w:p>
        </w:tc>
        <w:tc>
          <w:tcPr>
            <w:tcW w:type="dxa" w:w="2041"/>
          </w:tcPr>
          <w:p>
            <w:pPr>
              <w:pStyle w:val="TableText"/>
              <w:jc w:val="center"/>
            </w:pPr>
            <w:r>
              <w:rPr>
                <w:rFonts w:ascii="Times New Roman" w:hAnsi="Times New Roman" w:cs="Times New Roman" w:eastAsia="Times New Roman"/>
                <w:sz w:val="21"/>
              </w:rPr>
              <w:t>-6.03</w:t>
            </w:r>
          </w:p>
        </w:tc>
        <w:tc>
          <w:tcPr>
            <w:tcW w:type="dxa" w:w="2041"/>
          </w:tcPr>
          <w:p>
            <w:pPr>
              <w:pStyle w:val="TableText"/>
              <w:jc w:val="center"/>
            </w:pPr>
            <w:r>
              <w:rPr>
                <w:rFonts w:ascii="Times New Roman" w:hAnsi="Times New Roman" w:cs="Times New Roman" w:eastAsia="Times New Roman"/>
                <w:sz w:val="21"/>
              </w:rPr>
              <w:t>0.00</w:t>
            </w:r>
          </w:p>
        </w:tc>
        <w:tc>
          <w:tcPr>
            <w:tcW w:type="dxa" w:w="2183"/>
          </w:tcPr>
          <w:p>
            <w:pPr>
              <w:pStyle w:val="TableText"/>
              <w:jc w:val="center"/>
            </w:pPr>
            <w:r>
              <w:rPr>
                <w:rFonts w:ascii="Times New Roman" w:hAnsi="Times New Roman" w:cs="Times New Roman" w:eastAsia="Times New Roman"/>
                <w:sz w:val="21"/>
              </w:rPr>
              <w:t>-6.03</w:t>
            </w:r>
          </w:p>
        </w:tc>
      </w:tr>
    </w:tbl>
    <w:p>
      <w:pPr>
        <w:spacing w:after="80" w:line="240" w:lineRule="auto"/>
      </w:pPr>
    </w:p>
    <w:p>
      <w:pPr>
        <w:pStyle w:val="Heading3"/>
      </w:pPr>
      <w:r>
        <w:rPr>
          <w:rFonts w:ascii="Times New Roman" w:hAnsi="Times New Roman" w:cs="Times New Roman" w:eastAsia="Times New Roman"/>
          <w:b/>
          <w:sz w:val="24"/>
        </w:rPr>
        <w:t>5.2.2  MAINS-INTERFERENCE ATTENUATION</w:t>
      </w:r>
    </w:p>
    <w:p>
      <w:pPr>
        <w:pStyle w:val="BodyJ"/>
      </w:pPr>
      <w:r>
        <w:rPr>
          <w:rFonts w:ascii="Times New Roman" w:hAnsi="Times New Roman" w:cs="Times New Roman" w:eastAsia="Times New Roman"/>
        </w:rPr>
        <w:t>A least-squares sinusoid fit at 50 Hz was used to measure the amplitude of the injected mains component before and after band-pass and notch filtering. Averaged over the 150 trials, the fitted 50 Hz amplitude fell from 0.152 to 0.0125 (arbitrary units), a mean reduction of 22.0 dB. For reference, the residual amplitude fitted at 47 Hz after filtering, a frequency at which no component was injected, was 0.0212. Figure 5.2 shows the amplitude spectrum of one example record.</w:t>
      </w:r>
    </w:p>
    <w:p>
      <w:pPr>
        <w:keepNext/>
        <w:spacing w:before="120" w:after="40" w:line="240" w:lineRule="auto"/>
        <w:jc w:val="center"/>
      </w:pPr>
      <w:r>
        <w:drawing>
          <wp:inline xmlns:a="http://schemas.openxmlformats.org/drawingml/2006/main" xmlns:pic="http://schemas.openxmlformats.org/drawingml/2006/picture">
            <wp:extent cx="4320000" cy="2096115"/>
            <wp:docPr id="30" name="Picture 30"/>
            <wp:cNvGraphicFramePr>
              <a:graphicFrameLocks noChangeAspect="1"/>
            </wp:cNvGraphicFramePr>
            <a:graphic>
              <a:graphicData uri="http://schemas.openxmlformats.org/drawingml/2006/picture">
                <pic:pic>
                  <pic:nvPicPr>
                    <pic:cNvPr id="0" name="fig_spectrum.png"/>
                    <pic:cNvPicPr/>
                  </pic:nvPicPr>
                  <pic:blipFill>
                    <a:blip r:embed="rId38"/>
                    <a:stretch>
                      <a:fillRect/>
                    </a:stretch>
                  </pic:blipFill>
                  <pic:spPr>
                    <a:xfrm>
                      <a:off x="0" y="0"/>
                      <a:ext cx="4320000" cy="2096115"/>
                    </a:xfrm>
                    <a:prstGeom prst="rect"/>
                  </pic:spPr>
                </pic:pic>
              </a:graphicData>
            </a:graphic>
          </wp:inline>
        </w:drawing>
      </w:r>
    </w:p>
    <w:p>
      <w:pPr>
        <w:pStyle w:val="Caption"/>
      </w:pPr>
      <w:bookmarkStart w:id="1036" w:name="_Ref_Figure_5_2"/>
      <w:r>
        <w:rPr>
          <w:rFonts w:ascii="Times New Roman" w:hAnsi="Times New Roman" w:cs="Times New Roman" w:eastAsia="Times New Roman"/>
          <w:b/>
          <w:sz w:val="22"/>
        </w:rPr>
        <w:t xml:space="preserve">Figure 5.2: </w:t>
      </w:r>
      <w:r>
        <w:rPr>
          <w:rFonts w:ascii="Times New Roman" w:hAnsi="Times New Roman" w:cs="Times New Roman" w:eastAsia="Times New Roman"/>
          <w:sz w:val="22"/>
        </w:rPr>
        <w:t>Amplitude spectrum of one synthetic VEP (original generator) before and after conditioning. The dotted line marks 50 Hz.</w:t>
      </w:r>
      <w:bookmarkEnd w:id="1036"/>
    </w:p>
    <w:p>
      <w:pPr>
        <w:pStyle w:val="Heading3"/>
      </w:pPr>
      <w:r>
        <w:rPr>
          <w:rFonts w:ascii="Times New Roman" w:hAnsi="Times New Roman" w:cs="Times New Roman" w:eastAsia="Times New Roman"/>
          <w:b/>
          <w:sz w:val="24"/>
        </w:rPr>
        <w:t>5.2.3  P100 LATENCY</w:t>
      </w:r>
    </w:p>
    <w:p>
      <w:pPr>
        <w:pStyle w:val="BodyJ"/>
      </w:pPr>
      <w:r>
        <w:rPr>
          <w:rFonts w:ascii="Times New Roman" w:hAnsi="Times New Roman" w:cs="Times New Roman" w:eastAsia="Times New Roman"/>
        </w:rPr>
        <w:t>The P100 latency was estimated as the time of the maximum within 60–220 ms. Table 5.2 compares the estimates from the raw signal, from the project's zero-phase conditioning, and from an ordinary single-pass (causal) implementation of the same filters, with the ground-truth latency of the generator. Estimates are quantised by the sampling interval of 4 ms.</w:t>
      </w:r>
    </w:p>
    <w:p>
      <w:pPr>
        <w:pStyle w:val="Caption"/>
        <w:keepNext/>
        <w:spacing w:before="160" w:after="80"/>
      </w:pPr>
      <w:bookmarkStart w:id="1037" w:name="_Ref_Table_5_2"/>
      <w:r>
        <w:rPr>
          <w:rFonts w:ascii="Times New Roman" w:hAnsi="Times New Roman" w:cs="Times New Roman" w:eastAsia="Times New Roman"/>
          <w:b/>
          <w:sz w:val="22"/>
        </w:rPr>
        <w:t xml:space="preserve">Table 5.2: </w:t>
      </w:r>
      <w:r>
        <w:rPr>
          <w:rFonts w:ascii="Times New Roman" w:hAnsi="Times New Roman" w:cs="Times New Roman" w:eastAsia="Times New Roman"/>
          <w:sz w:val="22"/>
        </w:rPr>
        <w:t>Detected P100 latency (ms; mean ± SD over 50 trials per class, original generator) and mean error against the ground truth.</w:t>
      </w:r>
      <w:bookmarkEnd w:id="1037"/>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57"/>
        <w:gridCol w:w="680"/>
        <w:gridCol w:w="1247"/>
        <w:gridCol w:w="1304"/>
        <w:gridCol w:w="1304"/>
        <w:gridCol w:w="1020"/>
        <w:gridCol w:w="992"/>
      </w:tblGrid>
      <w:tr>
        <w:trPr>
          <w:cantSplit/>
          <w:tblHeader/>
        </w:trPr>
        <w:tc>
          <w:tcPr>
            <w:tcW w:type="dxa" w:w="1757"/>
            <w:shd w:val="clear" w:color="auto" w:fill="D9D9D9"/>
          </w:tcPr>
          <w:p>
            <w:pPr>
              <w:pStyle w:val="TableText"/>
              <w:keepNext/>
              <w:jc w:val="left"/>
            </w:pPr>
            <w:r>
              <w:rPr>
                <w:rFonts w:ascii="Times New Roman" w:hAnsi="Times New Roman" w:cs="Times New Roman" w:eastAsia="Times New Roman"/>
                <w:b/>
                <w:sz w:val="20"/>
              </w:rPr>
              <w:t>Class</w:t>
            </w:r>
          </w:p>
        </w:tc>
        <w:tc>
          <w:tcPr>
            <w:tcW w:type="dxa" w:w="680"/>
            <w:shd w:val="clear" w:color="auto" w:fill="D9D9D9"/>
          </w:tcPr>
          <w:p>
            <w:pPr>
              <w:pStyle w:val="TableText"/>
              <w:keepNext/>
              <w:jc w:val="center"/>
            </w:pPr>
            <w:r>
              <w:rPr>
                <w:rFonts w:ascii="Times New Roman" w:hAnsi="Times New Roman" w:cs="Times New Roman" w:eastAsia="Times New Roman"/>
                <w:b/>
                <w:sz w:val="20"/>
              </w:rPr>
              <w:t>True</w:t>
            </w:r>
          </w:p>
        </w:tc>
        <w:tc>
          <w:tcPr>
            <w:tcW w:type="dxa" w:w="1247"/>
            <w:shd w:val="clear" w:color="auto" w:fill="D9D9D9"/>
          </w:tcPr>
          <w:p>
            <w:pPr>
              <w:pStyle w:val="TableText"/>
              <w:keepNext/>
              <w:jc w:val="center"/>
            </w:pPr>
            <w:r>
              <w:rPr>
                <w:rFonts w:ascii="Times New Roman" w:hAnsi="Times New Roman" w:cs="Times New Roman" w:eastAsia="Times New Roman"/>
                <w:b/>
                <w:sz w:val="20"/>
              </w:rPr>
              <w:t>Raw</w:t>
            </w:r>
          </w:p>
        </w:tc>
        <w:tc>
          <w:tcPr>
            <w:tcW w:type="dxa" w:w="1304"/>
            <w:shd w:val="clear" w:color="auto" w:fill="D9D9D9"/>
          </w:tcPr>
          <w:p>
            <w:pPr>
              <w:pStyle w:val="TableText"/>
              <w:keepNext/>
              <w:jc w:val="center"/>
            </w:pPr>
            <w:r>
              <w:rPr>
                <w:rFonts w:ascii="Times New Roman" w:hAnsi="Times New Roman" w:cs="Times New Roman" w:eastAsia="Times New Roman"/>
                <w:b/>
                <w:sz w:val="20"/>
              </w:rPr>
              <w:t>Zero-phase</w:t>
            </w:r>
          </w:p>
        </w:tc>
        <w:tc>
          <w:tcPr>
            <w:tcW w:type="dxa" w:w="1304"/>
            <w:shd w:val="clear" w:color="auto" w:fill="D9D9D9"/>
          </w:tcPr>
          <w:p>
            <w:pPr>
              <w:pStyle w:val="TableText"/>
              <w:keepNext/>
              <w:jc w:val="center"/>
            </w:pPr>
            <w:r>
              <w:rPr>
                <w:rFonts w:ascii="Times New Roman" w:hAnsi="Times New Roman" w:cs="Times New Roman" w:eastAsia="Times New Roman"/>
                <w:b/>
                <w:sz w:val="20"/>
              </w:rPr>
              <w:t>Single-pass</w:t>
            </w:r>
          </w:p>
        </w:tc>
        <w:tc>
          <w:tcPr>
            <w:tcW w:type="dxa" w:w="1020"/>
            <w:shd w:val="clear" w:color="auto" w:fill="D9D9D9"/>
          </w:tcPr>
          <w:p>
            <w:pPr>
              <w:pStyle w:val="TableText"/>
              <w:keepNext/>
              <w:jc w:val="center"/>
            </w:pPr>
            <w:r>
              <w:rPr>
                <w:rFonts w:ascii="Times New Roman" w:hAnsi="Times New Roman" w:cs="Times New Roman" w:eastAsia="Times New Roman"/>
                <w:b/>
                <w:sz w:val="20"/>
              </w:rPr>
              <w:t>Err. zero-phase</w:t>
            </w:r>
          </w:p>
        </w:tc>
        <w:tc>
          <w:tcPr>
            <w:tcW w:type="dxa" w:w="992"/>
            <w:shd w:val="clear" w:color="auto" w:fill="D9D9D9"/>
          </w:tcPr>
          <w:p>
            <w:pPr>
              <w:pStyle w:val="TableText"/>
              <w:keepNext/>
              <w:jc w:val="center"/>
            </w:pPr>
            <w:r>
              <w:rPr>
                <w:rFonts w:ascii="Times New Roman" w:hAnsi="Times New Roman" w:cs="Times New Roman" w:eastAsia="Times New Roman"/>
                <w:b/>
                <w:sz w:val="20"/>
              </w:rPr>
              <w:t>Err. single-pass</w:t>
            </w:r>
          </w:p>
        </w:tc>
      </w:tr>
      <w:tr>
        <w:trPr>
          <w:cantSplit/>
        </w:trPr>
        <w:tc>
          <w:tcPr>
            <w:tcW w:type="dxa" w:w="1757"/>
          </w:tcPr>
          <w:p>
            <w:pPr>
              <w:pStyle w:val="TableText"/>
              <w:keepNext/>
              <w:jc w:val="left"/>
            </w:pPr>
            <w:r>
              <w:rPr>
                <w:rFonts w:ascii="Times New Roman" w:hAnsi="Times New Roman" w:cs="Times New Roman" w:eastAsia="Times New Roman"/>
                <w:sz w:val="20"/>
              </w:rPr>
              <w:t>Healthy Control</w:t>
            </w:r>
          </w:p>
        </w:tc>
        <w:tc>
          <w:tcPr>
            <w:tcW w:type="dxa" w:w="680"/>
          </w:tcPr>
          <w:p>
            <w:pPr>
              <w:pStyle w:val="TableText"/>
              <w:keepNext/>
              <w:jc w:val="center"/>
            </w:pPr>
            <w:r>
              <w:rPr>
                <w:rFonts w:ascii="Times New Roman" w:hAnsi="Times New Roman" w:cs="Times New Roman" w:eastAsia="Times New Roman"/>
                <w:sz w:val="20"/>
              </w:rPr>
              <w:t>100</w:t>
            </w:r>
          </w:p>
        </w:tc>
        <w:tc>
          <w:tcPr>
            <w:tcW w:type="dxa" w:w="1247"/>
          </w:tcPr>
          <w:p>
            <w:pPr>
              <w:pStyle w:val="TableText"/>
              <w:keepNext/>
              <w:jc w:val="center"/>
            </w:pPr>
            <w:r>
              <w:rPr>
                <w:rFonts w:ascii="Times New Roman" w:hAnsi="Times New Roman" w:cs="Times New Roman" w:eastAsia="Times New Roman"/>
                <w:sz w:val="20"/>
              </w:rPr>
              <w:t>101.8 ± 2.3</w:t>
            </w:r>
          </w:p>
        </w:tc>
        <w:tc>
          <w:tcPr>
            <w:tcW w:type="dxa" w:w="1304"/>
          </w:tcPr>
          <w:p>
            <w:pPr>
              <w:pStyle w:val="TableText"/>
              <w:keepNext/>
              <w:jc w:val="center"/>
            </w:pPr>
            <w:r>
              <w:rPr>
                <w:rFonts w:ascii="Times New Roman" w:hAnsi="Times New Roman" w:cs="Times New Roman" w:eastAsia="Times New Roman"/>
                <w:sz w:val="20"/>
              </w:rPr>
              <w:t>100.6 ± 1.9</w:t>
            </w:r>
          </w:p>
        </w:tc>
        <w:tc>
          <w:tcPr>
            <w:tcW w:type="dxa" w:w="1304"/>
          </w:tcPr>
          <w:p>
            <w:pPr>
              <w:pStyle w:val="TableText"/>
              <w:keepNext/>
              <w:jc w:val="center"/>
            </w:pPr>
            <w:r>
              <w:rPr>
                <w:rFonts w:ascii="Times New Roman" w:hAnsi="Times New Roman" w:cs="Times New Roman" w:eastAsia="Times New Roman"/>
                <w:sz w:val="20"/>
              </w:rPr>
              <w:t>101.1 ± 1.8</w:t>
            </w:r>
          </w:p>
        </w:tc>
        <w:tc>
          <w:tcPr>
            <w:tcW w:type="dxa" w:w="1020"/>
          </w:tcPr>
          <w:p>
            <w:pPr>
              <w:pStyle w:val="TableText"/>
              <w:keepNext/>
              <w:jc w:val="center"/>
            </w:pPr>
            <w:r>
              <w:rPr>
                <w:rFonts w:ascii="Times New Roman" w:hAnsi="Times New Roman" w:cs="Times New Roman" w:eastAsia="Times New Roman"/>
                <w:sz w:val="20"/>
              </w:rPr>
              <w:t>+0.64</w:t>
            </w:r>
          </w:p>
        </w:tc>
        <w:tc>
          <w:tcPr>
            <w:tcW w:type="dxa" w:w="992"/>
          </w:tcPr>
          <w:p>
            <w:pPr>
              <w:pStyle w:val="TableText"/>
              <w:keepNext/>
              <w:jc w:val="center"/>
            </w:pPr>
            <w:r>
              <w:rPr>
                <w:rFonts w:ascii="Times New Roman" w:hAnsi="Times New Roman" w:cs="Times New Roman" w:eastAsia="Times New Roman"/>
                <w:sz w:val="20"/>
              </w:rPr>
              <w:t>+1.12</w:t>
            </w:r>
          </w:p>
        </w:tc>
      </w:tr>
      <w:tr>
        <w:trPr>
          <w:cantSplit/>
        </w:trPr>
        <w:tc>
          <w:tcPr>
            <w:tcW w:type="dxa" w:w="1757"/>
          </w:tcPr>
          <w:p>
            <w:pPr>
              <w:pStyle w:val="TableText"/>
              <w:keepNext/>
              <w:jc w:val="left"/>
            </w:pPr>
            <w:r>
              <w:rPr>
                <w:rFonts w:ascii="Times New Roman" w:hAnsi="Times New Roman" w:cs="Times New Roman" w:eastAsia="Times New Roman"/>
                <w:sz w:val="20"/>
              </w:rPr>
              <w:t>Glaucoma</w:t>
            </w:r>
          </w:p>
        </w:tc>
        <w:tc>
          <w:tcPr>
            <w:tcW w:type="dxa" w:w="680"/>
          </w:tcPr>
          <w:p>
            <w:pPr>
              <w:pStyle w:val="TableText"/>
              <w:keepNext/>
              <w:jc w:val="center"/>
            </w:pPr>
            <w:r>
              <w:rPr>
                <w:rFonts w:ascii="Times New Roman" w:hAnsi="Times New Roman" w:cs="Times New Roman" w:eastAsia="Times New Roman"/>
                <w:sz w:val="20"/>
              </w:rPr>
              <w:t>108</w:t>
            </w:r>
          </w:p>
        </w:tc>
        <w:tc>
          <w:tcPr>
            <w:tcW w:type="dxa" w:w="1247"/>
          </w:tcPr>
          <w:p>
            <w:pPr>
              <w:pStyle w:val="TableText"/>
              <w:keepNext/>
              <w:jc w:val="center"/>
            </w:pPr>
            <w:r>
              <w:rPr>
                <w:rFonts w:ascii="Times New Roman" w:hAnsi="Times New Roman" w:cs="Times New Roman" w:eastAsia="Times New Roman"/>
                <w:sz w:val="20"/>
              </w:rPr>
              <w:t>107.4 ± 2.7</w:t>
            </w:r>
          </w:p>
        </w:tc>
        <w:tc>
          <w:tcPr>
            <w:tcW w:type="dxa" w:w="1304"/>
          </w:tcPr>
          <w:p>
            <w:pPr>
              <w:pStyle w:val="TableText"/>
              <w:keepNext/>
              <w:jc w:val="center"/>
            </w:pPr>
            <w:r>
              <w:rPr>
                <w:rFonts w:ascii="Times New Roman" w:hAnsi="Times New Roman" w:cs="Times New Roman" w:eastAsia="Times New Roman"/>
                <w:sz w:val="20"/>
              </w:rPr>
              <w:t>108.0 ± 2.9</w:t>
            </w:r>
          </w:p>
        </w:tc>
        <w:tc>
          <w:tcPr>
            <w:tcW w:type="dxa" w:w="1304"/>
          </w:tcPr>
          <w:p>
            <w:pPr>
              <w:pStyle w:val="TableText"/>
              <w:keepNext/>
              <w:jc w:val="center"/>
            </w:pPr>
            <w:r>
              <w:rPr>
                <w:rFonts w:ascii="Times New Roman" w:hAnsi="Times New Roman" w:cs="Times New Roman" w:eastAsia="Times New Roman"/>
                <w:sz w:val="20"/>
              </w:rPr>
              <w:t>108.2 ± 2.3</w:t>
            </w:r>
          </w:p>
        </w:tc>
        <w:tc>
          <w:tcPr>
            <w:tcW w:type="dxa" w:w="1020"/>
          </w:tcPr>
          <w:p>
            <w:pPr>
              <w:pStyle w:val="TableText"/>
              <w:keepNext/>
              <w:jc w:val="center"/>
            </w:pPr>
            <w:r>
              <w:rPr>
                <w:rFonts w:ascii="Times New Roman" w:hAnsi="Times New Roman" w:cs="Times New Roman" w:eastAsia="Times New Roman"/>
                <w:sz w:val="20"/>
              </w:rPr>
              <w:t>+0.00</w:t>
            </w:r>
          </w:p>
        </w:tc>
        <w:tc>
          <w:tcPr>
            <w:tcW w:type="dxa" w:w="992"/>
          </w:tcPr>
          <w:p>
            <w:pPr>
              <w:pStyle w:val="TableText"/>
              <w:keepNext/>
              <w:jc w:val="center"/>
            </w:pPr>
            <w:r>
              <w:rPr>
                <w:rFonts w:ascii="Times New Roman" w:hAnsi="Times New Roman" w:cs="Times New Roman" w:eastAsia="Times New Roman"/>
                <w:sz w:val="20"/>
              </w:rPr>
              <w:t>+0.24</w:t>
            </w:r>
          </w:p>
        </w:tc>
      </w:tr>
      <w:tr>
        <w:trPr>
          <w:cantSplit/>
        </w:trPr>
        <w:tc>
          <w:tcPr>
            <w:tcW w:type="dxa" w:w="1757"/>
          </w:tcPr>
          <w:p>
            <w:pPr>
              <w:pStyle w:val="TableText"/>
              <w:jc w:val="left"/>
            </w:pPr>
            <w:r>
              <w:rPr>
                <w:rFonts w:ascii="Times New Roman" w:hAnsi="Times New Roman" w:cs="Times New Roman" w:eastAsia="Times New Roman"/>
                <w:sz w:val="20"/>
              </w:rPr>
              <w:t>Optic Neuritis / CVI</w:t>
            </w:r>
          </w:p>
        </w:tc>
        <w:tc>
          <w:tcPr>
            <w:tcW w:type="dxa" w:w="680"/>
          </w:tcPr>
          <w:p>
            <w:pPr>
              <w:pStyle w:val="TableText"/>
              <w:jc w:val="center"/>
            </w:pPr>
            <w:r>
              <w:rPr>
                <w:rFonts w:ascii="Times New Roman" w:hAnsi="Times New Roman" w:cs="Times New Roman" w:eastAsia="Times New Roman"/>
                <w:sz w:val="20"/>
              </w:rPr>
              <w:t>140</w:t>
            </w:r>
          </w:p>
        </w:tc>
        <w:tc>
          <w:tcPr>
            <w:tcW w:type="dxa" w:w="1247"/>
          </w:tcPr>
          <w:p>
            <w:pPr>
              <w:pStyle w:val="TableText"/>
              <w:jc w:val="center"/>
            </w:pPr>
            <w:r>
              <w:rPr>
                <w:rFonts w:ascii="Times New Roman" w:hAnsi="Times New Roman" w:cs="Times New Roman" w:eastAsia="Times New Roman"/>
                <w:sz w:val="20"/>
              </w:rPr>
              <w:t>141.3 ± 2.5</w:t>
            </w:r>
          </w:p>
        </w:tc>
        <w:tc>
          <w:tcPr>
            <w:tcW w:type="dxa" w:w="1304"/>
          </w:tcPr>
          <w:p>
            <w:pPr>
              <w:pStyle w:val="TableText"/>
              <w:jc w:val="center"/>
            </w:pPr>
            <w:r>
              <w:rPr>
                <w:rFonts w:ascii="Times New Roman" w:hAnsi="Times New Roman" w:cs="Times New Roman" w:eastAsia="Times New Roman"/>
                <w:sz w:val="20"/>
              </w:rPr>
              <w:t>140.8 ± 2.1</w:t>
            </w:r>
          </w:p>
        </w:tc>
        <w:tc>
          <w:tcPr>
            <w:tcW w:type="dxa" w:w="1304"/>
          </w:tcPr>
          <w:p>
            <w:pPr>
              <w:pStyle w:val="TableText"/>
              <w:jc w:val="center"/>
            </w:pPr>
            <w:r>
              <w:rPr>
                <w:rFonts w:ascii="Times New Roman" w:hAnsi="Times New Roman" w:cs="Times New Roman" w:eastAsia="Times New Roman"/>
                <w:sz w:val="20"/>
              </w:rPr>
              <w:t>141.0 ± 2.7</w:t>
            </w:r>
          </w:p>
        </w:tc>
        <w:tc>
          <w:tcPr>
            <w:tcW w:type="dxa" w:w="1020"/>
          </w:tcPr>
          <w:p>
            <w:pPr>
              <w:pStyle w:val="TableText"/>
              <w:jc w:val="center"/>
            </w:pPr>
            <w:r>
              <w:rPr>
                <w:rFonts w:ascii="Times New Roman" w:hAnsi="Times New Roman" w:cs="Times New Roman" w:eastAsia="Times New Roman"/>
                <w:sz w:val="20"/>
              </w:rPr>
              <w:t>+0.80</w:t>
            </w:r>
          </w:p>
        </w:tc>
        <w:tc>
          <w:tcPr>
            <w:tcW w:type="dxa" w:w="992"/>
          </w:tcPr>
          <w:p>
            <w:pPr>
              <w:pStyle w:val="TableText"/>
              <w:jc w:val="center"/>
            </w:pPr>
            <w:r>
              <w:rPr>
                <w:rFonts w:ascii="Times New Roman" w:hAnsi="Times New Roman" w:cs="Times New Roman" w:eastAsia="Times New Roman"/>
                <w:sz w:val="20"/>
              </w:rPr>
              <w:t>+1.04</w:t>
            </w:r>
          </w:p>
        </w:tc>
      </w:tr>
    </w:tbl>
    <w:p>
      <w:pPr>
        <w:spacing w:after="80" w:line="240" w:lineRule="auto"/>
      </w:pPr>
    </w:p>
    <w:p>
      <w:pPr>
        <w:pStyle w:val="BodyJ"/>
      </w:pPr>
      <w:r>
        <w:rPr>
          <w:rFonts w:ascii="Times New Roman" w:hAnsi="Times New Roman" w:cs="Times New Roman" w:eastAsia="Times New Roman"/>
        </w:rPr>
        <w:t>With zero-phase conditioning, 149 of 150 trials (99.3%) gave a latency within one sample period (4 ms) of the ground truth; the largest absolute error was 8 ms, which occurred in one Glaucoma trial. For the single-pass implementation the corresponding count was 149 of 150, and the largest raw-signal error was 8 ms. The group delay of the single-pass filter, computed from its transfer function, is given in Table 5.3 (the zero-phase pipeline has zero group delay at all frequencies) and plotted in Figure 5.3.</w:t>
      </w:r>
    </w:p>
    <w:p>
      <w:pPr>
        <w:pStyle w:val="Caption"/>
        <w:keepNext/>
        <w:spacing w:before="160" w:after="80"/>
      </w:pPr>
      <w:bookmarkStart w:id="1038" w:name="_Ref_Table_5_3"/>
      <w:r>
        <w:rPr>
          <w:rFonts w:ascii="Times New Roman" w:hAnsi="Times New Roman" w:cs="Times New Roman" w:eastAsia="Times New Roman"/>
          <w:b/>
          <w:sz w:val="22"/>
        </w:rPr>
        <w:t xml:space="preserve">Table 5.3: </w:t>
      </w:r>
      <w:r>
        <w:rPr>
          <w:rFonts w:ascii="Times New Roman" w:hAnsi="Times New Roman" w:cs="Times New Roman" w:eastAsia="Times New Roman"/>
          <w:sz w:val="22"/>
        </w:rPr>
        <w:t>Group delay of the single-pass (causal) implementation of the same filters.</w:t>
      </w:r>
      <w:bookmarkEnd w:id="1038"/>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835"/>
        <w:gridCol w:w="2835"/>
      </w:tblGrid>
      <w:tr>
        <w:trPr>
          <w:cantSplit/>
          <w:tblHeader/>
        </w:trPr>
        <w:tc>
          <w:tcPr>
            <w:tcW w:type="dxa" w:w="2835"/>
            <w:shd w:val="clear" w:color="auto" w:fill="D9D9D9"/>
          </w:tcPr>
          <w:p>
            <w:pPr>
              <w:pStyle w:val="TableText"/>
              <w:keepNext/>
              <w:jc w:val="center"/>
            </w:pPr>
            <w:r>
              <w:rPr>
                <w:rFonts w:ascii="Times New Roman" w:hAnsi="Times New Roman" w:cs="Times New Roman" w:eastAsia="Times New Roman"/>
                <w:b/>
                <w:sz w:val="21"/>
              </w:rPr>
              <w:t>Frequency (Hz)</w:t>
            </w:r>
          </w:p>
        </w:tc>
        <w:tc>
          <w:tcPr>
            <w:tcW w:type="dxa" w:w="2835"/>
            <w:shd w:val="clear" w:color="auto" w:fill="D9D9D9"/>
          </w:tcPr>
          <w:p>
            <w:pPr>
              <w:pStyle w:val="TableText"/>
              <w:keepNext/>
              <w:jc w:val="center"/>
            </w:pPr>
            <w:r>
              <w:rPr>
                <w:rFonts w:ascii="Times New Roman" w:hAnsi="Times New Roman" w:cs="Times New Roman" w:eastAsia="Times New Roman"/>
                <w:b/>
                <w:sz w:val="21"/>
              </w:rPr>
              <w:t>Group delay (ms)</w:t>
            </w:r>
          </w:p>
        </w:tc>
      </w:tr>
      <w:tr>
        <w:trPr>
          <w:cantSplit/>
        </w:trPr>
        <w:tc>
          <w:tcPr>
            <w:tcW w:type="dxa" w:w="2835"/>
          </w:tcPr>
          <w:p>
            <w:pPr>
              <w:pStyle w:val="TableText"/>
              <w:keepNext/>
              <w:jc w:val="center"/>
            </w:pPr>
            <w:r>
              <w:rPr>
                <w:rFonts w:ascii="Times New Roman" w:hAnsi="Times New Roman" w:cs="Times New Roman" w:eastAsia="Times New Roman"/>
                <w:sz w:val="21"/>
              </w:rPr>
              <w:t>1</w:t>
            </w:r>
          </w:p>
        </w:tc>
        <w:tc>
          <w:tcPr>
            <w:tcW w:type="dxa" w:w="2835"/>
          </w:tcPr>
          <w:p>
            <w:pPr>
              <w:pStyle w:val="TableText"/>
              <w:keepNext/>
              <w:jc w:val="center"/>
            </w:pPr>
            <w:r>
              <w:rPr>
                <w:rFonts w:ascii="Times New Roman" w:hAnsi="Times New Roman" w:cs="Times New Roman" w:eastAsia="Times New Roman"/>
                <w:sz w:val="21"/>
              </w:rPr>
              <w:t>593.1</w:t>
            </w:r>
          </w:p>
        </w:tc>
      </w:tr>
      <w:tr>
        <w:trPr>
          <w:cantSplit/>
        </w:trPr>
        <w:tc>
          <w:tcPr>
            <w:tcW w:type="dxa" w:w="2835"/>
          </w:tcPr>
          <w:p>
            <w:pPr>
              <w:pStyle w:val="TableText"/>
              <w:keepNext/>
              <w:jc w:val="center"/>
            </w:pPr>
            <w:r>
              <w:rPr>
                <w:rFonts w:ascii="Times New Roman" w:hAnsi="Times New Roman" w:cs="Times New Roman" w:eastAsia="Times New Roman"/>
                <w:sz w:val="21"/>
              </w:rPr>
              <w:t>2</w:t>
            </w:r>
          </w:p>
        </w:tc>
        <w:tc>
          <w:tcPr>
            <w:tcW w:type="dxa" w:w="2835"/>
          </w:tcPr>
          <w:p>
            <w:pPr>
              <w:pStyle w:val="TableText"/>
              <w:keepNext/>
              <w:jc w:val="center"/>
            </w:pPr>
            <w:r>
              <w:rPr>
                <w:rFonts w:ascii="Times New Roman" w:hAnsi="Times New Roman" w:cs="Times New Roman" w:eastAsia="Times New Roman"/>
                <w:sz w:val="21"/>
              </w:rPr>
              <w:t>120.7</w:t>
            </w:r>
          </w:p>
        </w:tc>
      </w:tr>
      <w:tr>
        <w:trPr>
          <w:cantSplit/>
        </w:trPr>
        <w:tc>
          <w:tcPr>
            <w:tcW w:type="dxa" w:w="2835"/>
          </w:tcPr>
          <w:p>
            <w:pPr>
              <w:pStyle w:val="TableText"/>
              <w:jc w:val="center"/>
            </w:pPr>
            <w:r>
              <w:rPr>
                <w:rFonts w:ascii="Times New Roman" w:hAnsi="Times New Roman" w:cs="Times New Roman" w:eastAsia="Times New Roman"/>
                <w:sz w:val="21"/>
              </w:rPr>
              <w:t>5</w:t>
            </w:r>
          </w:p>
        </w:tc>
        <w:tc>
          <w:tcPr>
            <w:tcW w:type="dxa" w:w="2835"/>
          </w:tcPr>
          <w:p>
            <w:pPr>
              <w:pStyle w:val="TableText"/>
              <w:jc w:val="center"/>
            </w:pPr>
            <w:r>
              <w:rPr>
                <w:rFonts w:ascii="Times New Roman" w:hAnsi="Times New Roman" w:cs="Times New Roman" w:eastAsia="Times New Roman"/>
                <w:sz w:val="21"/>
              </w:rPr>
              <w:t>18.8</w:t>
            </w:r>
          </w:p>
        </w:tc>
      </w:tr>
      <w:tr>
        <w:trPr>
          <w:cantSplit/>
        </w:trPr>
        <w:tc>
          <w:tcPr>
            <w:tcW w:type="dxa" w:w="2835"/>
          </w:tcPr>
          <w:p>
            <w:pPr>
              <w:pStyle w:val="TableText"/>
              <w:jc w:val="center"/>
            </w:pPr>
            <w:r>
              <w:rPr>
                <w:rFonts w:ascii="Times New Roman" w:hAnsi="Times New Roman" w:cs="Times New Roman" w:eastAsia="Times New Roman"/>
                <w:sz w:val="21"/>
              </w:rPr>
              <w:t>10</w:t>
            </w:r>
          </w:p>
        </w:tc>
        <w:tc>
          <w:tcPr>
            <w:tcW w:type="dxa" w:w="2835"/>
          </w:tcPr>
          <w:p>
            <w:pPr>
              <w:pStyle w:val="TableText"/>
              <w:jc w:val="center"/>
            </w:pPr>
            <w:r>
              <w:rPr>
                <w:rFonts w:ascii="Times New Roman" w:hAnsi="Times New Roman" w:cs="Times New Roman" w:eastAsia="Times New Roman"/>
                <w:sz w:val="21"/>
              </w:rPr>
              <w:t>6.1</w:t>
            </w:r>
          </w:p>
        </w:tc>
      </w:tr>
      <w:tr>
        <w:trPr>
          <w:cantSplit/>
        </w:trPr>
        <w:tc>
          <w:tcPr>
            <w:tcW w:type="dxa" w:w="2835"/>
          </w:tcPr>
          <w:p>
            <w:pPr>
              <w:pStyle w:val="TableText"/>
              <w:jc w:val="center"/>
            </w:pPr>
            <w:r>
              <w:rPr>
                <w:rFonts w:ascii="Times New Roman" w:hAnsi="Times New Roman" w:cs="Times New Roman" w:eastAsia="Times New Roman"/>
                <w:sz w:val="21"/>
              </w:rPr>
              <w:t>20</w:t>
            </w:r>
          </w:p>
        </w:tc>
        <w:tc>
          <w:tcPr>
            <w:tcW w:type="dxa" w:w="2835"/>
          </w:tcPr>
          <w:p>
            <w:pPr>
              <w:pStyle w:val="TableText"/>
              <w:jc w:val="center"/>
            </w:pPr>
            <w:r>
              <w:rPr>
                <w:rFonts w:ascii="Times New Roman" w:hAnsi="Times New Roman" w:cs="Times New Roman" w:eastAsia="Times New Roman"/>
                <w:sz w:val="21"/>
              </w:rPr>
              <w:t>3.1</w:t>
            </w:r>
          </w:p>
        </w:tc>
      </w:tr>
      <w:tr>
        <w:trPr>
          <w:cantSplit/>
        </w:trPr>
        <w:tc>
          <w:tcPr>
            <w:tcW w:type="dxa" w:w="2835"/>
          </w:tcPr>
          <w:p>
            <w:pPr>
              <w:pStyle w:val="TableText"/>
              <w:jc w:val="center"/>
            </w:pPr>
            <w:r>
              <w:rPr>
                <w:rFonts w:ascii="Times New Roman" w:hAnsi="Times New Roman" w:cs="Times New Roman" w:eastAsia="Times New Roman"/>
                <w:sz w:val="21"/>
              </w:rPr>
              <w:t>30</w:t>
            </w:r>
          </w:p>
        </w:tc>
        <w:tc>
          <w:tcPr>
            <w:tcW w:type="dxa" w:w="2835"/>
          </w:tcPr>
          <w:p>
            <w:pPr>
              <w:pStyle w:val="TableText"/>
              <w:jc w:val="center"/>
            </w:pPr>
            <w:r>
              <w:rPr>
                <w:rFonts w:ascii="Times New Roman" w:hAnsi="Times New Roman" w:cs="Times New Roman" w:eastAsia="Times New Roman"/>
                <w:sz w:val="21"/>
              </w:rPr>
              <w:t>2.8</w:t>
            </w:r>
          </w:p>
        </w:tc>
      </w:tr>
      <w:tr>
        <w:trPr>
          <w:cantSplit/>
        </w:trPr>
        <w:tc>
          <w:tcPr>
            <w:tcW w:type="dxa" w:w="2835"/>
          </w:tcPr>
          <w:p>
            <w:pPr>
              <w:pStyle w:val="TableText"/>
              <w:jc w:val="center"/>
            </w:pPr>
            <w:r>
              <w:rPr>
                <w:rFonts w:ascii="Times New Roman" w:hAnsi="Times New Roman" w:cs="Times New Roman" w:eastAsia="Times New Roman"/>
                <w:sz w:val="21"/>
              </w:rPr>
              <w:t>40</w:t>
            </w:r>
          </w:p>
        </w:tc>
        <w:tc>
          <w:tcPr>
            <w:tcW w:type="dxa" w:w="2835"/>
          </w:tcPr>
          <w:p>
            <w:pPr>
              <w:pStyle w:val="TableText"/>
              <w:jc w:val="center"/>
            </w:pPr>
            <w:r>
              <w:rPr>
                <w:rFonts w:ascii="Times New Roman" w:hAnsi="Times New Roman" w:cs="Times New Roman" w:eastAsia="Times New Roman"/>
                <w:sz w:val="21"/>
              </w:rPr>
              <w:t>3.9</w:t>
            </w:r>
          </w:p>
        </w:tc>
      </w:tr>
      <w:tr>
        <w:trPr>
          <w:cantSplit/>
        </w:trPr>
        <w:tc>
          <w:tcPr>
            <w:tcW w:type="dxa" w:w="2835"/>
          </w:tcPr>
          <w:p>
            <w:pPr>
              <w:pStyle w:val="TableText"/>
              <w:jc w:val="center"/>
            </w:pPr>
            <w:r>
              <w:rPr>
                <w:rFonts w:ascii="Times New Roman" w:hAnsi="Times New Roman" w:cs="Times New Roman" w:eastAsia="Times New Roman"/>
                <w:sz w:val="21"/>
              </w:rPr>
              <w:t>60</w:t>
            </w:r>
          </w:p>
        </w:tc>
        <w:tc>
          <w:tcPr>
            <w:tcW w:type="dxa" w:w="2835"/>
          </w:tcPr>
          <w:p>
            <w:pPr>
              <w:pStyle w:val="TableText"/>
              <w:jc w:val="center"/>
            </w:pPr>
            <w:r>
              <w:rPr>
                <w:rFonts w:ascii="Times New Roman" w:hAnsi="Times New Roman" w:cs="Times New Roman" w:eastAsia="Times New Roman"/>
                <w:sz w:val="21"/>
              </w:rPr>
              <w:t>4.8</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5040000" cy="2034561"/>
            <wp:docPr id="31" name="Picture 31"/>
            <wp:cNvGraphicFramePr>
              <a:graphicFrameLocks noChangeAspect="1"/>
            </wp:cNvGraphicFramePr>
            <a:graphic>
              <a:graphicData uri="http://schemas.openxmlformats.org/drawingml/2006/picture">
                <pic:pic>
                  <pic:nvPicPr>
                    <pic:cNvPr id="0" name="fig_p100_shift.png"/>
                    <pic:cNvPicPr/>
                  </pic:nvPicPr>
                  <pic:blipFill>
                    <a:blip r:embed="rId39"/>
                    <a:stretch>
                      <a:fillRect/>
                    </a:stretch>
                  </pic:blipFill>
                  <pic:spPr>
                    <a:xfrm>
                      <a:off x="0" y="0"/>
                      <a:ext cx="5040000" cy="2034561"/>
                    </a:xfrm>
                    <a:prstGeom prst="rect"/>
                  </pic:spPr>
                </pic:pic>
              </a:graphicData>
            </a:graphic>
          </wp:inline>
        </w:drawing>
      </w:r>
    </w:p>
    <w:p>
      <w:pPr>
        <w:pStyle w:val="Caption"/>
      </w:pPr>
      <w:bookmarkStart w:id="1039" w:name="_Ref_Figure_5_3"/>
      <w:r>
        <w:rPr>
          <w:rFonts w:ascii="Times New Roman" w:hAnsi="Times New Roman" w:cs="Times New Roman" w:eastAsia="Times New Roman"/>
          <w:b/>
          <w:sz w:val="22"/>
        </w:rPr>
        <w:t xml:space="preserve">Figure 5.3: </w:t>
      </w:r>
      <w:r>
        <w:rPr>
          <w:rFonts w:ascii="Times New Roman" w:hAnsi="Times New Roman" w:cs="Times New Roman" w:eastAsia="Times New Roman"/>
          <w:sz w:val="22"/>
        </w:rPr>
        <w:t>Left: group delay of the single-pass filters versus the zero-phase pipeline (shaded band: ±1 sample, 4 ms). Right: mean P100 latency error by class (original generator; shaded band: ±4 ms).</w:t>
      </w:r>
      <w:bookmarkEnd w:id="1039"/>
    </w:p>
    <w:p>
      <w:pPr>
        <w:pStyle w:val="Heading3"/>
      </w:pPr>
      <w:r>
        <w:rPr>
          <w:rFonts w:ascii="Times New Roman" w:hAnsi="Times New Roman" w:cs="Times New Roman" w:eastAsia="Times New Roman"/>
          <w:b/>
          <w:sz w:val="24"/>
        </w:rPr>
        <w:t>5.2.4  CONDITIONED-WAVEFORM STATISTICS</w:t>
      </w:r>
    </w:p>
    <w:p>
      <w:pPr>
        <w:pStyle w:val="BodyJ"/>
      </w:pPr>
      <w:r>
        <w:rPr>
          <w:rFonts w:ascii="Times New Roman" w:hAnsi="Times New Roman" w:cs="Times New Roman" w:eastAsia="Times New Roman"/>
        </w:rPr>
        <w:t>After conditioning and z-scoring, the peak value of the P100 window was 8.38 ± 0.27 for Healthy Control, 6.85 ± 0.41 for Glaucoma and 7.51 ± 0.54 for Optic Neuritis / CVI (mean ± SD, 50 trials per class). Figure 5.4 shows the distributions of the detected latency and of the peak value.</w:t>
      </w:r>
    </w:p>
    <w:p>
      <w:pPr>
        <w:keepNext/>
        <w:spacing w:before="120" w:after="40" w:line="240" w:lineRule="auto"/>
        <w:jc w:val="center"/>
      </w:pPr>
      <w:r>
        <w:drawing>
          <wp:inline xmlns:a="http://schemas.openxmlformats.org/drawingml/2006/main" xmlns:pic="http://schemas.openxmlformats.org/drawingml/2006/picture">
            <wp:extent cx="4860000" cy="1867138"/>
            <wp:docPr id="32" name="Picture 32"/>
            <wp:cNvGraphicFramePr>
              <a:graphicFrameLocks noChangeAspect="1"/>
            </wp:cNvGraphicFramePr>
            <a:graphic>
              <a:graphicData uri="http://schemas.openxmlformats.org/drawingml/2006/picture">
                <pic:pic>
                  <pic:nvPicPr>
                    <pic:cNvPr id="0" name="fig_class_distributions.png"/>
                    <pic:cNvPicPr/>
                  </pic:nvPicPr>
                  <pic:blipFill>
                    <a:blip r:embed="rId40"/>
                    <a:stretch>
                      <a:fillRect/>
                    </a:stretch>
                  </pic:blipFill>
                  <pic:spPr>
                    <a:xfrm>
                      <a:off x="0" y="0"/>
                      <a:ext cx="4860000" cy="1867138"/>
                    </a:xfrm>
                    <a:prstGeom prst="rect"/>
                  </pic:spPr>
                </pic:pic>
              </a:graphicData>
            </a:graphic>
          </wp:inline>
        </w:drawing>
      </w:r>
    </w:p>
    <w:p>
      <w:pPr>
        <w:pStyle w:val="Caption"/>
      </w:pPr>
      <w:bookmarkStart w:id="1040" w:name="_Ref_Figure_5_4"/>
      <w:r>
        <w:rPr>
          <w:rFonts w:ascii="Times New Roman" w:hAnsi="Times New Roman" w:cs="Times New Roman" w:eastAsia="Times New Roman"/>
          <w:b/>
          <w:sz w:val="22"/>
        </w:rPr>
        <w:t xml:space="preserve">Figure 5.4: </w:t>
      </w:r>
      <w:r>
        <w:rPr>
          <w:rFonts w:ascii="Times New Roman" w:hAnsi="Times New Roman" w:cs="Times New Roman" w:eastAsia="Times New Roman"/>
          <w:sz w:val="22"/>
        </w:rPr>
        <w:t>Distributions over 50 trials per class from the original synthetic generator: detected P100 latency after conditioning (left) and peak value after z-scoring (right).</w:t>
      </w:r>
      <w:bookmarkEnd w:id="1040"/>
    </w:p>
    <w:p>
      <w:pPr>
        <w:pStyle w:val="Heading3"/>
      </w:pPr>
      <w:r>
        <w:rPr>
          <w:rFonts w:ascii="Times New Roman" w:hAnsi="Times New Roman" w:cs="Times New Roman" w:eastAsia="Times New Roman"/>
          <w:b/>
          <w:sz w:val="24"/>
        </w:rPr>
        <w:t>5.2.5  NOMINAL TEMPORAL-TOKEN BINS</w:t>
      </w:r>
    </w:p>
    <w:p>
      <w:pPr>
        <w:pStyle w:val="BodyJ"/>
      </w:pPr>
      <w:r>
        <w:rPr>
          <w:rFonts w:ascii="Times New Roman" w:hAnsi="Times New Roman" w:cs="Times New Roman" w:eastAsia="Times New Roman"/>
        </w:rPr>
        <w:t>The temporal encoder reduces the 500-sample record to 16 tokens, so that each token nominally spans 125 ms of the 2.0 s record. The ground-truth P100 latencies of the three classes (100, 108 and 140 ms) fall in token 0 for Healthy Control, token 0 for Glaucoma and token 1 for Optic Neuritis / CVI (the token mapping is illustrated in Figure 4.3).</w:t>
      </w:r>
    </w:p>
    <w:p>
      <w:pPr>
        <w:pStyle w:val="Heading2"/>
      </w:pPr>
      <w:r>
        <w:rPr>
          <w:rFonts w:ascii="Times New Roman" w:hAnsi="Times New Roman" w:cs="Times New Roman" w:eastAsia="Times New Roman"/>
          <w:b/>
          <w:sz w:val="28"/>
        </w:rPr>
        <w:t>5.3  SYNTHETIC MRI CHARACTERISATION</w:t>
      </w:r>
    </w:p>
    <w:p>
      <w:pPr>
        <w:pStyle w:val="BodyJ"/>
      </w:pPr>
      <w:r>
        <w:rPr>
          <w:rFonts w:ascii="Times New Roman" w:hAnsi="Times New Roman" w:cs="Times New Roman" w:eastAsia="Times New Roman"/>
        </w:rPr>
        <w:t>One seeded synthetic volume of shape (80, 96, 64) was generated per class and the intensity statistics of the class-specific regions of interest (ROI) were measured, together with the effect of the project's foreground-mask function at its default 60th percentile (Table 5.4). The ROIs are the atrophy-proxy block [D/2:, :H/2, :W/2] and the lesion-proxy block [:D/2, H/2:, W/2:] described in Section 3.5.</w:t>
      </w:r>
      <w:r>
        <w:rPr>
          <w:rFonts w:ascii="Times New Roman" w:hAnsi="Times New Roman" w:cs="Times New Roman" w:eastAsia="Times New Roman"/>
        </w:rPr>
        <w:t xml:space="preserve"> These measurements used the original generator; the current generator places lesions at random positions, so that fixed regions of interest no longer apply.</w:t>
      </w:r>
    </w:p>
    <w:p>
      <w:pPr>
        <w:pStyle w:val="Caption"/>
        <w:keepNext/>
        <w:spacing w:before="160" w:after="80"/>
      </w:pPr>
      <w:bookmarkStart w:id="1041" w:name="_Ref_Table_5_4"/>
      <w:r>
        <w:rPr>
          <w:rFonts w:ascii="Times New Roman" w:hAnsi="Times New Roman" w:cs="Times New Roman" w:eastAsia="Times New Roman"/>
          <w:b/>
          <w:sz w:val="22"/>
        </w:rPr>
        <w:t xml:space="preserve">Table 5.4: </w:t>
      </w:r>
      <w:r>
        <w:rPr>
          <w:rFonts w:ascii="Times New Roman" w:hAnsi="Times New Roman" w:cs="Times New Roman" w:eastAsia="Times New Roman"/>
          <w:sz w:val="22"/>
        </w:rPr>
        <w:t>Synthetic MRI (original generator): mean intensity of regions of interest and effect of the 60th-percentile foreground mask.</w:t>
      </w:r>
      <w:bookmarkEnd w:id="1041"/>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01"/>
        <w:gridCol w:w="1077"/>
        <w:gridCol w:w="1077"/>
        <w:gridCol w:w="1077"/>
        <w:gridCol w:w="1020"/>
        <w:gridCol w:w="1190"/>
        <w:gridCol w:w="1162"/>
      </w:tblGrid>
      <w:tr>
        <w:trPr>
          <w:cantSplit/>
          <w:tblHeader/>
        </w:trPr>
        <w:tc>
          <w:tcPr>
            <w:tcW w:type="dxa" w:w="1701"/>
            <w:shd w:val="clear" w:color="auto" w:fill="D9D9D9"/>
          </w:tcPr>
          <w:p>
            <w:pPr>
              <w:pStyle w:val="TableText"/>
              <w:keepNext/>
              <w:jc w:val="left"/>
            </w:pPr>
            <w:r>
              <w:rPr>
                <w:rFonts w:ascii="Times New Roman" w:hAnsi="Times New Roman" w:cs="Times New Roman" w:eastAsia="Times New Roman"/>
                <w:b/>
                <w:sz w:val="20"/>
              </w:rPr>
              <w:t>Class</w:t>
            </w:r>
          </w:p>
        </w:tc>
        <w:tc>
          <w:tcPr>
            <w:tcW w:type="dxa" w:w="1077"/>
            <w:shd w:val="clear" w:color="auto" w:fill="D9D9D9"/>
          </w:tcPr>
          <w:p>
            <w:pPr>
              <w:pStyle w:val="TableText"/>
              <w:keepNext/>
              <w:jc w:val="center"/>
            </w:pPr>
            <w:r>
              <w:rPr>
                <w:rFonts w:ascii="Times New Roman" w:hAnsi="Times New Roman" w:cs="Times New Roman" w:eastAsia="Times New Roman"/>
                <w:b/>
                <w:sz w:val="20"/>
              </w:rPr>
              <w:t>Mean, rest of volume</w:t>
            </w:r>
          </w:p>
        </w:tc>
        <w:tc>
          <w:tcPr>
            <w:tcW w:type="dxa" w:w="1077"/>
            <w:shd w:val="clear" w:color="auto" w:fill="D9D9D9"/>
          </w:tcPr>
          <w:p>
            <w:pPr>
              <w:pStyle w:val="TableText"/>
              <w:keepNext/>
              <w:jc w:val="center"/>
            </w:pPr>
            <w:r>
              <w:rPr>
                <w:rFonts w:ascii="Times New Roman" w:hAnsi="Times New Roman" w:cs="Times New Roman" w:eastAsia="Times New Roman"/>
                <w:b/>
                <w:sz w:val="20"/>
              </w:rPr>
              <w:t>Mean, atrophy ROI</w:t>
            </w:r>
          </w:p>
        </w:tc>
        <w:tc>
          <w:tcPr>
            <w:tcW w:type="dxa" w:w="1077"/>
            <w:shd w:val="clear" w:color="auto" w:fill="D9D9D9"/>
          </w:tcPr>
          <w:p>
            <w:pPr>
              <w:pStyle w:val="TableText"/>
              <w:keepNext/>
              <w:jc w:val="center"/>
            </w:pPr>
            <w:r>
              <w:rPr>
                <w:rFonts w:ascii="Times New Roman" w:hAnsi="Times New Roman" w:cs="Times New Roman" w:eastAsia="Times New Roman"/>
                <w:b/>
                <w:sz w:val="20"/>
              </w:rPr>
              <w:t>Mean, lesion ROI</w:t>
            </w:r>
          </w:p>
        </w:tc>
        <w:tc>
          <w:tcPr>
            <w:tcW w:type="dxa" w:w="1020"/>
            <w:shd w:val="clear" w:color="auto" w:fill="D9D9D9"/>
          </w:tcPr>
          <w:p>
            <w:pPr>
              <w:pStyle w:val="TableText"/>
              <w:keepNext/>
              <w:jc w:val="center"/>
            </w:pPr>
            <w:r>
              <w:rPr>
                <w:rFonts w:ascii="Times New Roman" w:hAnsi="Times New Roman" w:cs="Times New Roman" w:eastAsia="Times New Roman"/>
                <w:b/>
                <w:sz w:val="20"/>
              </w:rPr>
              <w:t>Voxels zeroed (%)</w:t>
            </w:r>
          </w:p>
        </w:tc>
        <w:tc>
          <w:tcPr>
            <w:tcW w:type="dxa" w:w="1191"/>
            <w:shd w:val="clear" w:color="auto" w:fill="D9D9D9"/>
          </w:tcPr>
          <w:p>
            <w:pPr>
              <w:pStyle w:val="TableText"/>
              <w:keepNext/>
              <w:jc w:val="center"/>
            </w:pPr>
            <w:r>
              <w:rPr>
                <w:rFonts w:ascii="Times New Roman" w:hAnsi="Times New Roman" w:cs="Times New Roman" w:eastAsia="Times New Roman"/>
                <w:b/>
                <w:sz w:val="20"/>
              </w:rPr>
              <w:t>Atrophy ROI retained (%)</w:t>
            </w:r>
          </w:p>
        </w:tc>
        <w:tc>
          <w:tcPr>
            <w:tcW w:type="dxa" w:w="1162"/>
            <w:shd w:val="clear" w:color="auto" w:fill="D9D9D9"/>
          </w:tcPr>
          <w:p>
            <w:pPr>
              <w:pStyle w:val="TableText"/>
              <w:keepNext/>
              <w:jc w:val="center"/>
            </w:pPr>
            <w:r>
              <w:rPr>
                <w:rFonts w:ascii="Times New Roman" w:hAnsi="Times New Roman" w:cs="Times New Roman" w:eastAsia="Times New Roman"/>
                <w:b/>
                <w:sz w:val="20"/>
              </w:rPr>
              <w:t>Lesion ROI retained (%)</w:t>
            </w:r>
          </w:p>
        </w:tc>
      </w:tr>
      <w:tr>
        <w:trPr>
          <w:cantSplit/>
        </w:trPr>
        <w:tc>
          <w:tcPr>
            <w:tcW w:type="dxa" w:w="1701"/>
          </w:tcPr>
          <w:p>
            <w:pPr>
              <w:pStyle w:val="TableText"/>
              <w:keepNext/>
              <w:jc w:val="left"/>
            </w:pPr>
            <w:r>
              <w:rPr>
                <w:rFonts w:ascii="Times New Roman" w:hAnsi="Times New Roman" w:cs="Times New Roman" w:eastAsia="Times New Roman"/>
                <w:sz w:val="20"/>
              </w:rPr>
              <w:t>Healthy Control</w:t>
            </w:r>
          </w:p>
        </w:tc>
        <w:tc>
          <w:tcPr>
            <w:tcW w:type="dxa" w:w="1077"/>
          </w:tcPr>
          <w:p>
            <w:pPr>
              <w:pStyle w:val="TableText"/>
              <w:keepNext/>
              <w:jc w:val="center"/>
            </w:pPr>
            <w:r>
              <w:rPr>
                <w:rFonts w:ascii="Times New Roman" w:hAnsi="Times New Roman" w:cs="Times New Roman" w:eastAsia="Times New Roman"/>
                <w:sz w:val="20"/>
              </w:rPr>
              <w:t>100.0</w:t>
            </w:r>
          </w:p>
        </w:tc>
        <w:tc>
          <w:tcPr>
            <w:tcW w:type="dxa" w:w="1077"/>
          </w:tcPr>
          <w:p>
            <w:pPr>
              <w:pStyle w:val="TableText"/>
              <w:keepNext/>
              <w:jc w:val="center"/>
            </w:pPr>
            <w:r>
              <w:rPr>
                <w:rFonts w:ascii="Times New Roman" w:hAnsi="Times New Roman" w:cs="Times New Roman" w:eastAsia="Times New Roman"/>
                <w:sz w:val="20"/>
              </w:rPr>
              <w:t>99.9</w:t>
            </w:r>
          </w:p>
        </w:tc>
        <w:tc>
          <w:tcPr>
            <w:tcW w:type="dxa" w:w="1077"/>
          </w:tcPr>
          <w:p>
            <w:pPr>
              <w:pStyle w:val="TableText"/>
              <w:keepNext/>
              <w:jc w:val="center"/>
            </w:pPr>
            <w:r>
              <w:rPr>
                <w:rFonts w:ascii="Times New Roman" w:hAnsi="Times New Roman" w:cs="Times New Roman" w:eastAsia="Times New Roman"/>
                <w:sz w:val="20"/>
              </w:rPr>
              <w:t>100.0</w:t>
            </w:r>
          </w:p>
        </w:tc>
        <w:tc>
          <w:tcPr>
            <w:tcW w:type="dxa" w:w="1020"/>
          </w:tcPr>
          <w:p>
            <w:pPr>
              <w:pStyle w:val="TableText"/>
              <w:keepNext/>
              <w:jc w:val="center"/>
            </w:pPr>
            <w:r>
              <w:rPr>
                <w:rFonts w:ascii="Times New Roman" w:hAnsi="Times New Roman" w:cs="Times New Roman" w:eastAsia="Times New Roman"/>
                <w:sz w:val="20"/>
              </w:rPr>
              <w:t>60.0</w:t>
            </w:r>
          </w:p>
        </w:tc>
        <w:tc>
          <w:tcPr>
            <w:tcW w:type="dxa" w:w="1191"/>
          </w:tcPr>
          <w:p>
            <w:pPr>
              <w:pStyle w:val="TableText"/>
              <w:keepNext/>
              <w:jc w:val="center"/>
            </w:pPr>
            <w:r>
              <w:rPr>
                <w:rFonts w:ascii="Times New Roman" w:hAnsi="Times New Roman" w:cs="Times New Roman" w:eastAsia="Times New Roman"/>
                <w:sz w:val="20"/>
              </w:rPr>
              <w:t>39.7</w:t>
            </w:r>
          </w:p>
        </w:tc>
        <w:tc>
          <w:tcPr>
            <w:tcW w:type="dxa" w:w="1162"/>
          </w:tcPr>
          <w:p>
            <w:pPr>
              <w:pStyle w:val="TableText"/>
              <w:keepNext/>
              <w:jc w:val="center"/>
            </w:pPr>
            <w:r>
              <w:rPr>
                <w:rFonts w:ascii="Times New Roman" w:hAnsi="Times New Roman" w:cs="Times New Roman" w:eastAsia="Times New Roman"/>
                <w:sz w:val="20"/>
              </w:rPr>
              <w:t>40.0</w:t>
            </w:r>
          </w:p>
        </w:tc>
      </w:tr>
      <w:tr>
        <w:trPr>
          <w:cantSplit/>
        </w:trPr>
        <w:tc>
          <w:tcPr>
            <w:tcW w:type="dxa" w:w="1701"/>
          </w:tcPr>
          <w:p>
            <w:pPr>
              <w:pStyle w:val="TableText"/>
              <w:keepNext/>
              <w:jc w:val="left"/>
            </w:pPr>
            <w:r>
              <w:rPr>
                <w:rFonts w:ascii="Times New Roman" w:hAnsi="Times New Roman" w:cs="Times New Roman" w:eastAsia="Times New Roman"/>
                <w:sz w:val="20"/>
              </w:rPr>
              <w:t>Glaucoma</w:t>
            </w:r>
          </w:p>
        </w:tc>
        <w:tc>
          <w:tcPr>
            <w:tcW w:type="dxa" w:w="1077"/>
          </w:tcPr>
          <w:p>
            <w:pPr>
              <w:pStyle w:val="TableText"/>
              <w:keepNext/>
              <w:jc w:val="center"/>
            </w:pPr>
            <w:r>
              <w:rPr>
                <w:rFonts w:ascii="Times New Roman" w:hAnsi="Times New Roman" w:cs="Times New Roman" w:eastAsia="Times New Roman"/>
                <w:sz w:val="20"/>
              </w:rPr>
              <w:t>100.0</w:t>
            </w:r>
          </w:p>
        </w:tc>
        <w:tc>
          <w:tcPr>
            <w:tcW w:type="dxa" w:w="1077"/>
          </w:tcPr>
          <w:p>
            <w:pPr>
              <w:pStyle w:val="TableText"/>
              <w:keepNext/>
              <w:jc w:val="center"/>
            </w:pPr>
            <w:r>
              <w:rPr>
                <w:rFonts w:ascii="Times New Roman" w:hAnsi="Times New Roman" w:cs="Times New Roman" w:eastAsia="Times New Roman"/>
                <w:sz w:val="20"/>
              </w:rPr>
              <w:t>40.0</w:t>
            </w:r>
          </w:p>
        </w:tc>
        <w:tc>
          <w:tcPr>
            <w:tcW w:type="dxa" w:w="1077"/>
          </w:tcPr>
          <w:p>
            <w:pPr>
              <w:pStyle w:val="TableText"/>
              <w:keepNext/>
              <w:jc w:val="center"/>
            </w:pPr>
            <w:r>
              <w:rPr>
                <w:rFonts w:ascii="Times New Roman" w:hAnsi="Times New Roman" w:cs="Times New Roman" w:eastAsia="Times New Roman"/>
                <w:sz w:val="20"/>
              </w:rPr>
              <w:t>100.0</w:t>
            </w:r>
          </w:p>
        </w:tc>
        <w:tc>
          <w:tcPr>
            <w:tcW w:type="dxa" w:w="1020"/>
          </w:tcPr>
          <w:p>
            <w:pPr>
              <w:pStyle w:val="TableText"/>
              <w:keepNext/>
              <w:jc w:val="center"/>
            </w:pPr>
            <w:r>
              <w:rPr>
                <w:rFonts w:ascii="Times New Roman" w:hAnsi="Times New Roman" w:cs="Times New Roman" w:eastAsia="Times New Roman"/>
                <w:sz w:val="20"/>
              </w:rPr>
              <w:t>60.0</w:t>
            </w:r>
          </w:p>
        </w:tc>
        <w:tc>
          <w:tcPr>
            <w:tcW w:type="dxa" w:w="1191"/>
          </w:tcPr>
          <w:p>
            <w:pPr>
              <w:pStyle w:val="TableText"/>
              <w:keepNext/>
              <w:jc w:val="center"/>
            </w:pPr>
            <w:r>
              <w:rPr>
                <w:rFonts w:ascii="Times New Roman" w:hAnsi="Times New Roman" w:cs="Times New Roman" w:eastAsia="Times New Roman"/>
                <w:sz w:val="20"/>
              </w:rPr>
              <w:t>0.0</w:t>
            </w:r>
          </w:p>
        </w:tc>
        <w:tc>
          <w:tcPr>
            <w:tcW w:type="dxa" w:w="1162"/>
          </w:tcPr>
          <w:p>
            <w:pPr>
              <w:pStyle w:val="TableText"/>
              <w:keepNext/>
              <w:jc w:val="center"/>
            </w:pPr>
            <w:r>
              <w:rPr>
                <w:rFonts w:ascii="Times New Roman" w:hAnsi="Times New Roman" w:cs="Times New Roman" w:eastAsia="Times New Roman"/>
                <w:sz w:val="20"/>
              </w:rPr>
              <w:t>45.7</w:t>
            </w:r>
          </w:p>
        </w:tc>
      </w:tr>
      <w:tr>
        <w:trPr>
          <w:cantSplit/>
        </w:trPr>
        <w:tc>
          <w:tcPr>
            <w:tcW w:type="dxa" w:w="1701"/>
          </w:tcPr>
          <w:p>
            <w:pPr>
              <w:pStyle w:val="TableText"/>
              <w:jc w:val="left"/>
            </w:pPr>
            <w:r>
              <w:rPr>
                <w:rFonts w:ascii="Times New Roman" w:hAnsi="Times New Roman" w:cs="Times New Roman" w:eastAsia="Times New Roman"/>
                <w:sz w:val="20"/>
              </w:rPr>
              <w:t>Optic Neuritis / CVI</w:t>
            </w:r>
          </w:p>
        </w:tc>
        <w:tc>
          <w:tcPr>
            <w:tcW w:type="dxa" w:w="1077"/>
          </w:tcPr>
          <w:p>
            <w:pPr>
              <w:pStyle w:val="TableText"/>
              <w:jc w:val="center"/>
            </w:pPr>
            <w:r>
              <w:rPr>
                <w:rFonts w:ascii="Times New Roman" w:hAnsi="Times New Roman" w:cs="Times New Roman" w:eastAsia="Times New Roman"/>
                <w:sz w:val="20"/>
              </w:rPr>
              <w:t>100.0</w:t>
            </w:r>
          </w:p>
        </w:tc>
        <w:tc>
          <w:tcPr>
            <w:tcW w:type="dxa" w:w="1077"/>
          </w:tcPr>
          <w:p>
            <w:pPr>
              <w:pStyle w:val="TableText"/>
              <w:jc w:val="center"/>
            </w:pPr>
            <w:r>
              <w:rPr>
                <w:rFonts w:ascii="Times New Roman" w:hAnsi="Times New Roman" w:cs="Times New Roman" w:eastAsia="Times New Roman"/>
                <w:sz w:val="20"/>
              </w:rPr>
              <w:t>100.1</w:t>
            </w:r>
          </w:p>
        </w:tc>
        <w:tc>
          <w:tcPr>
            <w:tcW w:type="dxa" w:w="1077"/>
          </w:tcPr>
          <w:p>
            <w:pPr>
              <w:pStyle w:val="TableText"/>
              <w:jc w:val="center"/>
            </w:pPr>
            <w:r>
              <w:rPr>
                <w:rFonts w:ascii="Times New Roman" w:hAnsi="Times New Roman" w:cs="Times New Roman" w:eastAsia="Times New Roman"/>
                <w:sz w:val="20"/>
              </w:rPr>
              <w:t>179.9</w:t>
            </w:r>
          </w:p>
        </w:tc>
        <w:tc>
          <w:tcPr>
            <w:tcW w:type="dxa" w:w="1020"/>
          </w:tcPr>
          <w:p>
            <w:pPr>
              <w:pStyle w:val="TableText"/>
              <w:jc w:val="center"/>
            </w:pPr>
            <w:r>
              <w:rPr>
                <w:rFonts w:ascii="Times New Roman" w:hAnsi="Times New Roman" w:cs="Times New Roman" w:eastAsia="Times New Roman"/>
                <w:sz w:val="20"/>
              </w:rPr>
              <w:t>60.0</w:t>
            </w:r>
          </w:p>
        </w:tc>
        <w:tc>
          <w:tcPr>
            <w:tcW w:type="dxa" w:w="1191"/>
          </w:tcPr>
          <w:p>
            <w:pPr>
              <w:pStyle w:val="TableText"/>
              <w:jc w:val="center"/>
            </w:pPr>
            <w:r>
              <w:rPr>
                <w:rFonts w:ascii="Times New Roman" w:hAnsi="Times New Roman" w:cs="Times New Roman" w:eastAsia="Times New Roman"/>
                <w:sz w:val="20"/>
              </w:rPr>
              <w:t>31.7</w:t>
            </w:r>
          </w:p>
        </w:tc>
        <w:tc>
          <w:tcPr>
            <w:tcW w:type="dxa" w:w="1162"/>
          </w:tcPr>
          <w:p>
            <w:pPr>
              <w:pStyle w:val="TableText"/>
              <w:jc w:val="center"/>
            </w:pPr>
            <w:r>
              <w:rPr>
                <w:rFonts w:ascii="Times New Roman" w:hAnsi="Times New Roman" w:cs="Times New Roman" w:eastAsia="Times New Roman"/>
                <w:sz w:val="20"/>
              </w:rPr>
              <w:t>99.7</w:t>
            </w:r>
          </w:p>
        </w:tc>
      </w:tr>
    </w:tbl>
    <w:p>
      <w:pPr>
        <w:spacing w:after="80" w:line="240" w:lineRule="auto"/>
      </w:pPr>
    </w:p>
    <w:p>
      <w:pPr>
        <w:pStyle w:val="Heading2"/>
      </w:pPr>
      <w:r>
        <w:rPr>
          <w:rFonts w:ascii="Times New Roman" w:hAnsi="Times New Roman" w:cs="Times New Roman" w:eastAsia="Times New Roman"/>
          <w:b/>
          <w:sz w:val="28"/>
        </w:rPr>
        <w:t>5.4  MODEL COMPLEXITY</w:t>
      </w:r>
    </w:p>
    <w:p>
      <w:pPr>
        <w:pStyle w:val="BodyJ"/>
      </w:pPr>
      <w:r>
        <w:rPr>
          <w:rFonts w:ascii="Times New Roman" w:hAnsi="Times New Roman" w:cs="Times New Roman" w:eastAsia="Times New Roman"/>
        </w:rPr>
        <w:t xml:space="preserve">The number of trainable parameters and the multiply-accumulate (MAC) operations per sample were counted from the layer definitions in </w:t>
      </w:r>
      <w:r>
        <w:rPr>
          <w:rFonts w:ascii="Courier New" w:hAnsi="Courier New" w:cs="Courier New" w:eastAsia="Courier New"/>
        </w:rPr>
        <w:t xml:space="preserve">src/models/*.py</w:t>
      </w:r>
      <w:r>
        <w:rPr>
          <w:rFonts w:ascii="Times New Roman" w:hAnsi="Times New Roman" w:cs="Times New Roman" w:eastAsia="Times New Roman"/>
        </w:rPr>
        <w:t xml:space="preserve"> at the default configuration (Table 5.5). Batch-normalisation running statistics are buffers, not trainable parameters, and are excluded; MAC counts include convolutions, linear layers and the attention matrix products, and exclude normalisation, activation, pooling and the softmax. In total the final (v2/v3) model has 1,955,140 trainable parameters (three classes) and about 2.60 billion MACs per sample at 64³ (0.39 billion at 32³). For comparison, the original (v1) model had 1,055,081 trainable parameters and 2.53 billion MACs.</w:t>
      </w:r>
    </w:p>
    <w:p>
      <w:pPr>
        <w:pStyle w:val="Caption"/>
        <w:keepNext/>
        <w:spacing w:before="160" w:after="80"/>
      </w:pPr>
      <w:bookmarkStart w:id="1042" w:name="_Ref_Table_5_5"/>
      <w:r>
        <w:rPr>
          <w:rFonts w:ascii="Times New Roman" w:hAnsi="Times New Roman" w:cs="Times New Roman" w:eastAsia="Times New Roman"/>
          <w:b/>
          <w:sz w:val="22"/>
        </w:rPr>
        <w:t xml:space="preserve">Table 5.5: </w:t>
      </w:r>
      <w:r>
        <w:rPr>
          <w:rFonts w:ascii="Times New Roman" w:hAnsi="Times New Roman" w:cs="Times New Roman" w:eastAsia="Times New Roman"/>
          <w:sz w:val="22"/>
        </w:rPr>
        <w:t xml:space="preserve">Trainable parameters and multiply-accumulates (millions, at 64³) per sample for the default (v2/v3) model.</w:t>
      </w:r>
      <w:bookmarkEnd w:id="1042"/>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4300"/>
        <w:gridCol w:w="2000"/>
        <w:gridCol w:w="2006"/>
      </w:tblGrid>
      <w:tr>
        <w:trPr>
          <w:cantSplit/>
          <w:tblHeader/>
        </w:trPr>
        <w:tc>
          <w:tcPr>
            <w:tcW w:type="dxa" w:w="4300"/>
            <w:shd w:val="clear" w:color="auto" w:fill="D9D9D9"/>
          </w:tcPr>
          <w:p>
            <w:pPr>
              <w:pStyle w:val="TableText"/>
              <w:keepNext/>
              <w:jc w:val="left"/>
            </w:pPr>
            <w:r>
              <w:rPr>
                <w:rFonts w:ascii="Times New Roman" w:hAnsi="Times New Roman" w:cs="Times New Roman" w:eastAsia="Times New Roman"/>
                <w:b/>
                <w:sz w:val="20"/>
              </w:rPr>
              <w:t xml:space="preserve">Component</w:t>
            </w:r>
          </w:p>
        </w:tc>
        <w:tc>
          <w:tcPr>
            <w:tcW w:type="dxa" w:w="2000"/>
            <w:shd w:val="clear" w:color="auto" w:fill="D9D9D9"/>
          </w:tcPr>
          <w:p>
            <w:pPr>
              <w:pStyle w:val="TableText"/>
              <w:keepNext/>
              <w:jc w:val="left"/>
            </w:pPr>
            <w:r>
              <w:rPr>
                <w:rFonts w:ascii="Times New Roman" w:hAnsi="Times New Roman" w:cs="Times New Roman" w:eastAsia="Times New Roman"/>
                <w:b/>
                <w:sz w:val="20"/>
              </w:rPr>
              <w:t xml:space="preserve">Parameters</w:t>
            </w:r>
          </w:p>
        </w:tc>
        <w:tc>
          <w:tcPr>
            <w:tcW w:type="dxa" w:w="2006"/>
            <w:shd w:val="clear" w:color="auto" w:fill="D9D9D9"/>
          </w:tcPr>
          <w:p>
            <w:pPr>
              <w:pStyle w:val="TableText"/>
              <w:keepNext/>
              <w:jc w:val="left"/>
            </w:pPr>
            <w:r>
              <w:rPr>
                <w:rFonts w:ascii="Times New Roman" w:hAnsi="Times New Roman" w:cs="Times New Roman" w:eastAsia="Times New Roman"/>
                <w:b/>
                <w:sz w:val="20"/>
              </w:rPr>
              <w:t xml:space="preserve">MACs (millions)</w:t>
            </w:r>
          </w:p>
        </w:tc>
      </w:tr>
      <w:tr>
        <w:trPr>
          <w:cantSplit/>
        </w:trPr>
        <w:tc>
          <w:tcPr>
            <w:tcW w:type="dxa" w:w="4300"/>
          </w:tcPr>
          <w:p>
            <w:pPr>
              <w:pStyle w:val="TableText"/>
              <w:keepNext/>
              <w:jc w:val="left"/>
            </w:pPr>
            <w:r>
              <w:rPr>
                <w:rFonts w:ascii="Times New Roman" w:hAnsi="Times New Roman" w:cs="Times New Roman" w:eastAsia="Times New Roman"/>
                <w:sz w:val="20"/>
              </w:rPr>
              <w:t xml:space="preserve">Spatial encoder (3D ResNet + SE)</w:t>
            </w:r>
          </w:p>
        </w:tc>
        <w:tc>
          <w:tcPr>
            <w:tcW w:type="dxa" w:w="2000"/>
          </w:tcPr>
          <w:p>
            <w:pPr>
              <w:pStyle w:val="TableText"/>
              <w:keepNext/>
              <w:jc w:val="left"/>
            </w:pPr>
            <w:r>
              <w:rPr>
                <w:rFonts w:ascii="Times New Roman" w:hAnsi="Times New Roman" w:cs="Times New Roman" w:eastAsia="Times New Roman"/>
                <w:sz w:val="20"/>
              </w:rPr>
              <w:t xml:space="preserve">894,504</w:t>
            </w:r>
          </w:p>
        </w:tc>
        <w:tc>
          <w:tcPr>
            <w:tcW w:type="dxa" w:w="2006"/>
          </w:tcPr>
          <w:p>
            <w:pPr>
              <w:pStyle w:val="TableText"/>
              <w:keepNext/>
              <w:jc w:val="left"/>
            </w:pPr>
            <w:r>
              <w:rPr>
                <w:rFonts w:ascii="Times New Roman" w:hAnsi="Times New Roman" w:cs="Times New Roman" w:eastAsia="Times New Roman"/>
                <w:sz w:val="20"/>
              </w:rPr>
              <w:t xml:space="preserve">2,522.68</w:t>
            </w:r>
          </w:p>
        </w:tc>
      </w:tr>
      <w:tr>
        <w:trPr>
          <w:cantSplit/>
        </w:trPr>
        <w:tc>
          <w:tcPr>
            <w:tcW w:type="dxa" w:w="4300"/>
          </w:tcPr>
          <w:p>
            <w:pPr>
              <w:pStyle w:val="TableText"/>
              <w:keepNext/>
              <w:jc w:val="left"/>
            </w:pPr>
            <w:r>
              <w:rPr>
                <w:rFonts w:ascii="Times New Roman" w:hAnsi="Times New Roman" w:cs="Times New Roman" w:eastAsia="Times New Roman"/>
                <w:sz w:val="20"/>
              </w:rPr>
              <w:t xml:space="preserve">Temporal encoder (multi-scale 1D CNN)</w:t>
            </w:r>
          </w:p>
        </w:tc>
        <w:tc>
          <w:tcPr>
            <w:tcW w:type="dxa" w:w="2000"/>
          </w:tcPr>
          <w:p>
            <w:pPr>
              <w:pStyle w:val="TableText"/>
              <w:keepNext/>
              <w:jc w:val="left"/>
            </w:pPr>
            <w:r>
              <w:rPr>
                <w:rFonts w:ascii="Times New Roman" w:hAnsi="Times New Roman" w:cs="Times New Roman" w:eastAsia="Times New Roman"/>
                <w:sz w:val="20"/>
              </w:rPr>
              <w:t xml:space="preserve">785,936</w:t>
            </w:r>
          </w:p>
        </w:tc>
        <w:tc>
          <w:tcPr>
            <w:tcW w:type="dxa" w:w="2006"/>
          </w:tcPr>
          <w:p>
            <w:pPr>
              <w:pStyle w:val="TableText"/>
              <w:keepNext/>
              <w:jc w:val="left"/>
            </w:pPr>
            <w:r>
              <w:rPr>
                <w:rFonts w:ascii="Times New Roman" w:hAnsi="Times New Roman" w:cs="Times New Roman" w:eastAsia="Times New Roman"/>
                <w:sz w:val="20"/>
              </w:rPr>
              <w:t xml:space="preserve">65.89</w:t>
            </w:r>
          </w:p>
        </w:tc>
      </w:tr>
      <w:tr>
        <w:trPr>
          <w:cantSplit/>
        </w:trPr>
        <w:tc>
          <w:tcPr>
            <w:tcW w:type="dxa" w:w="4300"/>
          </w:tcPr>
          <w:p>
            <w:pPr>
              <w:pStyle w:val="TableText"/>
              <w:keepNext/>
              <w:jc w:val="left"/>
            </w:pPr>
            <w:r>
              <w:rPr>
                <w:rFonts w:ascii="Times New Roman" w:hAnsi="Times New Roman" w:cs="Times New Roman" w:eastAsia="Times New Roman"/>
                <w:sz w:val="20"/>
              </w:rPr>
              <w:t xml:space="preserve">Gated bidirectional fusion</w:t>
            </w:r>
          </w:p>
        </w:tc>
        <w:tc>
          <w:tcPr>
            <w:tcW w:type="dxa" w:w="2000"/>
          </w:tcPr>
          <w:p>
            <w:pPr>
              <w:pStyle w:val="TableText"/>
              <w:keepNext/>
              <w:jc w:val="left"/>
            </w:pPr>
            <w:r>
              <w:rPr>
                <w:rFonts w:ascii="Times New Roman" w:hAnsi="Times New Roman" w:cs="Times New Roman" w:eastAsia="Times New Roman"/>
                <w:sz w:val="20"/>
              </w:rPr>
              <w:t xml:space="preserve">265,218</w:t>
            </w:r>
          </w:p>
        </w:tc>
        <w:tc>
          <w:tcPr>
            <w:tcW w:type="dxa" w:w="2006"/>
          </w:tcPr>
          <w:p>
            <w:pPr>
              <w:pStyle w:val="TableText"/>
              <w:keepNext/>
              <w:jc w:val="left"/>
            </w:pPr>
            <w:r>
              <w:rPr>
                <w:rFonts w:ascii="Times New Roman" w:hAnsi="Times New Roman" w:cs="Times New Roman" w:eastAsia="Times New Roman"/>
                <w:sz w:val="20"/>
              </w:rPr>
              <w:t xml:space="preserve">11.01</w:t>
            </w:r>
          </w:p>
        </w:tc>
      </w:tr>
      <w:tr>
        <w:trPr>
          <w:cantSplit/>
        </w:trPr>
        <w:tc>
          <w:tcPr>
            <w:tcW w:type="dxa" w:w="4300"/>
          </w:tcPr>
          <w:p>
            <w:pPr>
              <w:pStyle w:val="TableText"/>
              <w:keepNext/>
              <w:jc w:val="left"/>
            </w:pPr>
            <w:r>
              <w:rPr>
                <w:rFonts w:ascii="Times New Roman" w:hAnsi="Times New Roman" w:cs="Times New Roman" w:eastAsia="Times New Roman"/>
                <w:sz w:val="20"/>
              </w:rPr>
              <w:t xml:space="preserve">Positional embeddings</w:t>
            </w:r>
          </w:p>
        </w:tc>
        <w:tc>
          <w:tcPr>
            <w:tcW w:type="dxa" w:w="2000"/>
          </w:tcPr>
          <w:p>
            <w:pPr>
              <w:pStyle w:val="TableText"/>
              <w:keepNext/>
              <w:jc w:val="left"/>
            </w:pPr>
            <w:r>
              <w:rPr>
                <w:rFonts w:ascii="Times New Roman" w:hAnsi="Times New Roman" w:cs="Times New Roman" w:eastAsia="Times New Roman"/>
                <w:sz w:val="20"/>
              </w:rPr>
              <w:t xml:space="preserve">8,192</w:t>
            </w:r>
          </w:p>
        </w:tc>
        <w:tc>
          <w:tcPr>
            <w:tcW w:type="dxa" w:w="2006"/>
          </w:tcPr>
          <w:p>
            <w:pPr>
              <w:pStyle w:val="TableText"/>
              <w:keepNext/>
              <w:jc w:val="left"/>
            </w:pPr>
            <w:r>
              <w:rPr>
                <w:rFonts w:ascii="Times New Roman" w:hAnsi="Times New Roman" w:cs="Times New Roman" w:eastAsia="Times New Roman"/>
                <w:sz w:val="20"/>
              </w:rPr>
              <w:t xml:space="preserve">0.00</w:t>
            </w:r>
          </w:p>
        </w:tc>
      </w:tr>
      <w:tr>
        <w:trPr>
          <w:cantSplit/>
        </w:trPr>
        <w:tc>
          <w:tcPr>
            <w:tcW w:type="dxa" w:w="4300"/>
          </w:tcPr>
          <w:p>
            <w:pPr>
              <w:pStyle w:val="TableText"/>
              <w:keepNext/>
              <w:jc w:val="left"/>
            </w:pPr>
            <w:r>
              <w:rPr>
                <w:rFonts w:ascii="Times New Roman" w:hAnsi="Times New Roman" w:cs="Times New Roman" w:eastAsia="Times New Roman"/>
                <w:sz w:val="20"/>
              </w:rPr>
              <w:t xml:space="preserve">Attention pool</w:t>
            </w:r>
          </w:p>
        </w:tc>
        <w:tc>
          <w:tcPr>
            <w:tcW w:type="dxa" w:w="2000"/>
          </w:tcPr>
          <w:p>
            <w:pPr>
              <w:pStyle w:val="TableText"/>
              <w:keepNext/>
              <w:jc w:val="left"/>
            </w:pPr>
            <w:r>
              <w:rPr>
                <w:rFonts w:ascii="Times New Roman" w:hAnsi="Times New Roman" w:cs="Times New Roman" w:eastAsia="Times New Roman"/>
                <w:sz w:val="20"/>
              </w:rPr>
              <w:t xml:space="preserve">129</w:t>
            </w:r>
          </w:p>
        </w:tc>
        <w:tc>
          <w:tcPr>
            <w:tcW w:type="dxa" w:w="2006"/>
          </w:tcPr>
          <w:p>
            <w:pPr>
              <w:pStyle w:val="TableText"/>
              <w:keepNext/>
              <w:jc w:val="left"/>
            </w:pPr>
            <w:r>
              <w:rPr>
                <w:rFonts w:ascii="Times New Roman" w:hAnsi="Times New Roman" w:cs="Times New Roman" w:eastAsia="Times New Roman"/>
                <w:sz w:val="20"/>
              </w:rPr>
              <w:t xml:space="preserve">0.00</w:t>
            </w:r>
          </w:p>
        </w:tc>
      </w:tr>
      <w:tr>
        <w:trPr>
          <w:cantSplit/>
        </w:trPr>
        <w:tc>
          <w:tcPr>
            <w:tcW w:type="dxa" w:w="4300"/>
          </w:tcPr>
          <w:p>
            <w:pPr>
              <w:pStyle w:val="TableText"/>
              <w:keepNext/>
              <w:jc w:val="left"/>
            </w:pPr>
            <w:r>
              <w:rPr>
                <w:rFonts w:ascii="Times New Roman" w:hAnsi="Times New Roman" w:cs="Times New Roman" w:eastAsia="Times New Roman"/>
                <w:sz w:val="20"/>
              </w:rPr>
              <w:t xml:space="preserve">Classification heads (×3)</w:t>
            </w:r>
          </w:p>
        </w:tc>
        <w:tc>
          <w:tcPr>
            <w:tcW w:type="dxa" w:w="2000"/>
          </w:tcPr>
          <w:p>
            <w:pPr>
              <w:pStyle w:val="TableText"/>
              <w:keepNext/>
              <w:jc w:val="left"/>
            </w:pPr>
            <w:r>
              <w:rPr>
                <w:rFonts w:ascii="Times New Roman" w:hAnsi="Times New Roman" w:cs="Times New Roman" w:eastAsia="Times New Roman"/>
                <w:sz w:val="20"/>
              </w:rPr>
              <w:t xml:space="preserve">1,161</w:t>
            </w:r>
          </w:p>
        </w:tc>
        <w:tc>
          <w:tcPr>
            <w:tcW w:type="dxa" w:w="2006"/>
          </w:tcPr>
          <w:p>
            <w:pPr>
              <w:pStyle w:val="TableText"/>
              <w:keepNext/>
              <w:jc w:val="left"/>
            </w:pPr>
            <w:r>
              <w:rPr>
                <w:rFonts w:ascii="Times New Roman" w:hAnsi="Times New Roman" w:cs="Times New Roman" w:eastAsia="Times New Roman"/>
                <w:sz w:val="20"/>
              </w:rPr>
              <w:t xml:space="preserve">0.00</w:t>
            </w:r>
          </w:p>
        </w:tc>
      </w:tr>
      <w:tr>
        <w:trPr>
          <w:cantSplit/>
        </w:trPr>
        <w:tc>
          <w:tcPr>
            <w:tcW w:type="dxa" w:w="4300"/>
          </w:tcPr>
          <w:p>
            <w:pPr>
              <w:pStyle w:val="TableText"/>
              <w:jc w:val="left"/>
            </w:pPr>
            <w:r>
              <w:rPr>
                <w:rFonts w:ascii="Times New Roman" w:hAnsi="Times New Roman" w:cs="Times New Roman" w:eastAsia="Times New Roman"/>
                <w:b/>
                <w:sz w:val="20"/>
              </w:rPr>
              <w:t xml:space="preserve">Total</w:t>
            </w:r>
          </w:p>
        </w:tc>
        <w:tc>
          <w:tcPr>
            <w:tcW w:type="dxa" w:w="2000"/>
          </w:tcPr>
          <w:p>
            <w:pPr>
              <w:pStyle w:val="TableText"/>
              <w:jc w:val="left"/>
            </w:pPr>
            <w:r>
              <w:rPr>
                <w:rFonts w:ascii="Times New Roman" w:hAnsi="Times New Roman" w:cs="Times New Roman" w:eastAsia="Times New Roman"/>
                <w:b/>
                <w:sz w:val="20"/>
              </w:rPr>
              <w:t xml:space="preserve">1,955,140</w:t>
            </w:r>
          </w:p>
        </w:tc>
        <w:tc>
          <w:tcPr>
            <w:tcW w:type="dxa" w:w="2006"/>
          </w:tcPr>
          <w:p>
            <w:pPr>
              <w:pStyle w:val="TableText"/>
              <w:jc w:val="left"/>
            </w:pPr>
            <w:r>
              <w:rPr>
                <w:rFonts w:ascii="Times New Roman" w:hAnsi="Times New Roman" w:cs="Times New Roman" w:eastAsia="Times New Roman"/>
                <w:b/>
                <w:sz w:val="20"/>
              </w:rPr>
              <w:t xml:space="preserve">2,599.60</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5040000" cy="1939697"/>
            <wp:docPr id="33" name="Picture 33"/>
            <wp:cNvGraphicFramePr>
              <a:graphicFrameLocks noChangeAspect="1"/>
            </wp:cNvGraphicFramePr>
            <a:graphic>
              <a:graphicData uri="http://schemas.openxmlformats.org/drawingml/2006/picture">
                <pic:pic>
                  <pic:nvPicPr>
                    <pic:cNvPr id="0" name="fig_params.png"/>
                    <pic:cNvPicPr/>
                  </pic:nvPicPr>
                  <pic:blipFill>
                    <a:blip r:embed="rId21"/>
                    <a:stretch>
                      <a:fillRect/>
                    </a:stretch>
                  </pic:blipFill>
                  <pic:spPr>
                    <a:xfrm>
                      <a:off x="0" y="0"/>
                      <a:ext cx="5040000" cy="1939697"/>
                    </a:xfrm>
                    <a:prstGeom prst="rect"/>
                  </pic:spPr>
                </pic:pic>
              </a:graphicData>
            </a:graphic>
          </wp:inline>
        </w:drawing>
      </w:r>
    </w:p>
    <w:p>
      <w:pPr>
        <w:pStyle w:val="Caption"/>
      </w:pPr>
      <w:bookmarkStart w:id="1043" w:name="_Ref_Figure_5_5"/>
      <w:r>
        <w:rPr>
          <w:rFonts w:ascii="Times New Roman" w:hAnsi="Times New Roman" w:cs="Times New Roman" w:eastAsia="Times New Roman"/>
          <w:b/>
          <w:sz w:val="22"/>
        </w:rPr>
        <w:t xml:space="preserve">Figure 5.5: </w:t>
      </w:r>
      <w:r>
        <w:rPr>
          <w:rFonts w:ascii="Times New Roman" w:hAnsi="Times New Roman" w:cs="Times New Roman" w:eastAsia="Times New Roman"/>
          <w:sz w:val="22"/>
        </w:rPr>
        <w:t>Left: trainable parameters by component of the final model (1,955,140 in total). Right: multiply-accumulate operations (MACs) per sample at 64³ by component group (2.60 G in total; Table 5.5).</w:t>
      </w:r>
      <w:bookmarkEnd w:id="1043"/>
    </w:p>
    <w:p>
      <w:pPr>
        <w:pStyle w:val="BodyJ"/>
        <w:ind w:firstLine="0"/>
      </w:pPr>
      <w:r>
        <w:rPr>
          <w:rFonts w:ascii="Times New Roman" w:hAnsi="Times New Roman" w:cs="Times New Roman" w:eastAsia="Times New Roman"/>
        </w:rPr>
        <w:t>In the final model the spatial encoder accounts for 46% of the parameters and 97% of the MACs, the multi-scale temporal encoder for 40% of the parameters and 2.5% of the MACs, the gated bidirectional fusion for 14% of the parameters and under 0.5% of the MACs, and the positional embeddings, attention pool and three heads together for the remaining 0.5% of the parameters. The attention-score tensor of each direction has 4,096 elements per sample (4 heads × 64 × 16). Figure 5.5 shows this split. In the original v1 model the spatial encoder held 83.7% of the parameters, the fusion module 12.6%, the temporal encoder 3.6% and the three heads 0.11%.</w:t>
      </w:r>
    </w:p>
    <w:p>
      <w:pPr>
        <w:pStyle w:val="Heading2"/>
      </w:pPr>
      <w:r>
        <w:rPr>
          <w:rFonts w:ascii="Times New Roman" w:hAnsi="Times New Roman" w:cs="Times New Roman" w:eastAsia="Times New Roman"/>
          <w:b/>
          <w:sz w:val="28"/>
        </w:rPr>
        <w:t>5.5  INTERFACE AND SHAPE VERIFICATION</w:t>
      </w:r>
    </w:p>
    <w:p>
      <w:pPr>
        <w:pStyle w:val="BodyJ"/>
      </w:pPr>
      <w:r>
        <w:rPr>
          <w:rFonts w:ascii="Times New Roman" w:hAnsi="Times New Roman" w:cs="Times New Roman" w:eastAsia="Times New Roman"/>
        </w:rPr>
        <w:t xml:space="preserve">The tensor contract of Table 3.1 is asserted by the test suite: the preprocessing outputs (1, 64, 64, 64) and (1, 500) at the default configuration; the spatial and temporal encoders return (B, 64, 128) and (B, 16, 128); the fusion module returns fused spatial tokens (B, 64, 128), updated temporal tokens (B, 16, 128) and attention weights for both directions, (B, 4, 64, 16) forward and (B, 4, 16, 64) backward, whose rows sum to one; the model returns three logits tensors of shape (B, 3); Grad-CAM returns (B, D, H, W) values in [0, 1]; and the attention heatmap has shape (64, 16). A scaled-down configuration (the </w:t>
      </w:r>
      <w:r>
        <w:rPr>
          <w:rFonts w:ascii="Courier New" w:hAnsi="Courier New" w:cs="Courier New" w:eastAsia="Courier New"/>
        </w:rPr>
        <w:t xml:space="preserve">tiny_config</w:t>
      </w:r>
      <w:r>
        <w:rPr>
          <w:rFonts w:ascii="Times New Roman" w:hAnsi="Times New Roman" w:cs="Times New Roman" w:eastAsia="Times New Roman"/>
        </w:rPr>
        <w:t xml:space="preserve"> fixture) is used for speed in the tests and exercises the same code.</w:t>
      </w:r>
    </w:p>
    <w:p>
      <w:pPr>
        <w:pStyle w:val="Heading2"/>
      </w:pPr>
      <w:r>
        <w:rPr>
          <w:rFonts w:ascii="Times New Roman" w:hAnsi="Times New Roman" w:cs="Times New Roman" w:eastAsia="Times New Roman"/>
          <w:b/>
          <w:sz w:val="28"/>
        </w:rPr>
        <w:t>5.6  SOFTWARE VERIFICATION RESULTS</w:t>
      </w:r>
    </w:p>
    <w:p>
      <w:pPr>
        <w:pStyle w:val="BodyJ"/>
      </w:pPr>
      <w:r>
        <w:rPr>
          <w:rFonts w:ascii="Times New Roman" w:hAnsi="Times New Roman" w:cs="Times New Roman" w:eastAsia="Times New Roman"/>
        </w:rPr>
        <w:t xml:space="preserve">The repository's automated suite now contains 340 test functions in 29 files (310 unit and 30 integration tests). All 340 pass on macOS (Python 3.14) and on Ubuntu 22.04 under WSL2 (Python 3.12, CUDA), where one test is skipped; the three defects that the second platform exposed are described in Section 4.9. Figure 5.6 (left) shows the original suite of 86 tests in 12 files. The statement coverage reported here, 521 of 548 statements (95.1%), applies to the original code base only (twelve modules): it was reconstructed from the recorded coverage data file of the development machine by matching the executed line numbers against the executable statements of each source file, and it has not been re-measured for the current code. No coverage claim is made for the code added since. Table 5.6 gives the per-module values for the original code; they may differ from the values printed by the coverage tool by a statement or so, because the executable-statement set was derived from the syntax tree rather than from the tool's own parser.</w:t>
      </w:r>
    </w:p>
    <w:p>
      <w:pPr>
        <w:pStyle w:val="Caption"/>
        <w:keepNext/>
        <w:spacing w:before="160" w:after="80"/>
      </w:pPr>
      <w:bookmarkStart w:id="1044" w:name="_Ref_Table_5_6"/>
      <w:r>
        <w:rPr>
          <w:rFonts w:ascii="Times New Roman" w:hAnsi="Times New Roman" w:cs="Times New Roman" w:eastAsia="Times New Roman"/>
          <w:b/>
          <w:sz w:val="22"/>
        </w:rPr>
        <w:t xml:space="preserve">Table 5.6: </w:t>
      </w:r>
      <w:r>
        <w:rPr>
          <w:rFonts w:ascii="Times New Roman" w:hAnsi="Times New Roman" w:cs="Times New Roman" w:eastAsia="Times New Roman"/>
          <w:sz w:val="22"/>
        </w:rPr>
        <w:t xml:space="preserve">Statement coverage by module of the original code base (reconstructed from the recorded coverage data; not re-measured for the current code).</w:t>
      </w:r>
      <w:bookmarkEnd w:id="1044"/>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969"/>
        <w:gridCol w:w="1360"/>
        <w:gridCol w:w="1360"/>
        <w:gridCol w:w="1615"/>
      </w:tblGrid>
      <w:tr>
        <w:trPr>
          <w:cantSplit/>
          <w:tblHeader/>
        </w:trPr>
        <w:tc>
          <w:tcPr>
            <w:tcW w:type="dxa" w:w="3969"/>
            <w:shd w:val="clear" w:color="auto" w:fill="D9D9D9"/>
          </w:tcPr>
          <w:p>
            <w:pPr>
              <w:pStyle w:val="TableText"/>
              <w:keepNext/>
              <w:jc w:val="left"/>
            </w:pPr>
            <w:r>
              <w:rPr>
                <w:rFonts w:ascii="Times New Roman" w:hAnsi="Times New Roman" w:cs="Times New Roman" w:eastAsia="Times New Roman"/>
                <w:b/>
                <w:sz w:val="20"/>
              </w:rPr>
              <w:t>Module</w:t>
            </w:r>
          </w:p>
        </w:tc>
        <w:tc>
          <w:tcPr>
            <w:tcW w:type="dxa" w:w="1361"/>
            <w:shd w:val="clear" w:color="auto" w:fill="D9D9D9"/>
          </w:tcPr>
          <w:p>
            <w:pPr>
              <w:pStyle w:val="TableText"/>
              <w:keepNext/>
              <w:jc w:val="center"/>
            </w:pPr>
            <w:r>
              <w:rPr>
                <w:rFonts w:ascii="Times New Roman" w:hAnsi="Times New Roman" w:cs="Times New Roman" w:eastAsia="Times New Roman"/>
                <w:b/>
                <w:sz w:val="20"/>
              </w:rPr>
              <w:t>Statements</w:t>
            </w:r>
          </w:p>
        </w:tc>
        <w:tc>
          <w:tcPr>
            <w:tcW w:type="dxa" w:w="1361"/>
            <w:shd w:val="clear" w:color="auto" w:fill="D9D9D9"/>
          </w:tcPr>
          <w:p>
            <w:pPr>
              <w:pStyle w:val="TableText"/>
              <w:keepNext/>
              <w:jc w:val="center"/>
            </w:pPr>
            <w:r>
              <w:rPr>
                <w:rFonts w:ascii="Times New Roman" w:hAnsi="Times New Roman" w:cs="Times New Roman" w:eastAsia="Times New Roman"/>
                <w:b/>
                <w:sz w:val="20"/>
              </w:rPr>
              <w:t>Executed</w:t>
            </w:r>
          </w:p>
        </w:tc>
        <w:tc>
          <w:tcPr>
            <w:tcW w:type="dxa" w:w="1616"/>
            <w:shd w:val="clear" w:color="auto" w:fill="D9D9D9"/>
          </w:tcPr>
          <w:p>
            <w:pPr>
              <w:pStyle w:val="TableText"/>
              <w:keepNext/>
              <w:jc w:val="center"/>
            </w:pPr>
            <w:r>
              <w:rPr>
                <w:rFonts w:ascii="Times New Roman" w:hAnsi="Times New Roman" w:cs="Times New Roman" w:eastAsia="Times New Roman"/>
                <w:b/>
                <w:sz w:val="20"/>
              </w:rPr>
              <w:t>Coverage (%)</w:t>
            </w:r>
          </w:p>
        </w:tc>
      </w:tr>
      <w:tr>
        <w:trPr>
          <w:cantSplit/>
        </w:trPr>
        <w:tc>
          <w:tcPr>
            <w:tcW w:type="dxa" w:w="3969"/>
          </w:tcPr>
          <w:p>
            <w:pPr>
              <w:pStyle w:val="TableText"/>
              <w:keepNext/>
              <w:jc w:val="left"/>
            </w:pPr>
            <w:r>
              <w:rPr>
                <w:rFonts w:ascii="Times New Roman" w:hAnsi="Times New Roman" w:cs="Times New Roman" w:eastAsia="Times New Roman"/>
                <w:sz w:val="20"/>
              </w:rPr>
              <w:t>src/config.py</w:t>
            </w:r>
          </w:p>
        </w:tc>
        <w:tc>
          <w:tcPr>
            <w:tcW w:type="dxa" w:w="1361"/>
          </w:tcPr>
          <w:p>
            <w:pPr>
              <w:pStyle w:val="TableText"/>
              <w:keepNext/>
              <w:jc w:val="center"/>
            </w:pPr>
            <w:r>
              <w:rPr>
                <w:rFonts w:ascii="Times New Roman" w:hAnsi="Times New Roman" w:cs="Times New Roman" w:eastAsia="Times New Roman"/>
                <w:sz w:val="20"/>
              </w:rPr>
              <w:t>38</w:t>
            </w:r>
          </w:p>
        </w:tc>
        <w:tc>
          <w:tcPr>
            <w:tcW w:type="dxa" w:w="1361"/>
          </w:tcPr>
          <w:p>
            <w:pPr>
              <w:pStyle w:val="TableText"/>
              <w:keepNext/>
              <w:jc w:val="center"/>
            </w:pPr>
            <w:r>
              <w:rPr>
                <w:rFonts w:ascii="Times New Roman" w:hAnsi="Times New Roman" w:cs="Times New Roman" w:eastAsia="Times New Roman"/>
                <w:sz w:val="20"/>
              </w:rPr>
              <w:t>38</w:t>
            </w:r>
          </w:p>
        </w:tc>
        <w:tc>
          <w:tcPr>
            <w:tcW w:type="dxa" w:w="1616"/>
          </w:tcPr>
          <w:p>
            <w:pPr>
              <w:pStyle w:val="TableText"/>
              <w:keepNext/>
              <w:jc w:val="center"/>
            </w:pPr>
            <w:r>
              <w:rPr>
                <w:rFonts w:ascii="Times New Roman" w:hAnsi="Times New Roman" w:cs="Times New Roman" w:eastAsia="Times New Roman"/>
                <w:sz w:val="20"/>
              </w:rPr>
              <w:t>100.0</w:t>
            </w:r>
          </w:p>
        </w:tc>
      </w:tr>
      <w:tr>
        <w:trPr>
          <w:cantSplit/>
        </w:trPr>
        <w:tc>
          <w:tcPr>
            <w:tcW w:type="dxa" w:w="3969"/>
          </w:tcPr>
          <w:p>
            <w:pPr>
              <w:pStyle w:val="TableText"/>
              <w:keepNext/>
              <w:jc w:val="left"/>
            </w:pPr>
            <w:r>
              <w:rPr>
                <w:rFonts w:ascii="Times New Roman" w:hAnsi="Times New Roman" w:cs="Times New Roman" w:eastAsia="Times New Roman"/>
                <w:sz w:val="20"/>
              </w:rPr>
              <w:t>src/data/dataset.py</w:t>
            </w:r>
          </w:p>
        </w:tc>
        <w:tc>
          <w:tcPr>
            <w:tcW w:type="dxa" w:w="1361"/>
          </w:tcPr>
          <w:p>
            <w:pPr>
              <w:pStyle w:val="TableText"/>
              <w:keepNext/>
              <w:jc w:val="center"/>
            </w:pPr>
            <w:r>
              <w:rPr>
                <w:rFonts w:ascii="Times New Roman" w:hAnsi="Times New Roman" w:cs="Times New Roman" w:eastAsia="Times New Roman"/>
                <w:sz w:val="20"/>
              </w:rPr>
              <w:t>43</w:t>
            </w:r>
          </w:p>
        </w:tc>
        <w:tc>
          <w:tcPr>
            <w:tcW w:type="dxa" w:w="1361"/>
          </w:tcPr>
          <w:p>
            <w:pPr>
              <w:pStyle w:val="TableText"/>
              <w:keepNext/>
              <w:jc w:val="center"/>
            </w:pPr>
            <w:r>
              <w:rPr>
                <w:rFonts w:ascii="Times New Roman" w:hAnsi="Times New Roman" w:cs="Times New Roman" w:eastAsia="Times New Roman"/>
                <w:sz w:val="20"/>
              </w:rPr>
              <w:t>43</w:t>
            </w:r>
          </w:p>
        </w:tc>
        <w:tc>
          <w:tcPr>
            <w:tcW w:type="dxa" w:w="1616"/>
          </w:tcPr>
          <w:p>
            <w:pPr>
              <w:pStyle w:val="TableText"/>
              <w:keepN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src/data/synthetic.py</w:t>
            </w:r>
          </w:p>
        </w:tc>
        <w:tc>
          <w:tcPr>
            <w:tcW w:type="dxa" w:w="1361"/>
          </w:tcPr>
          <w:p>
            <w:pPr>
              <w:pStyle w:val="TableText"/>
              <w:jc w:val="center"/>
            </w:pPr>
            <w:r>
              <w:rPr>
                <w:rFonts w:ascii="Times New Roman" w:hAnsi="Times New Roman" w:cs="Times New Roman" w:eastAsia="Times New Roman"/>
                <w:sz w:val="20"/>
              </w:rPr>
              <w:t>62</w:t>
            </w:r>
          </w:p>
        </w:tc>
        <w:tc>
          <w:tcPr>
            <w:tcW w:type="dxa" w:w="1361"/>
          </w:tcPr>
          <w:p>
            <w:pPr>
              <w:pStyle w:val="TableText"/>
              <w:jc w:val="center"/>
            </w:pPr>
            <w:r>
              <w:rPr>
                <w:rFonts w:ascii="Times New Roman" w:hAnsi="Times New Roman" w:cs="Times New Roman" w:eastAsia="Times New Roman"/>
                <w:sz w:val="20"/>
              </w:rPr>
              <w:t>62</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src/explainability/grad_cam_3d.py</w:t>
            </w:r>
          </w:p>
        </w:tc>
        <w:tc>
          <w:tcPr>
            <w:tcW w:type="dxa" w:w="1361"/>
          </w:tcPr>
          <w:p>
            <w:pPr>
              <w:pStyle w:val="TableText"/>
              <w:jc w:val="center"/>
            </w:pPr>
            <w:r>
              <w:rPr>
                <w:rFonts w:ascii="Times New Roman" w:hAnsi="Times New Roman" w:cs="Times New Roman" w:eastAsia="Times New Roman"/>
                <w:sz w:val="20"/>
              </w:rPr>
              <w:t>70</w:t>
            </w:r>
          </w:p>
        </w:tc>
        <w:tc>
          <w:tcPr>
            <w:tcW w:type="dxa" w:w="1361"/>
          </w:tcPr>
          <w:p>
            <w:pPr>
              <w:pStyle w:val="TableText"/>
              <w:jc w:val="center"/>
            </w:pPr>
            <w:r>
              <w:rPr>
                <w:rFonts w:ascii="Times New Roman" w:hAnsi="Times New Roman" w:cs="Times New Roman" w:eastAsia="Times New Roman"/>
                <w:sz w:val="20"/>
              </w:rPr>
              <w:t>69</w:t>
            </w:r>
          </w:p>
        </w:tc>
        <w:tc>
          <w:tcPr>
            <w:tcW w:type="dxa" w:w="1616"/>
          </w:tcPr>
          <w:p>
            <w:pPr>
              <w:pStyle w:val="TableText"/>
              <w:jc w:val="center"/>
            </w:pPr>
            <w:r>
              <w:rPr>
                <w:rFonts w:ascii="Times New Roman" w:hAnsi="Times New Roman" w:cs="Times New Roman" w:eastAsia="Times New Roman"/>
                <w:sz w:val="20"/>
              </w:rPr>
              <w:t>98.6</w:t>
            </w:r>
          </w:p>
        </w:tc>
      </w:tr>
      <w:tr>
        <w:trPr>
          <w:cantSplit/>
        </w:trPr>
        <w:tc>
          <w:tcPr>
            <w:tcW w:type="dxa" w:w="3969"/>
          </w:tcPr>
          <w:p>
            <w:pPr>
              <w:pStyle w:val="TableText"/>
              <w:jc w:val="left"/>
            </w:pPr>
            <w:r>
              <w:rPr>
                <w:rFonts w:ascii="Times New Roman" w:hAnsi="Times New Roman" w:cs="Times New Roman" w:eastAsia="Times New Roman"/>
                <w:sz w:val="20"/>
              </w:rPr>
              <w:t>src/explainability/plot_attention.py</w:t>
            </w:r>
          </w:p>
        </w:tc>
        <w:tc>
          <w:tcPr>
            <w:tcW w:type="dxa" w:w="1361"/>
          </w:tcPr>
          <w:p>
            <w:pPr>
              <w:pStyle w:val="TableText"/>
              <w:jc w:val="center"/>
            </w:pPr>
            <w:r>
              <w:rPr>
                <w:rFonts w:ascii="Times New Roman" w:hAnsi="Times New Roman" w:cs="Times New Roman" w:eastAsia="Times New Roman"/>
                <w:sz w:val="20"/>
              </w:rPr>
              <w:t>22</w:t>
            </w:r>
          </w:p>
        </w:tc>
        <w:tc>
          <w:tcPr>
            <w:tcW w:type="dxa" w:w="1361"/>
          </w:tcPr>
          <w:p>
            <w:pPr>
              <w:pStyle w:val="TableText"/>
              <w:jc w:val="center"/>
            </w:pPr>
            <w:r>
              <w:rPr>
                <w:rFonts w:ascii="Times New Roman" w:hAnsi="Times New Roman" w:cs="Times New Roman" w:eastAsia="Times New Roman"/>
                <w:sz w:val="20"/>
              </w:rPr>
              <w:t>22</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src/models/cafn.py</w:t>
            </w:r>
          </w:p>
        </w:tc>
        <w:tc>
          <w:tcPr>
            <w:tcW w:type="dxa" w:w="1361"/>
          </w:tcPr>
          <w:p>
            <w:pPr>
              <w:pStyle w:val="TableText"/>
              <w:jc w:val="center"/>
            </w:pPr>
            <w:r>
              <w:rPr>
                <w:rFonts w:ascii="Times New Roman" w:hAnsi="Times New Roman" w:cs="Times New Roman" w:eastAsia="Times New Roman"/>
                <w:sz w:val="20"/>
              </w:rPr>
              <w:t>31</w:t>
            </w:r>
          </w:p>
        </w:tc>
        <w:tc>
          <w:tcPr>
            <w:tcW w:type="dxa" w:w="1361"/>
          </w:tcPr>
          <w:p>
            <w:pPr>
              <w:pStyle w:val="TableText"/>
              <w:jc w:val="center"/>
            </w:pPr>
            <w:r>
              <w:rPr>
                <w:rFonts w:ascii="Times New Roman" w:hAnsi="Times New Roman" w:cs="Times New Roman" w:eastAsia="Times New Roman"/>
                <w:sz w:val="20"/>
              </w:rPr>
              <w:t>31</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src/models/cross_attention.py</w:t>
            </w:r>
          </w:p>
        </w:tc>
        <w:tc>
          <w:tcPr>
            <w:tcW w:type="dxa" w:w="1361"/>
          </w:tcPr>
          <w:p>
            <w:pPr>
              <w:pStyle w:val="TableText"/>
              <w:jc w:val="center"/>
            </w:pPr>
            <w:r>
              <w:rPr>
                <w:rFonts w:ascii="Times New Roman" w:hAnsi="Times New Roman" w:cs="Times New Roman" w:eastAsia="Times New Roman"/>
                <w:sz w:val="20"/>
              </w:rPr>
              <w:t>45</w:t>
            </w:r>
          </w:p>
        </w:tc>
        <w:tc>
          <w:tcPr>
            <w:tcW w:type="dxa" w:w="1361"/>
          </w:tcPr>
          <w:p>
            <w:pPr>
              <w:pStyle w:val="TableText"/>
              <w:jc w:val="center"/>
            </w:pPr>
            <w:r>
              <w:rPr>
                <w:rFonts w:ascii="Times New Roman" w:hAnsi="Times New Roman" w:cs="Times New Roman" w:eastAsia="Times New Roman"/>
                <w:sz w:val="20"/>
              </w:rPr>
              <w:t>45</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src/models/spatial_encoder.py</w:t>
            </w:r>
          </w:p>
        </w:tc>
        <w:tc>
          <w:tcPr>
            <w:tcW w:type="dxa" w:w="1361"/>
          </w:tcPr>
          <w:p>
            <w:pPr>
              <w:pStyle w:val="TableText"/>
              <w:jc w:val="center"/>
            </w:pPr>
            <w:r>
              <w:rPr>
                <w:rFonts w:ascii="Times New Roman" w:hAnsi="Times New Roman" w:cs="Times New Roman" w:eastAsia="Times New Roman"/>
                <w:sz w:val="20"/>
              </w:rPr>
              <w:t>37</w:t>
            </w:r>
          </w:p>
        </w:tc>
        <w:tc>
          <w:tcPr>
            <w:tcW w:type="dxa" w:w="1361"/>
          </w:tcPr>
          <w:p>
            <w:pPr>
              <w:pStyle w:val="TableText"/>
              <w:jc w:val="center"/>
            </w:pPr>
            <w:r>
              <w:rPr>
                <w:rFonts w:ascii="Times New Roman" w:hAnsi="Times New Roman" w:cs="Times New Roman" w:eastAsia="Times New Roman"/>
                <w:sz w:val="20"/>
              </w:rPr>
              <w:t>37</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src/models/temporal_encoder.py</w:t>
            </w:r>
          </w:p>
        </w:tc>
        <w:tc>
          <w:tcPr>
            <w:tcW w:type="dxa" w:w="1361"/>
          </w:tcPr>
          <w:p>
            <w:pPr>
              <w:pStyle w:val="TableText"/>
              <w:jc w:val="center"/>
            </w:pPr>
            <w:r>
              <w:rPr>
                <w:rFonts w:ascii="Times New Roman" w:hAnsi="Times New Roman" w:cs="Times New Roman" w:eastAsia="Times New Roman"/>
                <w:sz w:val="20"/>
              </w:rPr>
              <w:t>14</w:t>
            </w:r>
          </w:p>
        </w:tc>
        <w:tc>
          <w:tcPr>
            <w:tcW w:type="dxa" w:w="1361"/>
          </w:tcPr>
          <w:p>
            <w:pPr>
              <w:pStyle w:val="TableText"/>
              <w:jc w:val="center"/>
            </w:pPr>
            <w:r>
              <w:rPr>
                <w:rFonts w:ascii="Times New Roman" w:hAnsi="Times New Roman" w:cs="Times New Roman" w:eastAsia="Times New Roman"/>
                <w:sz w:val="20"/>
              </w:rPr>
              <w:t>14</w:t>
            </w:r>
          </w:p>
        </w:tc>
        <w:tc>
          <w:tcPr>
            <w:tcW w:type="dxa" w:w="1616"/>
          </w:tcPr>
          <w:p>
            <w:pPr>
              <w:pStyle w:val="TableText"/>
              <w:jc w:val="center"/>
            </w:pPr>
            <w:r>
              <w:rPr>
                <w:rFonts w:ascii="Times New Roman" w:hAnsi="Times New Roman" w:cs="Times New Roman" w:eastAsia="Times New Roman"/>
                <w:sz w:val="20"/>
              </w:rPr>
              <w:t>100.0</w:t>
            </w:r>
          </w:p>
        </w:tc>
      </w:tr>
      <w:tr>
        <w:trPr>
          <w:cantSplit/>
        </w:trPr>
        <w:tc>
          <w:tcPr>
            <w:tcW w:type="dxa" w:w="3969"/>
          </w:tcPr>
          <w:p>
            <w:pPr>
              <w:pStyle w:val="TableText"/>
              <w:jc w:val="left"/>
            </w:pPr>
            <w:r>
              <w:rPr>
                <w:rFonts w:ascii="Times New Roman" w:hAnsi="Times New Roman" w:cs="Times New Roman" w:eastAsia="Times New Roman"/>
                <w:sz w:val="20"/>
              </w:rPr>
              <w:t>src/preprocessing/mri_transforms.py</w:t>
            </w:r>
          </w:p>
        </w:tc>
        <w:tc>
          <w:tcPr>
            <w:tcW w:type="dxa" w:w="1361"/>
          </w:tcPr>
          <w:p>
            <w:pPr>
              <w:pStyle w:val="TableText"/>
              <w:jc w:val="center"/>
            </w:pPr>
            <w:r>
              <w:rPr>
                <w:rFonts w:ascii="Times New Roman" w:hAnsi="Times New Roman" w:cs="Times New Roman" w:eastAsia="Times New Roman"/>
                <w:sz w:val="20"/>
              </w:rPr>
              <w:t>42</w:t>
            </w:r>
          </w:p>
        </w:tc>
        <w:tc>
          <w:tcPr>
            <w:tcW w:type="dxa" w:w="1361"/>
          </w:tcPr>
          <w:p>
            <w:pPr>
              <w:pStyle w:val="TableText"/>
              <w:jc w:val="center"/>
            </w:pPr>
            <w:r>
              <w:rPr>
                <w:rFonts w:ascii="Times New Roman" w:hAnsi="Times New Roman" w:cs="Times New Roman" w:eastAsia="Times New Roman"/>
                <w:sz w:val="20"/>
              </w:rPr>
              <w:t>41</w:t>
            </w:r>
          </w:p>
        </w:tc>
        <w:tc>
          <w:tcPr>
            <w:tcW w:type="dxa" w:w="1616"/>
          </w:tcPr>
          <w:p>
            <w:pPr>
              <w:pStyle w:val="TableText"/>
              <w:jc w:val="center"/>
            </w:pPr>
            <w:r>
              <w:rPr>
                <w:rFonts w:ascii="Times New Roman" w:hAnsi="Times New Roman" w:cs="Times New Roman" w:eastAsia="Times New Roman"/>
                <w:sz w:val="20"/>
              </w:rPr>
              <w:t>97.6</w:t>
            </w:r>
          </w:p>
        </w:tc>
      </w:tr>
      <w:tr>
        <w:trPr>
          <w:cantSplit/>
        </w:trPr>
        <w:tc>
          <w:tcPr>
            <w:tcW w:type="dxa" w:w="3969"/>
          </w:tcPr>
          <w:p>
            <w:pPr>
              <w:pStyle w:val="TableText"/>
              <w:jc w:val="left"/>
            </w:pPr>
            <w:r>
              <w:rPr>
                <w:rFonts w:ascii="Times New Roman" w:hAnsi="Times New Roman" w:cs="Times New Roman" w:eastAsia="Times New Roman"/>
                <w:sz w:val="20"/>
              </w:rPr>
              <w:t>src/preprocessing/signal_cleaner.py</w:t>
            </w:r>
          </w:p>
        </w:tc>
        <w:tc>
          <w:tcPr>
            <w:tcW w:type="dxa" w:w="1361"/>
          </w:tcPr>
          <w:p>
            <w:pPr>
              <w:pStyle w:val="TableText"/>
              <w:jc w:val="center"/>
            </w:pPr>
            <w:r>
              <w:rPr>
                <w:rFonts w:ascii="Times New Roman" w:hAnsi="Times New Roman" w:cs="Times New Roman" w:eastAsia="Times New Roman"/>
                <w:sz w:val="20"/>
              </w:rPr>
              <w:t>51</w:t>
            </w:r>
          </w:p>
        </w:tc>
        <w:tc>
          <w:tcPr>
            <w:tcW w:type="dxa" w:w="1361"/>
          </w:tcPr>
          <w:p>
            <w:pPr>
              <w:pStyle w:val="TableText"/>
              <w:jc w:val="center"/>
            </w:pPr>
            <w:r>
              <w:rPr>
                <w:rFonts w:ascii="Times New Roman" w:hAnsi="Times New Roman" w:cs="Times New Roman" w:eastAsia="Times New Roman"/>
                <w:sz w:val="20"/>
              </w:rPr>
              <w:t>49</w:t>
            </w:r>
          </w:p>
        </w:tc>
        <w:tc>
          <w:tcPr>
            <w:tcW w:type="dxa" w:w="1616"/>
          </w:tcPr>
          <w:p>
            <w:pPr>
              <w:pStyle w:val="TableText"/>
              <w:jc w:val="center"/>
            </w:pPr>
            <w:r>
              <w:rPr>
                <w:rFonts w:ascii="Times New Roman" w:hAnsi="Times New Roman" w:cs="Times New Roman" w:eastAsia="Times New Roman"/>
                <w:sz w:val="20"/>
              </w:rPr>
              <w:t>96.1</w:t>
            </w:r>
          </w:p>
        </w:tc>
      </w:tr>
      <w:tr>
        <w:trPr>
          <w:cantSplit/>
        </w:trPr>
        <w:tc>
          <w:tcPr>
            <w:tcW w:type="dxa" w:w="3969"/>
          </w:tcPr>
          <w:p>
            <w:pPr>
              <w:pStyle w:val="TableText"/>
              <w:jc w:val="left"/>
            </w:pPr>
            <w:r>
              <w:rPr>
                <w:rFonts w:ascii="Times New Roman" w:hAnsi="Times New Roman" w:cs="Times New Roman" w:eastAsia="Times New Roman"/>
                <w:sz w:val="20"/>
              </w:rPr>
              <w:t>src/train.py</w:t>
            </w:r>
          </w:p>
        </w:tc>
        <w:tc>
          <w:tcPr>
            <w:tcW w:type="dxa" w:w="1361"/>
          </w:tcPr>
          <w:p>
            <w:pPr>
              <w:pStyle w:val="TableText"/>
              <w:jc w:val="center"/>
            </w:pPr>
            <w:r>
              <w:rPr>
                <w:rFonts w:ascii="Times New Roman" w:hAnsi="Times New Roman" w:cs="Times New Roman" w:eastAsia="Times New Roman"/>
                <w:sz w:val="20"/>
              </w:rPr>
              <w:t>93</w:t>
            </w:r>
          </w:p>
        </w:tc>
        <w:tc>
          <w:tcPr>
            <w:tcW w:type="dxa" w:w="1361"/>
          </w:tcPr>
          <w:p>
            <w:pPr>
              <w:pStyle w:val="TableText"/>
              <w:jc w:val="center"/>
            </w:pPr>
            <w:r>
              <w:rPr>
                <w:rFonts w:ascii="Times New Roman" w:hAnsi="Times New Roman" w:cs="Times New Roman" w:eastAsia="Times New Roman"/>
                <w:sz w:val="20"/>
              </w:rPr>
              <w:t>70</w:t>
            </w:r>
          </w:p>
        </w:tc>
        <w:tc>
          <w:tcPr>
            <w:tcW w:type="dxa" w:w="1616"/>
          </w:tcPr>
          <w:p>
            <w:pPr>
              <w:pStyle w:val="TableText"/>
              <w:jc w:val="center"/>
            </w:pPr>
            <w:r>
              <w:rPr>
                <w:rFonts w:ascii="Times New Roman" w:hAnsi="Times New Roman" w:cs="Times New Roman" w:eastAsia="Times New Roman"/>
                <w:sz w:val="20"/>
              </w:rPr>
              <w:t>75.3</w:t>
            </w:r>
          </w:p>
        </w:tc>
      </w:tr>
      <w:tr>
        <w:trPr>
          <w:cantSplit/>
        </w:trPr>
        <w:tc>
          <w:tcPr>
            <w:tcW w:type="dxa" w:w="3969"/>
          </w:tcPr>
          <w:p>
            <w:pPr>
              <w:pStyle w:val="TableText"/>
              <w:jc w:val="left"/>
            </w:pPr>
            <w:r>
              <w:rPr>
                <w:rFonts w:ascii="Times New Roman" w:hAnsi="Times New Roman" w:cs="Times New Roman" w:eastAsia="Times New Roman"/>
                <w:b/>
                <w:sz w:val="20"/>
              </w:rPr>
              <w:t>Total</w:t>
            </w:r>
          </w:p>
        </w:tc>
        <w:tc>
          <w:tcPr>
            <w:tcW w:type="dxa" w:w="1361"/>
          </w:tcPr>
          <w:p>
            <w:pPr>
              <w:pStyle w:val="TableText"/>
              <w:jc w:val="center"/>
            </w:pPr>
            <w:r>
              <w:rPr>
                <w:rFonts w:ascii="Times New Roman" w:hAnsi="Times New Roman" w:cs="Times New Roman" w:eastAsia="Times New Roman"/>
                <w:b/>
                <w:sz w:val="20"/>
              </w:rPr>
              <w:t>548</w:t>
            </w:r>
          </w:p>
        </w:tc>
        <w:tc>
          <w:tcPr>
            <w:tcW w:type="dxa" w:w="1361"/>
          </w:tcPr>
          <w:p>
            <w:pPr>
              <w:pStyle w:val="TableText"/>
              <w:jc w:val="center"/>
            </w:pPr>
            <w:r>
              <w:rPr>
                <w:rFonts w:ascii="Times New Roman" w:hAnsi="Times New Roman" w:cs="Times New Roman" w:eastAsia="Times New Roman"/>
                <w:b/>
                <w:sz w:val="20"/>
              </w:rPr>
              <w:t>521</w:t>
            </w:r>
          </w:p>
        </w:tc>
        <w:tc>
          <w:tcPr>
            <w:tcW w:type="dxa" w:w="1616"/>
          </w:tcPr>
          <w:p>
            <w:pPr>
              <w:pStyle w:val="TableText"/>
              <w:jc w:val="center"/>
            </w:pPr>
            <w:r>
              <w:rPr>
                <w:rFonts w:ascii="Times New Roman" w:hAnsi="Times New Roman" w:cs="Times New Roman" w:eastAsia="Times New Roman"/>
                <w:b/>
                <w:sz w:val="20"/>
              </w:rPr>
              <w:t>95.1</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5112000" cy="2367547"/>
            <wp:docPr id="34" name="Picture 34"/>
            <wp:cNvGraphicFramePr>
              <a:graphicFrameLocks noChangeAspect="1"/>
            </wp:cNvGraphicFramePr>
            <a:graphic>
              <a:graphicData uri="http://schemas.openxmlformats.org/drawingml/2006/picture">
                <pic:pic>
                  <pic:nvPicPr>
                    <pic:cNvPr id="0" name="fig_tests_coverage.png"/>
                    <pic:cNvPicPr/>
                  </pic:nvPicPr>
                  <pic:blipFill>
                    <a:blip r:embed="rId42"/>
                    <a:stretch>
                      <a:fillRect/>
                    </a:stretch>
                  </pic:blipFill>
                  <pic:spPr>
                    <a:xfrm>
                      <a:off x="0" y="0"/>
                      <a:ext cx="5112000" cy="2367547"/>
                    </a:xfrm>
                    <a:prstGeom prst="rect"/>
                  </pic:spPr>
                </pic:pic>
              </a:graphicData>
            </a:graphic>
          </wp:inline>
        </w:drawing>
      </w:r>
    </w:p>
    <w:p>
      <w:pPr>
        <w:pStyle w:val="Caption"/>
      </w:pPr>
      <w:bookmarkStart w:id="1045" w:name="_Ref_Figure_5_6"/>
      <w:r>
        <w:rPr>
          <w:rFonts w:ascii="Times New Roman" w:hAnsi="Times New Roman" w:cs="Times New Roman" w:eastAsia="Times New Roman"/>
          <w:b/>
          <w:sz w:val="22"/>
        </w:rPr>
        <w:t xml:space="preserve">Figure 5.6: </w:t>
      </w:r>
      <w:r>
        <w:rPr>
          <w:rFonts w:ascii="Times New Roman" w:hAnsi="Times New Roman" w:cs="Times New Roman" w:eastAsia="Times New Roman"/>
          <w:sz w:val="22"/>
        </w:rPr>
        <w:t xml:space="preserve">Left: number of test functions per test file in the original suite (86 tests; blue: unit; green: integration). Right: statement coverage per module of the original code base (red: below 90%).</w:t>
      </w:r>
      <w:bookmarkEnd w:id="1045"/>
    </w:p>
    <w:p>
      <w:pPr>
        <w:pStyle w:val="BodyJ"/>
      </w:pPr>
      <w:r>
        <w:rPr>
          <w:rFonts w:ascii="Times New Roman" w:hAnsi="Times New Roman" w:cs="Times New Roman" w:eastAsia="Times New Roman"/>
        </w:rPr>
        <w:t xml:space="preserve">Among the original modules the lowest-covered is </w:t>
      </w:r>
      <w:r>
        <w:rPr>
          <w:rFonts w:ascii="Courier New" w:hAnsi="Courier New" w:cs="Courier New" w:eastAsia="Courier New"/>
        </w:rPr>
        <w:t xml:space="preserve">src/train.py</w:t>
      </w:r>
      <w:r>
        <w:rPr>
          <w:rFonts w:ascii="Times New Roman" w:hAnsi="Times New Roman" w:cs="Times New Roman" w:eastAsia="Times New Roman"/>
        </w:rPr>
        <w:t xml:space="preserve"> (75%). Its uncovered statements were mainly the body of the command-line </w:t>
      </w:r>
      <w:r>
        <w:rPr>
          <w:rFonts w:ascii="Courier New" w:hAnsi="Courier New" w:cs="Courier New" w:eastAsia="Courier New"/>
        </w:rPr>
        <w:t xml:space="preserve">main()</w:t>
      </w:r>
      <w:r>
        <w:rPr>
          <w:rFonts w:ascii="Times New Roman" w:hAnsi="Times New Roman" w:cs="Times New Roman" w:eastAsia="Times New Roman"/>
        </w:rPr>
        <w:t xml:space="preserve"> function, which parses arguments, builds the synthetic dataset and writes a checkpoint, together with a few verbose-logging and edge-case branches. Command-line tests added since exercise this entry point, but the coverage has not been re-measured.</w:t>
      </w:r>
    </w:p>
    <w:p>
      <w:pPr>
        <w:pStyle w:val="Heading2"/>
      </w:pPr>
      <w:r>
        <w:rPr>
          <w:rFonts w:ascii="Times New Roman" w:hAnsi="Times New Roman" w:cs="Times New Roman" w:eastAsia="Times New Roman"/>
          <w:b/>
          <w:sz w:val="28"/>
        </w:rPr>
        <w:t>5.7  TRAINING ACCEPTANCE CRITERIA</w:t>
      </w:r>
    </w:p>
    <w:p>
      <w:pPr>
        <w:pStyle w:val="BodyJ"/>
      </w:pPr>
      <w:r>
        <w:rPr>
          <w:rFonts w:ascii="Times New Roman" w:hAnsi="Times New Roman" w:cs="Times New Roman" w:eastAsia="Times New Roman"/>
        </w:rPr>
        <w:t xml:space="preserve">The training loop is verified by the four integration tests in </w:t>
      </w:r>
      <w:r>
        <w:rPr>
          <w:rFonts w:ascii="Courier New" w:hAnsi="Courier New" w:cs="Courier New" w:eastAsia="Courier New"/>
          <w:i w:val="0"/>
          <w:sz w:val="22"/>
        </w:rPr>
        <w:t>tests/integration/test_training_loop.py</w:t>
      </w:r>
      <w:r>
        <w:rPr>
          <w:rFonts w:ascii="Times New Roman" w:hAnsi="Times New Roman" w:cs="Times New Roman" w:eastAsia="Times New Roman"/>
        </w:rPr>
        <w:t>, which train a scaled-down model on synthetic data. The configuration and the thresholds that they assert are given in Table 5.7. The tests assert thresholds, not point values; the exact loss and accuracy reached are therefore not part of the recorded results.</w:t>
      </w:r>
    </w:p>
    <w:p>
      <w:pPr>
        <w:pStyle w:val="Caption"/>
        <w:keepNext/>
        <w:spacing w:before="160" w:after="80"/>
      </w:pPr>
      <w:bookmarkStart w:id="1046" w:name="_Ref_Table_5_7"/>
      <w:r>
        <w:rPr>
          <w:rFonts w:ascii="Times New Roman" w:hAnsi="Times New Roman" w:cs="Times New Roman" w:eastAsia="Times New Roman"/>
          <w:b/>
          <w:sz w:val="22"/>
        </w:rPr>
        <w:t xml:space="preserve">Table 5.7: </w:t>
      </w:r>
      <w:r>
        <w:rPr>
          <w:rFonts w:ascii="Times New Roman" w:hAnsi="Times New Roman" w:cs="Times New Roman" w:eastAsia="Times New Roman"/>
          <w:sz w:val="22"/>
        </w:rPr>
        <w:t xml:space="preserve">Training-loop acceptance criteria asserted by </w:t>
      </w:r>
      <w:r>
        <w:rPr>
          <w:rFonts w:ascii="Courier New" w:hAnsi="Courier New" w:cs="Courier New" w:eastAsia="Courier New"/>
          <w:i w:val="0"/>
          <w:sz w:val="20"/>
        </w:rPr>
        <w:t>tests/integration/test_training_loop.py</w:t>
      </w:r>
      <w:r>
        <w:rPr>
          <w:rFonts w:ascii="Times New Roman" w:hAnsi="Times New Roman" w:cs="Times New Roman" w:eastAsia="Times New Roman"/>
          <w:sz w:val="22"/>
        </w:rPr>
        <w:t>.</w:t>
      </w:r>
      <w:bookmarkEnd w:id="1046"/>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701"/>
        <w:gridCol w:w="6605"/>
      </w:tblGrid>
      <w:tr>
        <w:trPr>
          <w:cantSplit/>
          <w:tblHeader/>
        </w:trPr>
        <w:tc>
          <w:tcPr>
            <w:tcW w:type="dxa" w:w="1701"/>
            <w:shd w:val="clear" w:color="auto" w:fill="D9D9D9"/>
          </w:tcPr>
          <w:p>
            <w:pPr>
              <w:pStyle w:val="TableText"/>
              <w:keepNext/>
              <w:jc w:val="left"/>
            </w:pPr>
            <w:r>
              <w:rPr>
                <w:rFonts w:ascii="Times New Roman" w:hAnsi="Times New Roman" w:cs="Times New Roman" w:eastAsia="Times New Roman"/>
                <w:b/>
                <w:sz w:val="20"/>
              </w:rPr>
              <w:t>Item</w:t>
            </w:r>
          </w:p>
        </w:tc>
        <w:tc>
          <w:tcPr>
            <w:tcW w:type="dxa" w:w="6605"/>
            <w:shd w:val="clear" w:color="auto" w:fill="D9D9D9"/>
          </w:tcPr>
          <w:p>
            <w:pPr>
              <w:pStyle w:val="TableText"/>
              <w:keepNext/>
              <w:jc w:val="left"/>
            </w:pPr>
            <w:r>
              <w:rPr>
                <w:rFonts w:ascii="Times New Roman" w:hAnsi="Times New Roman" w:cs="Times New Roman" w:eastAsia="Times New Roman"/>
                <w:b/>
                <w:sz w:val="20"/>
              </w:rPr>
              <w:t>Specification</w:t>
            </w:r>
          </w:p>
        </w:tc>
      </w:tr>
      <w:tr>
        <w:trPr>
          <w:cantSplit/>
        </w:trPr>
        <w:tc>
          <w:tcPr>
            <w:tcW w:type="dxa" w:w="1701"/>
          </w:tcPr>
          <w:p>
            <w:pPr>
              <w:pStyle w:val="TableText"/>
              <w:keepNext/>
              <w:jc w:val="left"/>
            </w:pPr>
            <w:r>
              <w:rPr>
                <w:rFonts w:ascii="Times New Roman" w:hAnsi="Times New Roman" w:cs="Times New Roman" w:eastAsia="Times New Roman"/>
                <w:sz w:val="20"/>
              </w:rPr>
              <w:t>Data</w:t>
            </w:r>
          </w:p>
        </w:tc>
        <w:tc>
          <w:tcPr>
            <w:tcW w:type="dxa" w:w="6605"/>
          </w:tcPr>
          <w:p>
            <w:pPr>
              <w:pStyle w:val="TableText"/>
              <w:keepNext/>
              <w:jc w:val="left"/>
            </w:pPr>
            <w:r>
              <w:rPr>
                <w:rFonts w:ascii="Times New Roman" w:hAnsi="Times New Roman" w:cs="Times New Roman" w:eastAsia="Times New Roman"/>
                <w:sz w:val="20"/>
              </w:rPr>
              <w:t>24 synthetic samples (raw volume 40 × 48 × 32), validation split 25%, seed 0</w:t>
            </w:r>
          </w:p>
        </w:tc>
      </w:tr>
      <w:tr>
        <w:trPr>
          <w:cantSplit/>
        </w:trPr>
        <w:tc>
          <w:tcPr>
            <w:tcW w:type="dxa" w:w="1701"/>
          </w:tcPr>
          <w:p>
            <w:pPr>
              <w:pStyle w:val="TableText"/>
              <w:keepNext/>
              <w:jc w:val="left"/>
            </w:pPr>
            <w:r>
              <w:rPr>
                <w:rFonts w:ascii="Times New Roman" w:hAnsi="Times New Roman" w:cs="Times New Roman" w:eastAsia="Times New Roman"/>
                <w:sz w:val="20"/>
              </w:rPr>
              <w:t>Model</w:t>
            </w:r>
          </w:p>
        </w:tc>
        <w:tc>
          <w:tcPr>
            <w:tcW w:type="dxa" w:w="6605"/>
          </w:tcPr>
          <w:p>
            <w:pPr>
              <w:pStyle w:val="TableText"/>
              <w:keepNext/>
              <w:jc w:val="left"/>
            </w:pPr>
            <w:r>
              <w:rPr>
                <w:rFonts w:ascii="Times New Roman" w:hAnsi="Times New Roman" w:cs="Times New Roman" w:eastAsia="Times New Roman"/>
                <w:sz w:val="20"/>
              </w:rPr>
              <w:t>d_model 32, 2 heads, 8 spatial and 8 temporal tokens, FFN 64, dropout 0.1; MRI shape 32³; VEP length 200</w:t>
            </w:r>
          </w:p>
        </w:tc>
      </w:tr>
      <w:tr>
        <w:trPr>
          <w:cantSplit/>
        </w:trPr>
        <w:tc>
          <w:tcPr>
            <w:tcW w:type="dxa" w:w="1701"/>
          </w:tcPr>
          <w:p>
            <w:pPr>
              <w:pStyle w:val="TableText"/>
              <w:jc w:val="left"/>
            </w:pPr>
            <w:r>
              <w:rPr>
                <w:rFonts w:ascii="Times New Roman" w:hAnsi="Times New Roman" w:cs="Times New Roman" w:eastAsia="Times New Roman"/>
                <w:sz w:val="20"/>
              </w:rPr>
              <w:t>Training</w:t>
            </w:r>
          </w:p>
        </w:tc>
        <w:tc>
          <w:tcPr>
            <w:tcW w:type="dxa" w:w="6605"/>
          </w:tcPr>
          <w:p>
            <w:pPr>
              <w:pStyle w:val="TableText"/>
              <w:jc w:val="left"/>
            </w:pPr>
            <w:r>
              <w:rPr>
                <w:rFonts w:ascii="Times New Roman" w:hAnsi="Times New Roman" w:cs="Times New Roman" w:eastAsia="Times New Roman"/>
                <w:sz w:val="20"/>
              </w:rPr>
              <w:t xml:space="preserve">15 epochs, batch size 4, learning rate 1e-3, weight decay 1e-4, auxiliary weight 0.3; optimiser and schedule are the </w:t>
            </w:r>
            <w:r>
              <w:rPr>
                <w:rFonts w:ascii="Courier New" w:hAnsi="Courier New" w:cs="Courier New" w:eastAsia="Courier New"/>
                <w:sz w:val="20"/>
              </w:rPr>
              <w:t xml:space="preserve">TrainConfig</w:t>
            </w:r>
            <w:r>
              <w:rPr>
                <w:rFonts w:ascii="Times New Roman" w:hAnsi="Times New Roman" w:cs="Times New Roman" w:eastAsia="Times New Roman"/>
                <w:sz w:val="20"/>
              </w:rPr>
              <w:t xml:space="preserve"> defaults, now AdamW with warm-up and cosine decay (the test was written when the default was Adam with a constant rate)</w:t>
            </w:r>
          </w:p>
        </w:tc>
      </w:tr>
      <w:tr>
        <w:trPr>
          <w:cantSplit/>
        </w:trPr>
        <w:tc>
          <w:tcPr>
            <w:tcW w:type="dxa" w:w="1701"/>
          </w:tcPr>
          <w:p>
            <w:pPr>
              <w:pStyle w:val="TableText"/>
              <w:jc w:val="left"/>
            </w:pPr>
            <w:r>
              <w:rPr>
                <w:rFonts w:ascii="Times New Roman" w:hAnsi="Times New Roman" w:cs="Times New Roman" w:eastAsia="Times New Roman"/>
                <w:sz w:val="20"/>
              </w:rPr>
              <w:t>Criterion 1</w:t>
            </w:r>
          </w:p>
        </w:tc>
        <w:tc>
          <w:tcPr>
            <w:tcW w:type="dxa" w:w="6605"/>
          </w:tcPr>
          <w:p>
            <w:pPr>
              <w:pStyle w:val="TableText"/>
              <w:jc w:val="left"/>
            </w:pPr>
            <w:r>
              <w:rPr>
                <w:rFonts w:ascii="Times New Roman" w:hAnsi="Times New Roman" w:cs="Times New Roman" w:eastAsia="Times New Roman"/>
                <w:sz w:val="20"/>
              </w:rPr>
              <w:t>Final training loss &lt; 0.7 × initial training loss</w:t>
            </w:r>
          </w:p>
        </w:tc>
      </w:tr>
      <w:tr>
        <w:trPr>
          <w:cantSplit/>
        </w:trPr>
        <w:tc>
          <w:tcPr>
            <w:tcW w:type="dxa" w:w="1701"/>
          </w:tcPr>
          <w:p>
            <w:pPr>
              <w:pStyle w:val="TableText"/>
              <w:jc w:val="left"/>
            </w:pPr>
            <w:r>
              <w:rPr>
                <w:rFonts w:ascii="Times New Roman" w:hAnsi="Times New Roman" w:cs="Times New Roman" w:eastAsia="Times New Roman"/>
                <w:sz w:val="20"/>
              </w:rPr>
              <w:t>Criterion 2</w:t>
            </w:r>
          </w:p>
        </w:tc>
        <w:tc>
          <w:tcPr>
            <w:tcW w:type="dxa" w:w="6605"/>
          </w:tcPr>
          <w:p>
            <w:pPr>
              <w:pStyle w:val="TableText"/>
              <w:jc w:val="left"/>
            </w:pPr>
            <w:r>
              <w:rPr>
                <w:rFonts w:ascii="Times New Roman" w:hAnsi="Times New Roman" w:cs="Times New Roman" w:eastAsia="Times New Roman"/>
                <w:sz w:val="20"/>
              </w:rPr>
              <w:t>Validation accuracy of the fused head &gt; 0.5 (chance level for three balanced classes is 0.33)</w:t>
            </w:r>
          </w:p>
        </w:tc>
      </w:tr>
      <w:tr>
        <w:trPr>
          <w:cantSplit/>
        </w:trPr>
        <w:tc>
          <w:tcPr>
            <w:tcW w:type="dxa" w:w="1701"/>
          </w:tcPr>
          <w:p>
            <w:pPr>
              <w:pStyle w:val="TableText"/>
              <w:jc w:val="left"/>
            </w:pPr>
            <w:r>
              <w:rPr>
                <w:rFonts w:ascii="Times New Roman" w:hAnsi="Times New Roman" w:cs="Times New Roman" w:eastAsia="Times New Roman"/>
                <w:sz w:val="20"/>
              </w:rPr>
              <w:t>Criterion 3</w:t>
            </w:r>
          </w:p>
        </w:tc>
        <w:tc>
          <w:tcPr>
            <w:tcW w:type="dxa" w:w="6605"/>
          </w:tcPr>
          <w:p>
            <w:pPr>
              <w:pStyle w:val="TableText"/>
              <w:jc w:val="left"/>
            </w:pPr>
            <w:r>
              <w:rPr>
                <w:rFonts w:ascii="Times New Roman" w:hAnsi="Times New Roman" w:cs="Times New Roman" w:eastAsia="Times New Roman"/>
                <w:sz w:val="20"/>
              </w:rPr>
              <w:t>Training runs without a validation set (history of validation loss is empty)</w:t>
            </w:r>
          </w:p>
        </w:tc>
      </w:tr>
      <w:tr>
        <w:trPr>
          <w:cantSplit/>
        </w:trPr>
        <w:tc>
          <w:tcPr>
            <w:tcW w:type="dxa" w:w="1701"/>
          </w:tcPr>
          <w:p>
            <w:pPr>
              <w:pStyle w:val="TableText"/>
              <w:jc w:val="left"/>
            </w:pPr>
            <w:r>
              <w:rPr>
                <w:rFonts w:ascii="Times New Roman" w:hAnsi="Times New Roman" w:cs="Times New Roman" w:eastAsia="Times New Roman"/>
                <w:sz w:val="20"/>
              </w:rPr>
              <w:t>Criterion 4</w:t>
            </w:r>
          </w:p>
        </w:tc>
        <w:tc>
          <w:tcPr>
            <w:tcW w:type="dxa" w:w="6605"/>
          </w:tcPr>
          <w:p>
            <w:pPr>
              <w:pStyle w:val="TableText"/>
              <w:jc w:val="left"/>
            </w:pPr>
            <w:r>
              <w:rPr>
                <w:rFonts w:ascii="Times New Roman" w:hAnsi="Times New Roman" w:cs="Times New Roman" w:eastAsia="Times New Roman"/>
                <w:sz w:val="20"/>
              </w:rPr>
              <w:t>A saved and reloaded checkpoint reproduces the fused logits exactly (</w:t>
            </w:r>
            <w:r>
              <w:rPr>
                <w:rFonts w:ascii="Courier New" w:hAnsi="Courier New" w:cs="Courier New" w:eastAsia="Courier New"/>
                <w:i w:val="0"/>
                <w:sz w:val="20"/>
              </w:rPr>
              <w:t>assert_close</w:t>
            </w:r>
            <w:r>
              <w:rPr>
                <w:rFonts w:ascii="Times New Roman" w:hAnsi="Times New Roman" w:cs="Times New Roman" w:eastAsia="Times New Roman"/>
                <w:sz w:val="20"/>
              </w:rPr>
              <w:t>)</w:t>
            </w:r>
          </w:p>
        </w:tc>
      </w:tr>
    </w:tbl>
    <w:p>
      <w:pPr>
        <w:spacing w:after="80" w:line="240" w:lineRule="auto"/>
      </w:pPr>
    </w:p>
    <w:p>
      <w:pPr>
        <w:pStyle w:val="BodyJ"/>
      </w:pPr>
      <w:r>
        <w:rPr>
          <w:rFonts w:ascii="Times New Roman" w:hAnsi="Times New Roman" w:cs="Times New Roman" w:eastAsia="Times New Roman"/>
        </w:rPr>
        <w:t xml:space="preserve">The four tests of </w:t>
      </w:r>
      <w:r>
        <w:rPr>
          <w:rFonts w:ascii="Courier New" w:hAnsi="Courier New" w:cs="Courier New" w:eastAsia="Courier New"/>
          <w:i w:val="0"/>
          <w:sz w:val="22"/>
        </w:rPr>
        <w:t>tests/integration/test_pipeline_end_to_end.py</w:t>
      </w:r>
      <w:r>
        <w:rPr>
          <w:rFonts w:ascii="Times New Roman" w:hAnsi="Times New Roman" w:cs="Times New Roman" w:eastAsia="Times New Roman"/>
        </w:rPr>
        <w:t xml:space="preserve"> exercise the raw-file path: synthetic NIfTI and CSV files are written and read through </w:t>
      </w:r>
      <w:r>
        <w:rPr>
          <w:rFonts w:ascii="Courier New" w:hAnsi="Courier New" w:cs="Courier New" w:eastAsia="Courier New"/>
          <w:i w:val="0"/>
          <w:sz w:val="22"/>
        </w:rPr>
        <w:t>PairedNeuroDataset</w:t>
      </w:r>
      <w:r>
        <w:rPr>
          <w:rFonts w:ascii="Times New Roman" w:hAnsi="Times New Roman" w:cs="Times New Roman" w:eastAsia="Times New Roman"/>
        </w:rPr>
        <w:t>; the preprocessed tensors are passed through the model without shape errors; the loss is back-propagated and at least one parameter is shown to change after an optimiser step; Grad-CAM and attention plots are produced from a dataset sample; and the preprocessed Glaucoma and Optic Neuritis VEP peaks are shown to occur at different sample indices.</w:t>
      </w:r>
    </w:p>
    <w:p>
      <w:pPr>
        <w:pStyle w:val="BodyJ"/>
      </w:pPr>
      <w:r>
        <w:rPr>
          <w:rFonts w:ascii="Times New Roman" w:hAnsi="Times New Roman" w:cs="Times New Roman" w:eastAsia="Times New Roman"/>
        </w:rPr>
        <w:t xml:space="preserve">Measured training and evaluation results of the final model on synthetic and on real data are reported in Sections 5.9 to 5.12.</w:t>
      </w:r>
    </w:p>
    <w:p>
      <w:pPr>
        <w:pStyle w:val="Heading2"/>
      </w:pPr>
      <w:r>
        <w:rPr>
          <w:rFonts w:ascii="Times New Roman" w:hAnsi="Times New Roman" w:cs="Times New Roman" w:eastAsia="Times New Roman"/>
          <w:b/>
          <w:sz w:val="28"/>
        </w:rPr>
        <w:t>5.8  SUMMARY OF RESULTS</w:t>
      </w:r>
    </w:p>
    <w:p>
      <w:pPr>
        <w:pStyle w:val="BodyJ"/>
      </w:pPr>
      <w:r>
        <w:rPr>
          <w:rFonts w:ascii="Times New Roman" w:hAnsi="Times New Roman" w:cs="Times New Roman" w:eastAsia="Times New Roman"/>
        </w:rPr>
        <w:t xml:space="preserve">Table 5.8 summarises the results of Sections 5.2 to 5.7 together with the headline findings of Study B that are final; the detailed synthetic-benchmark and real-cohort results follow in Sections 5.9 to 5.12.</w:t>
      </w:r>
    </w:p>
    <w:p>
      <w:pPr>
        <w:pStyle w:val="Caption"/>
        <w:keepNext/>
        <w:spacing w:before="160" w:after="80"/>
      </w:pPr>
      <w:bookmarkStart w:id="1047" w:name="_Ref_Table_5_8"/>
      <w:r>
        <w:rPr>
          <w:rFonts w:ascii="Times New Roman" w:hAnsi="Times New Roman" w:cs="Times New Roman" w:eastAsia="Times New Roman"/>
          <w:b/>
          <w:sz w:val="22"/>
        </w:rPr>
        <w:t xml:space="preserve">Table 5.8: </w:t>
      </w:r>
      <w:r>
        <w:rPr>
          <w:rFonts w:ascii="Times New Roman" w:hAnsi="Times New Roman" w:cs="Times New Roman" w:eastAsia="Times New Roman"/>
          <w:sz w:val="22"/>
        </w:rPr>
        <w:t>Summary of the objective results.</w:t>
      </w:r>
      <w:bookmarkEnd w:id="1047"/>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500"/>
        <w:gridCol w:w="5806"/>
      </w:tblGrid>
      <w:tr>
        <w:trPr>
          <w:cantSplit/>
          <w:tblHeader/>
        </w:trPr>
        <w:tc>
          <w:tcPr>
            <w:tcW w:type="dxa" w:w="2500"/>
            <w:shd w:val="clear" w:color="auto" w:fill="D9D9D9"/>
          </w:tcPr>
          <w:p>
            <w:pPr>
              <w:pStyle w:val="TableText"/>
              <w:keepNext/>
              <w:jc w:val="left"/>
            </w:pPr>
            <w:r>
              <w:rPr>
                <w:rFonts w:ascii="Times New Roman" w:hAnsi="Times New Roman" w:cs="Times New Roman" w:eastAsia="Times New Roman"/>
                <w:b/>
                <w:sz w:val="20"/>
              </w:rPr>
              <w:t xml:space="preserve">Item</w:t>
            </w:r>
          </w:p>
        </w:tc>
        <w:tc>
          <w:tcPr>
            <w:tcW w:type="dxa" w:w="5806"/>
            <w:shd w:val="clear" w:color="auto" w:fill="D9D9D9"/>
          </w:tcPr>
          <w:p>
            <w:pPr>
              <w:pStyle w:val="TableText"/>
              <w:keepNext/>
              <w:jc w:val="left"/>
            </w:pPr>
            <w:r>
              <w:rPr>
                <w:rFonts w:ascii="Times New Roman" w:hAnsi="Times New Roman" w:cs="Times New Roman" w:eastAsia="Times New Roman"/>
                <w:b/>
                <w:sz w:val="20"/>
              </w:rPr>
              <w:t xml:space="preserve">Result</w:t>
            </w:r>
          </w:p>
        </w:tc>
      </w:tr>
      <w:tr>
        <w:trPr>
          <w:cantSplit/>
        </w:trPr>
        <w:tc>
          <w:tcPr>
            <w:tcW w:type="dxa" w:w="2500"/>
          </w:tcPr>
          <w:p>
            <w:pPr>
              <w:pStyle w:val="TableText"/>
              <w:keepNext/>
              <w:jc w:val="left"/>
            </w:pPr>
            <w:r>
              <w:rPr>
                <w:rFonts w:ascii="Times New Roman" w:hAnsi="Times New Roman" w:cs="Times New Roman" w:eastAsia="Times New Roman"/>
                <w:sz w:val="20"/>
              </w:rPr>
              <w:t xml:space="preserve">H1: P100 latency preserved (synthetic, original generator)</w:t>
            </w:r>
          </w:p>
        </w:tc>
        <w:tc>
          <w:tcPr>
            <w:tcW w:type="dxa" w:w="5806"/>
          </w:tcPr>
          <w:p>
            <w:pPr>
              <w:pStyle w:val="TableText"/>
              <w:keepNext/>
              <w:jc w:val="left"/>
            </w:pPr>
            <w:r>
              <w:rPr>
                <w:rFonts w:ascii="Times New Roman" w:hAnsi="Times New Roman" w:cs="Times New Roman" w:eastAsia="Times New Roman"/>
                <w:sz w:val="20"/>
              </w:rPr>
              <w:t xml:space="preserve">149 of 150 synthetic trials within one sample (4 ms) of ground truth; one Glaucoma trial at 8 ms; mean errors between +0.00 and +0.80 ms</w:t>
            </w:r>
          </w:p>
        </w:tc>
      </w:tr>
      <w:tr>
        <w:trPr>
          <w:cantSplit/>
        </w:trPr>
        <w:tc>
          <w:tcPr>
            <w:tcW w:type="dxa" w:w="2500"/>
          </w:tcPr>
          <w:p>
            <w:pPr>
              <w:pStyle w:val="TableText"/>
              <w:keepNext/>
              <w:jc w:val="left"/>
            </w:pPr>
            <w:r>
              <w:rPr>
                <w:rFonts w:ascii="Times New Roman" w:hAnsi="Times New Roman" w:cs="Times New Roman" w:eastAsia="Times New Roman"/>
                <w:sz w:val="20"/>
              </w:rPr>
              <w:t xml:space="preserve">Mains attenuation (synthetic)</w:t>
            </w:r>
          </w:p>
        </w:tc>
        <w:tc>
          <w:tcPr>
            <w:tcW w:type="dxa" w:w="5806"/>
          </w:tcPr>
          <w:p>
            <w:pPr>
              <w:pStyle w:val="TableText"/>
              <w:keepNext/>
              <w:jc w:val="left"/>
            </w:pPr>
            <w:r>
              <w:rPr>
                <w:rFonts w:ascii="Times New Roman" w:hAnsi="Times New Roman" w:cs="Times New Roman" w:eastAsia="Times New Roman"/>
                <w:sz w:val="20"/>
              </w:rPr>
              <w:t xml:space="preserve">Mean 22.0 dB reduction of the 50 Hz component; notch −6 dB band 49.18–50.83 Hz</w:t>
            </w:r>
          </w:p>
        </w:tc>
      </w:tr>
      <w:tr>
        <w:trPr>
          <w:cantSplit/>
        </w:trPr>
        <w:tc>
          <w:tcPr>
            <w:tcW w:type="dxa" w:w="2500"/>
          </w:tcPr>
          <w:p>
            <w:pPr>
              <w:pStyle w:val="TableText"/>
              <w:keepNext/>
              <w:jc w:val="left"/>
            </w:pPr>
            <w:r>
              <w:rPr>
                <w:rFonts w:ascii="Times New Roman" w:hAnsi="Times New Roman" w:cs="Times New Roman" w:eastAsia="Times New Roman"/>
                <w:sz w:val="20"/>
              </w:rPr>
              <w:t xml:space="preserve">Foreground mask on synthetic MRI (original generator, percentile mask)</w:t>
            </w:r>
          </w:p>
        </w:tc>
        <w:tc>
          <w:tcPr>
            <w:tcW w:type="dxa" w:w="5806"/>
          </w:tcPr>
          <w:p>
            <w:pPr>
              <w:pStyle w:val="TableText"/>
              <w:keepNext/>
              <w:jc w:val="left"/>
            </w:pPr>
            <w:r>
              <w:rPr>
                <w:rFonts w:ascii="Times New Roman" w:hAnsi="Times New Roman" w:cs="Times New Roman" w:eastAsia="Times New Roman"/>
                <w:sz w:val="20"/>
              </w:rPr>
              <w:t xml:space="preserve">Exactly 60.0% of voxels zeroed in every class; atrophy-proxy ROI fully zeroed in the Glaucoma volume</w:t>
            </w:r>
          </w:p>
        </w:tc>
      </w:tr>
      <w:tr>
        <w:trPr>
          <w:cantSplit/>
        </w:trPr>
        <w:tc>
          <w:tcPr>
            <w:tcW w:type="dxa" w:w="2500"/>
          </w:tcPr>
          <w:p>
            <w:pPr>
              <w:pStyle w:val="TableText"/>
              <w:keepNext/>
              <w:jc w:val="left"/>
            </w:pPr>
            <w:r>
              <w:rPr>
                <w:rFonts w:ascii="Times New Roman" w:hAnsi="Times New Roman" w:cs="Times New Roman" w:eastAsia="Times New Roman"/>
                <w:sz w:val="20"/>
              </w:rPr>
              <w:t xml:space="preserve">Model size</w:t>
            </w:r>
          </w:p>
        </w:tc>
        <w:tc>
          <w:tcPr>
            <w:tcW w:type="dxa" w:w="5806"/>
          </w:tcPr>
          <w:p>
            <w:pPr>
              <w:pStyle w:val="TableText"/>
              <w:keepNext/>
              <w:jc w:val="left"/>
            </w:pPr>
            <w:r>
              <w:rPr>
                <w:rFonts w:ascii="Times New Roman" w:hAnsi="Times New Roman" w:cs="Times New Roman" w:eastAsia="Times New Roman"/>
                <w:sz w:val="20"/>
              </w:rPr>
              <w:t xml:space="preserve">1,955,140 trainable parameters (original v1: 1,055,081); 2.60 G MACs per sample at 64³ (0.39 G at 32³)</w:t>
            </w:r>
          </w:p>
        </w:tc>
      </w:tr>
      <w:tr>
        <w:trPr>
          <w:cantSplit/>
        </w:trPr>
        <w:tc>
          <w:tcPr>
            <w:tcW w:type="dxa" w:w="2500"/>
          </w:tcPr>
          <w:p>
            <w:pPr>
              <w:pStyle w:val="TableText"/>
              <w:keepNext/>
              <w:jc w:val="left"/>
            </w:pPr>
            <w:r>
              <w:rPr>
                <w:rFonts w:ascii="Times New Roman" w:hAnsi="Times New Roman" w:cs="Times New Roman" w:eastAsia="Times New Roman"/>
                <w:sz w:val="20"/>
              </w:rPr>
              <w:t xml:space="preserve">Test suite</w:t>
            </w:r>
          </w:p>
        </w:tc>
        <w:tc>
          <w:tcPr>
            <w:tcW w:type="dxa" w:w="5806"/>
          </w:tcPr>
          <w:p>
            <w:pPr>
              <w:pStyle w:val="TableText"/>
              <w:keepNext/>
              <w:jc w:val="left"/>
            </w:pPr>
            <w:r>
              <w:rPr>
                <w:rFonts w:ascii="Times New Roman" w:hAnsi="Times New Roman" w:cs="Times New Roman" w:eastAsia="Times New Roman"/>
                <w:sz w:val="20"/>
              </w:rPr>
              <w:t xml:space="preserve">340 test functions (310 unit, 30 integration) in 29 files; all pass on macOS (Python 3.14) and on Ubuntu 22.04 with CUDA (Python 3.12; one test skipped)</w:t>
            </w:r>
          </w:p>
        </w:tc>
      </w:tr>
      <w:tr>
        <w:trPr>
          <w:cantSplit/>
        </w:trPr>
        <w:tc>
          <w:tcPr>
            <w:tcW w:type="dxa" w:w="2500"/>
          </w:tcPr>
          <w:p>
            <w:pPr>
              <w:pStyle w:val="TableText"/>
              <w:keepNext/>
              <w:jc w:val="left"/>
            </w:pPr>
            <w:r>
              <w:rPr>
                <w:rFonts w:ascii="Times New Roman" w:hAnsi="Times New Roman" w:cs="Times New Roman" w:eastAsia="Times New Roman"/>
                <w:sz w:val="20"/>
              </w:rPr>
              <w:t xml:space="preserve">Statement coverage</w:t>
            </w:r>
          </w:p>
        </w:tc>
        <w:tc>
          <w:tcPr>
            <w:tcW w:type="dxa" w:w="5806"/>
          </w:tcPr>
          <w:p>
            <w:pPr>
              <w:pStyle w:val="TableText"/>
              <w:keepNext/>
              <w:jc w:val="left"/>
            </w:pPr>
            <w:r>
              <w:rPr>
                <w:rFonts w:ascii="Times New Roman" w:hAnsi="Times New Roman" w:cs="Times New Roman" w:eastAsia="Times New Roman"/>
                <w:sz w:val="20"/>
              </w:rPr>
              <w:t xml:space="preserve">95.1% for the original code base (twelve modules), not re-measured for the current code; no coverage claim for the new code</w:t>
            </w:r>
          </w:p>
        </w:tc>
      </w:tr>
      <w:tr>
        <w:trPr>
          <w:cantSplit/>
        </w:trPr>
        <w:tc>
          <w:tcPr>
            <w:tcW w:type="dxa" w:w="2500"/>
          </w:tcPr>
          <w:p>
            <w:pPr>
              <w:pStyle w:val="TableText"/>
              <w:keepNext/>
              <w:jc w:val="left"/>
            </w:pPr>
            <w:r>
              <w:rPr>
                <w:rFonts w:ascii="Times New Roman" w:hAnsi="Times New Roman" w:cs="Times New Roman" w:eastAsia="Times New Roman"/>
                <w:sz w:val="20"/>
              </w:rPr>
              <w:t xml:space="preserve">H2: training acceptance</w:t>
            </w:r>
          </w:p>
        </w:tc>
        <w:tc>
          <w:tcPr>
            <w:tcW w:type="dxa" w:w="5806"/>
          </w:tcPr>
          <w:p>
            <w:pPr>
              <w:pStyle w:val="TableText"/>
              <w:keepNext/>
              <w:jc w:val="left"/>
            </w:pPr>
            <w:r>
              <w:rPr>
                <w:rFonts w:ascii="Times New Roman" w:hAnsi="Times New Roman" w:cs="Times New Roman" w:eastAsia="Times New Roman"/>
                <w:sz w:val="20"/>
              </w:rPr>
              <w:t xml:space="preserve">Thresholds defined and asserted by integration tests (loss &lt; 70% of initial; validation accuracy &gt; 0.5); measured results in Sections 5.9 to 5.12</w:t>
            </w:r>
          </w:p>
        </w:tc>
      </w:tr>
      <w:tr>
        <w:trPr>
          <w:cantSplit/>
        </w:trPr>
        <w:tc>
          <w:tcPr>
            <w:tcW w:type="dxa" w:w="2500"/>
          </w:tcPr>
          <w:p>
            <w:pPr>
              <w:pStyle w:val="TableText"/>
              <w:keepNext/>
              <w:jc w:val="left"/>
            </w:pPr>
            <w:r>
              <w:rPr>
                <w:rFonts w:ascii="Times New Roman" w:hAnsi="Times New Roman" w:cs="Times New Roman" w:eastAsia="Times New Roman"/>
                <w:sz w:val="20"/>
              </w:rPr>
              <w:t xml:space="preserve">Study A: controlled synthetic benchmark and informativeness sweep (synthetic)</w:t>
            </w:r>
          </w:p>
        </w:tc>
        <w:tc>
          <w:tcPr>
            <w:tcW w:type="dxa" w:w="5806"/>
          </w:tcPr>
          <w:p>
            <w:pPr>
              <w:pStyle w:val="TableText"/>
              <w:keepNext/>
              <w:jc w:val="left"/>
            </w:pPr>
            <w:r>
              <w:rPr>
                <w:rFonts w:ascii="Times New Roman" w:hAnsi="Times New Roman" w:cs="Times New Roman" w:eastAsia="Times New Roman"/>
                <w:sz w:val="20"/>
              </w:rPr>
              <w:t xml:space="preserve">Fusion beats the better single modality by 10.7 points (78.1% against 68.0% MRI only and 64.0% VEP only; paired over 5 seeds, p &lt; 0.001). CAFN (78.1%) is indistinguishable from concatenation (77.5%) and element-wise sum (79.6%); none of 7 component ablations differs reliably (−1.7 to 0.0 points). The fusion gain is largest at intermediate informativeness and vanishes when one modality dominates (Sections 5.9, 5.10)</w:t>
            </w:r>
          </w:p>
        </w:tc>
      </w:tr>
      <w:tr>
        <w:trPr>
          <w:cantSplit/>
        </w:trPr>
        <w:tc>
          <w:tcPr>
            <w:tcW w:type="dxa" w:w="2500"/>
          </w:tcPr>
          <w:p>
            <w:pPr>
              <w:pStyle w:val="TableText"/>
              <w:keepNext/>
              <w:jc w:val="left"/>
            </w:pPr>
            <w:r>
              <w:rPr>
                <w:rFonts w:ascii="Times New Roman" w:hAnsi="Times New Roman" w:cs="Times New Roman" w:eastAsia="Times New Roman"/>
                <w:sz w:val="20"/>
              </w:rPr>
              <w:t xml:space="preserve">Study B: classical baselines, 5 × 5-fold cross-validation on all 95 subjects (real cohorts)</w:t>
            </w:r>
          </w:p>
        </w:tc>
        <w:tc>
          <w:tcPr>
            <w:tcW w:type="dxa" w:w="5806"/>
          </w:tcPr>
          <w:p>
            <w:pPr>
              <w:pStyle w:val="TableText"/>
              <w:keepNext/>
              <w:jc w:val="left"/>
            </w:pPr>
            <w:r>
              <w:rPr>
                <w:rFonts w:ascii="Times New Roman" w:hAnsi="Times New Roman" w:cs="Times New Roman" w:eastAsia="Times New Roman"/>
                <w:sz w:val="20"/>
              </w:rPr>
              <w:t xml:space="preserve">ROC-AUC between 0.52 and 0.59 for all five baselines (mean over repeats). Only logistic regression on the spectrum (0.563, permutation p = 0.025) and on band powers (0.567, p = 0.005) reach p &lt; 0.05, and only the band-power model survives Bonferroni correction (adjusted p = 0.025); the bootstrap intervals (0.45–0.68) include 0.5. Leave-one-cohort-out ROC-AUC 0.40–0.63: no consistent transfer (Sections 5.11, 5.12)</w:t>
            </w:r>
          </w:p>
        </w:tc>
      </w:tr>
      <w:tr>
        <w:trPr>
          <w:cantSplit/>
        </w:trPr>
        <w:tc>
          <w:tcPr>
            <w:tcW w:type="dxa" w:w="2500"/>
          </w:tcPr>
          <w:p>
            <w:pPr>
              <w:pStyle w:val="TableText"/>
              <w:keepNext/>
              <w:jc w:val="left"/>
            </w:pPr>
            <w:r>
              <w:rPr>
                <w:rFonts w:ascii="Times New Roman" w:hAnsi="Times New Roman" w:cs="Times New Roman" w:eastAsia="Times New Roman"/>
                <w:sz w:val="20"/>
              </w:rPr>
              <w:t xml:space="preserve">Study B: CAFN, pooled and leave-one-cohort-out, 3 repeats, 64³ MRI (real cohorts)</w:t>
            </w:r>
          </w:p>
        </w:tc>
        <w:tc>
          <w:tcPr>
            <w:tcW w:type="dxa" w:w="5806"/>
          </w:tcPr>
          <w:p>
            <w:pPr>
              <w:pStyle w:val="TableText"/>
              <w:keepNext/>
              <w:jc w:val="left"/>
            </w:pPr>
            <w:r>
              <w:rPr>
                <w:rFonts w:ascii="Times New Roman" w:hAnsi="Times New Roman" w:cs="Times New Roman" w:eastAsia="Times New Roman"/>
                <w:sz w:val="20"/>
              </w:rPr>
              <w:t xml:space="preserve">Test accuracy 0.45–0.52 and balanced accuracy 0.46–0.54 in all settings: at chance level (Section 5.12). Cross-validated ROC-AUC: CAFN 0.51, concatenation 0.53, MRI only 0.48 (all at chance); spectrum-only network 0.62 (interval 0.50–0.72), the best (Section 5.11)</w:t>
            </w:r>
          </w:p>
        </w:tc>
      </w:tr>
      <w:tr>
        <w:trPr>
          <w:cantSplit/>
        </w:trPr>
        <w:tc>
          <w:tcPr>
            <w:tcW w:type="dxa" w:w="2500"/>
          </w:tcPr>
          <w:p>
            <w:pPr>
              <w:pStyle w:val="TableText"/>
              <w:jc w:val="left"/>
            </w:pPr>
            <w:r>
              <w:rPr>
                <w:rFonts w:ascii="Times New Roman" w:hAnsi="Times New Roman" w:cs="Times New Roman" w:eastAsia="Times New Roman"/>
                <w:sz w:val="20"/>
              </w:rPr>
              <w:t xml:space="preserve">Study B: cohort-identity probe (real cohorts)</w:t>
            </w:r>
          </w:p>
        </w:tc>
        <w:tc>
          <w:tcPr>
            <w:tcW w:type="dxa" w:w="5806"/>
          </w:tcPr>
          <w:p>
            <w:pPr>
              <w:pStyle w:val="TableText"/>
              <w:jc w:val="left"/>
            </w:pPr>
            <w:r>
              <w:rPr>
                <w:rFonts w:ascii="Times New Roman" w:hAnsi="Times New Roman" w:cs="Times New Roman" w:eastAsia="Times New Roman"/>
                <w:sz w:val="20"/>
              </w:rPr>
              <w:t xml:space="preserve">The spectrum alone identifies the cohort with 100% accuracy (majority baseline 50.5%)</w:t>
            </w:r>
          </w:p>
        </w:tc>
      </w:tr>
    </w:tbl>
    <w:p>
      <w:pPr>
        <w:spacing w:after="80" w:line="240" w:lineRule="auto"/>
      </w:pPr>
    </w:p>
    <w:p>
      <w:pPr>
        <w:pStyle w:val="Heading2"/>
      </w:pPr>
      <w:r>
        <w:rPr>
          <w:rFonts w:ascii="Times New Roman" w:hAnsi="Times New Roman" w:cs="Times New Roman" w:eastAsia="Times New Roman"/>
          <w:b/>
          <w:sz w:val="28"/>
        </w:rPr>
        <w:t xml:space="preserve">5.9  CONTROLLED SYNTHETIC BENCHMARK AND ABLATION</w:t>
      </w:r>
    </w:p>
    <w:p>
      <w:pPr>
        <w:pStyle w:val="BodyJ"/>
      </w:pPr>
      <w:r>
        <w:rPr>
          <w:rFonts w:ascii="Times New Roman" w:hAnsi="Times New Roman" w:cs="Times New Roman" w:eastAsia="Times New Roman"/>
        </w:rPr>
        <w:t xml:space="preserve">This section reports Study A (synthetic data; Section 3.9.1). Table 5.9 and Figure 5.7 compare the twelve configurations at the preset difficulty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MRI</w:t>
      </w:r>
      <w:r>
        <w:rPr>
          <w:rFonts w:ascii="Times New Roman" w:hAnsi="Times New Roman" w:cs="Times New Roman" w:eastAsia="Times New Roman"/>
        </w:rPr>
        <w:t xml:space="preserve"> = 1.0,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 0.3; 120 test samples; chance accuracy 33.3%). The numbers are test performance of the fused head, mean ± standard deviation over seeds (4 to 7 seeds per configuration, as the runs finished); the last column is the mean paired difference in accuracy to the full CAFN, in percentage points. They are results of a controlled synthetic benchmark and not clinical performance.</w:t>
      </w:r>
      <w:r>
        <w:rPr>
          <w:rFonts w:ascii="Times New Roman" w:hAnsi="Times New Roman" w:cs="Times New Roman" w:eastAsia="Times New Roman"/>
        </w:rPr>
        <w:t xml:space="preserve"> Study A uses the current generator of Section 3.5.4 (VEP latency 100 ± 3, 104 ± 4 and 138 ± 6 ms and amplitude 6.0, 2.5 and 4.0 for the three classes, with random lesion position and size), not the original generator of Sections 5.2 and 5.3.</w:t>
      </w:r>
    </w:p>
    <w:p>
      <w:pPr>
        <w:pStyle w:val="Caption"/>
        <w:keepNext/>
        <w:spacing w:before="160" w:after="80"/>
      </w:pPr>
      <w:bookmarkStart w:id="1048" w:name="_Ref_Table_5_9"/>
      <w:r>
        <w:rPr>
          <w:rFonts w:ascii="Times New Roman" w:hAnsi="Times New Roman" w:cs="Times New Roman" w:eastAsia="Times New Roman"/>
          <w:b/>
          <w:sz w:val="22"/>
        </w:rPr>
        <w:t xml:space="preserve">Table 5.9: </w:t>
      </w:r>
      <w:r>
        <w:rPr>
          <w:rFonts w:ascii="Times New Roman" w:hAnsi="Times New Roman" w:cs="Times New Roman" w:eastAsia="Times New Roman"/>
          <w:sz w:val="22"/>
        </w:rPr>
        <w:t xml:space="preserve">Study A (synthetic, three classes, </w:t>
      </w:r>
      <w:r>
        <w:rPr>
          <w:rFonts w:ascii="Times New Roman" w:hAnsi="Times New Roman" w:cs="Times New Roman" w:eastAsia="Times New Roman"/>
          <w:i/>
          <w:sz w:val="22"/>
        </w:rPr>
        <w:t xml:space="preserve">μ</w:t>
      </w:r>
      <w:r>
        <w:rPr>
          <w:rFonts w:ascii="Times New Roman" w:hAnsi="Times New Roman" w:cs="Times New Roman" w:eastAsia="Times New Roman"/>
          <w:sz w:val="22"/>
          <w:vertAlign w:val="subscript"/>
        </w:rPr>
        <w:t xml:space="preserve">MRI</w:t>
      </w:r>
      <w:r>
        <w:rPr>
          <w:rFonts w:ascii="Times New Roman" w:hAnsi="Times New Roman" w:cs="Times New Roman" w:eastAsia="Times New Roman"/>
          <w:sz w:val="22"/>
        </w:rPr>
        <w:t xml:space="preserve"> = 1.0, </w:t>
      </w:r>
      <w:r>
        <w:rPr>
          <w:rFonts w:ascii="Times New Roman" w:hAnsi="Times New Roman" w:cs="Times New Roman" w:eastAsia="Times New Roman"/>
          <w:i/>
          <w:sz w:val="22"/>
        </w:rPr>
        <w:t xml:space="preserve">μ</w:t>
      </w:r>
      <w:r>
        <w:rPr>
          <w:rFonts w:ascii="Times New Roman" w:hAnsi="Times New Roman" w:cs="Times New Roman" w:eastAsia="Times New Roman"/>
          <w:sz w:val="22"/>
          <w:vertAlign w:val="subscript"/>
        </w:rPr>
        <w:t xml:space="preserve">VEP</w:t>
      </w:r>
      <w:r>
        <w:rPr>
          <w:rFonts w:ascii="Times New Roman" w:hAnsi="Times New Roman" w:cs="Times New Roman" w:eastAsia="Times New Roman"/>
          <w:sz w:val="22"/>
        </w:rPr>
        <w:t xml:space="preserve"> = 0.3): test performance of the fused head, mean ± SD over seeds.</w:t>
      </w:r>
      <w:bookmarkEnd w:id="1048"/>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200"/>
        <w:gridCol w:w="800"/>
        <w:gridCol w:w="1100"/>
        <w:gridCol w:w="1400"/>
        <w:gridCol w:w="1400"/>
        <w:gridCol w:w="1406"/>
      </w:tblGrid>
      <w:tr>
        <w:trPr>
          <w:cantSplit/>
          <w:tblHeader/>
        </w:trPr>
        <w:tc>
          <w:tcPr>
            <w:tcW w:type="dxa" w:w="2200"/>
            <w:shd w:val="clear" w:color="auto" w:fill="D9D9D9"/>
          </w:tcPr>
          <w:p>
            <w:pPr>
              <w:pStyle w:val="TableText"/>
              <w:keepNext/>
              <w:jc w:val="left"/>
            </w:pPr>
            <w:r>
              <w:rPr>
                <w:rFonts w:ascii="Times New Roman" w:hAnsi="Times New Roman" w:cs="Times New Roman" w:eastAsia="Times New Roman"/>
                <w:b/>
                <w:sz w:val="20"/>
              </w:rPr>
              <w:t xml:space="preserve">Configuration</w:t>
            </w:r>
          </w:p>
        </w:tc>
        <w:tc>
          <w:tcPr>
            <w:tcW w:type="dxa" w:w="800"/>
            <w:shd w:val="clear" w:color="auto" w:fill="D9D9D9"/>
          </w:tcPr>
          <w:p>
            <w:pPr>
              <w:pStyle w:val="TableText"/>
              <w:keepNext/>
              <w:jc w:val="left"/>
            </w:pPr>
            <w:r>
              <w:rPr>
                <w:rFonts w:ascii="Times New Roman" w:hAnsi="Times New Roman" w:cs="Times New Roman" w:eastAsia="Times New Roman"/>
                <w:b/>
                <w:sz w:val="20"/>
              </w:rPr>
              <w:t xml:space="preserve">Seeds</w:t>
            </w:r>
          </w:p>
        </w:tc>
        <w:tc>
          <w:tcPr>
            <w:tcW w:type="dxa" w:w="1100"/>
            <w:shd w:val="clear" w:color="auto" w:fill="D9D9D9"/>
          </w:tcPr>
          <w:p>
            <w:pPr>
              <w:pStyle w:val="TableText"/>
              <w:keepNext/>
              <w:jc w:val="left"/>
            </w:pPr>
            <w:r>
              <w:rPr>
                <w:rFonts w:ascii="Times New Roman" w:hAnsi="Times New Roman" w:cs="Times New Roman" w:eastAsia="Times New Roman"/>
                <w:b/>
                <w:sz w:val="20"/>
              </w:rPr>
              <w:t xml:space="preserve">Params (M)</w:t>
            </w:r>
          </w:p>
        </w:tc>
        <w:tc>
          <w:tcPr>
            <w:tcW w:type="dxa" w:w="1400"/>
            <w:shd w:val="clear" w:color="auto" w:fill="D9D9D9"/>
          </w:tcPr>
          <w:p>
            <w:pPr>
              <w:pStyle w:val="TableText"/>
              <w:keepNext/>
              <w:jc w:val="left"/>
            </w:pPr>
            <w:r>
              <w:rPr>
                <w:rFonts w:ascii="Times New Roman" w:hAnsi="Times New Roman" w:cs="Times New Roman" w:eastAsia="Times New Roman"/>
                <w:b/>
                <w:sz w:val="20"/>
              </w:rPr>
              <w:t xml:space="preserve">Accuracy (%)</w:t>
            </w:r>
          </w:p>
        </w:tc>
        <w:tc>
          <w:tcPr>
            <w:tcW w:type="dxa" w:w="1400"/>
            <w:shd w:val="clear" w:color="auto" w:fill="D9D9D9"/>
          </w:tcPr>
          <w:p>
            <w:pPr>
              <w:pStyle w:val="TableText"/>
              <w:keepNext/>
              <w:jc w:val="left"/>
            </w:pPr>
            <w:r>
              <w:rPr>
                <w:rFonts w:ascii="Times New Roman" w:hAnsi="Times New Roman" w:cs="Times New Roman" w:eastAsia="Times New Roman"/>
                <w:b/>
                <w:sz w:val="20"/>
              </w:rPr>
              <w:t xml:space="preserve">Macro-F1 (%)</w:t>
            </w:r>
          </w:p>
        </w:tc>
        <w:tc>
          <w:tcPr>
            <w:tcW w:type="dxa" w:w="1406"/>
            <w:shd w:val="clear" w:color="auto" w:fill="D9D9D9"/>
          </w:tcPr>
          <w:p>
            <w:pPr>
              <w:pStyle w:val="TableText"/>
              <w:keepNext/>
              <w:jc w:val="left"/>
            </w:pPr>
            <w:r>
              <w:rPr>
                <w:rFonts w:ascii="Times New Roman" w:hAnsi="Times New Roman" w:cs="Times New Roman" w:eastAsia="Times New Roman"/>
                <w:b/>
                <w:sz w:val="20"/>
              </w:rPr>
              <w:t xml:space="preserve">Δ accuracy vs full CAFN (points)</w:t>
            </w:r>
          </w:p>
        </w:tc>
      </w:tr>
      <w:tr>
        <w:trPr>
          <w:cantSplit/>
        </w:trPr>
        <w:tc>
          <w:tcPr>
            <w:tcW w:type="dxa" w:w="2200"/>
          </w:tcPr>
          <w:p>
            <w:pPr>
              <w:pStyle w:val="TableText"/>
              <w:keepNext/>
              <w:jc w:val="left"/>
            </w:pPr>
            <w:r>
              <w:rPr>
                <w:rFonts w:ascii="Times New Roman" w:hAnsi="Times New Roman" w:cs="Times New Roman" w:eastAsia="Times New Roman"/>
                <w:sz w:val="20"/>
              </w:rPr>
              <w:t xml:space="preserve">CAFN (full)</w:t>
            </w:r>
          </w:p>
        </w:tc>
        <w:tc>
          <w:tcPr>
            <w:tcW w:type="dxa" w:w="800"/>
          </w:tcPr>
          <w:p>
            <w:pPr>
              <w:pStyle w:val="TableText"/>
              <w:keepNext/>
              <w:jc w:val="left"/>
            </w:pPr>
            <w:r>
              <w:rPr>
                <w:rFonts w:ascii="Times New Roman" w:hAnsi="Times New Roman" w:cs="Times New Roman" w:eastAsia="Times New Roman"/>
                <w:sz w:val="20"/>
              </w:rPr>
              <w:t xml:space="preserve">7</w:t>
            </w:r>
          </w:p>
        </w:tc>
        <w:tc>
          <w:tcPr>
            <w:tcW w:type="dxa" w:w="1100"/>
          </w:tcPr>
          <w:p>
            <w:pPr>
              <w:pStyle w:val="TableText"/>
              <w:keepNext/>
              <w:jc w:val="left"/>
            </w:pPr>
            <w:r>
              <w:rPr>
                <w:rFonts w:ascii="Times New Roman" w:hAnsi="Times New Roman" w:cs="Times New Roman" w:eastAsia="Times New Roman"/>
                <w:sz w:val="20"/>
              </w:rPr>
              <w:t xml:space="preserve">1.96</w:t>
            </w:r>
          </w:p>
        </w:tc>
        <w:tc>
          <w:tcPr>
            <w:tcW w:type="dxa" w:w="1400"/>
          </w:tcPr>
          <w:p>
            <w:pPr>
              <w:pStyle w:val="TableText"/>
              <w:keepNext/>
              <w:jc w:val="left"/>
            </w:pPr>
            <w:r>
              <w:rPr>
                <w:rFonts w:ascii="Times New Roman" w:hAnsi="Times New Roman" w:cs="Times New Roman" w:eastAsia="Times New Roman"/>
                <w:sz w:val="20"/>
              </w:rPr>
              <w:t xml:space="preserve">78.1 ± 2.3</w:t>
            </w:r>
          </w:p>
        </w:tc>
        <w:tc>
          <w:tcPr>
            <w:tcW w:type="dxa" w:w="1400"/>
          </w:tcPr>
          <w:p>
            <w:pPr>
              <w:pStyle w:val="TableText"/>
              <w:keepNext/>
              <w:jc w:val="left"/>
            </w:pPr>
            <w:r>
              <w:rPr>
                <w:rFonts w:ascii="Times New Roman" w:hAnsi="Times New Roman" w:cs="Times New Roman" w:eastAsia="Times New Roman"/>
                <w:sz w:val="20"/>
              </w:rPr>
              <w:t xml:space="preserve">78.0 ± 2.4</w:t>
            </w:r>
          </w:p>
        </w:tc>
        <w:tc>
          <w:tcPr>
            <w:tcW w:type="dxa" w:w="1406"/>
          </w:tcPr>
          <w:p>
            <w:pPr>
              <w:pStyle w:val="TableText"/>
              <w:keepNext/>
              <w:jc w:val="left"/>
            </w:pPr>
            <w:r>
              <w:rPr>
                <w:rFonts w:ascii="Times New Roman" w:hAnsi="Times New Roman" w:cs="Times New Roman" w:eastAsia="Times New Roman"/>
                <w:sz w:val="20"/>
              </w:rPr>
              <w:t xml:space="preserve">—</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bidirectional</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1.82</w:t>
            </w:r>
          </w:p>
        </w:tc>
        <w:tc>
          <w:tcPr>
            <w:tcW w:type="dxa" w:w="1400"/>
          </w:tcPr>
          <w:p>
            <w:pPr>
              <w:pStyle w:val="TableText"/>
              <w:keepNext/>
              <w:jc w:val="left"/>
            </w:pPr>
            <w:r>
              <w:rPr>
                <w:rFonts w:ascii="Times New Roman" w:hAnsi="Times New Roman" w:cs="Times New Roman" w:eastAsia="Times New Roman"/>
                <w:sz w:val="20"/>
              </w:rPr>
              <w:t xml:space="preserve">77.0 ± 5.5</w:t>
            </w:r>
          </w:p>
        </w:tc>
        <w:tc>
          <w:tcPr>
            <w:tcW w:type="dxa" w:w="1400"/>
          </w:tcPr>
          <w:p>
            <w:pPr>
              <w:pStyle w:val="TableText"/>
              <w:keepNext/>
              <w:jc w:val="left"/>
            </w:pPr>
            <w:r>
              <w:rPr>
                <w:rFonts w:ascii="Times New Roman" w:hAnsi="Times New Roman" w:cs="Times New Roman" w:eastAsia="Times New Roman"/>
                <w:sz w:val="20"/>
              </w:rPr>
              <w:t xml:space="preserve">76.7 ± 5.1</w:t>
            </w:r>
          </w:p>
        </w:tc>
        <w:tc>
          <w:tcPr>
            <w:tcW w:type="dxa" w:w="1406"/>
          </w:tcPr>
          <w:p>
            <w:pPr>
              <w:pStyle w:val="TableText"/>
              <w:keepNext/>
              <w:jc w:val="left"/>
            </w:pPr>
            <w:r>
              <w:rPr>
                <w:rFonts w:ascii="Times New Roman" w:hAnsi="Times New Roman" w:cs="Times New Roman" w:eastAsia="Times New Roman"/>
                <w:sz w:val="20"/>
              </w:rPr>
              <w:t xml:space="preserve">−1.7</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positional enc.</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1.95</w:t>
            </w:r>
          </w:p>
        </w:tc>
        <w:tc>
          <w:tcPr>
            <w:tcW w:type="dxa" w:w="1400"/>
          </w:tcPr>
          <w:p>
            <w:pPr>
              <w:pStyle w:val="TableText"/>
              <w:keepNext/>
              <w:jc w:val="left"/>
            </w:pPr>
            <w:r>
              <w:rPr>
                <w:rFonts w:ascii="Times New Roman" w:hAnsi="Times New Roman" w:cs="Times New Roman" w:eastAsia="Times New Roman"/>
                <w:sz w:val="20"/>
              </w:rPr>
              <w:t xml:space="preserve">78.7 ± 3.9</w:t>
            </w:r>
          </w:p>
        </w:tc>
        <w:tc>
          <w:tcPr>
            <w:tcW w:type="dxa" w:w="1400"/>
          </w:tcPr>
          <w:p>
            <w:pPr>
              <w:pStyle w:val="TableText"/>
              <w:keepNext/>
              <w:jc w:val="left"/>
            </w:pPr>
            <w:r>
              <w:rPr>
                <w:rFonts w:ascii="Times New Roman" w:hAnsi="Times New Roman" w:cs="Times New Roman" w:eastAsia="Times New Roman"/>
                <w:sz w:val="20"/>
              </w:rPr>
              <w:t xml:space="preserve">78.5 ± 3.9</w:t>
            </w:r>
          </w:p>
        </w:tc>
        <w:tc>
          <w:tcPr>
            <w:tcW w:type="dxa" w:w="1406"/>
          </w:tcPr>
          <w:p>
            <w:pPr>
              <w:pStyle w:val="TableText"/>
              <w:keepNext/>
              <w:jc w:val="left"/>
            </w:pPr>
            <w:r>
              <w:rPr>
                <w:rFonts w:ascii="Times New Roman" w:hAnsi="Times New Roman" w:cs="Times New Roman" w:eastAsia="Times New Roman"/>
                <w:sz w:val="20"/>
              </w:rPr>
              <w:t xml:space="preserve">−0.0</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attention pooling</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1.96</w:t>
            </w:r>
          </w:p>
        </w:tc>
        <w:tc>
          <w:tcPr>
            <w:tcW w:type="dxa" w:w="1400"/>
          </w:tcPr>
          <w:p>
            <w:pPr>
              <w:pStyle w:val="TableText"/>
              <w:keepNext/>
              <w:jc w:val="left"/>
            </w:pPr>
            <w:r>
              <w:rPr>
                <w:rFonts w:ascii="Times New Roman" w:hAnsi="Times New Roman" w:cs="Times New Roman" w:eastAsia="Times New Roman"/>
                <w:sz w:val="20"/>
              </w:rPr>
              <w:t xml:space="preserve">77.7 ± 2.1</w:t>
            </w:r>
          </w:p>
        </w:tc>
        <w:tc>
          <w:tcPr>
            <w:tcW w:type="dxa" w:w="1400"/>
          </w:tcPr>
          <w:p>
            <w:pPr>
              <w:pStyle w:val="TableText"/>
              <w:keepNext/>
              <w:jc w:val="left"/>
            </w:pPr>
            <w:r>
              <w:rPr>
                <w:rFonts w:ascii="Times New Roman" w:hAnsi="Times New Roman" w:cs="Times New Roman" w:eastAsia="Times New Roman"/>
                <w:sz w:val="20"/>
              </w:rPr>
              <w:t xml:space="preserve">77.2 ± 2.2</w:t>
            </w:r>
          </w:p>
        </w:tc>
        <w:tc>
          <w:tcPr>
            <w:tcW w:type="dxa" w:w="1406"/>
          </w:tcPr>
          <w:p>
            <w:pPr>
              <w:pStyle w:val="TableText"/>
              <w:keepNext/>
              <w:jc w:val="left"/>
            </w:pPr>
            <w:r>
              <w:rPr>
                <w:rFonts w:ascii="Times New Roman" w:hAnsi="Times New Roman" w:cs="Times New Roman" w:eastAsia="Times New Roman"/>
                <w:sz w:val="20"/>
              </w:rPr>
              <w:t xml:space="preserve">−1.0</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SE blocks</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1.94</w:t>
            </w:r>
          </w:p>
        </w:tc>
        <w:tc>
          <w:tcPr>
            <w:tcW w:type="dxa" w:w="1400"/>
          </w:tcPr>
          <w:p>
            <w:pPr>
              <w:pStyle w:val="TableText"/>
              <w:keepNext/>
              <w:jc w:val="left"/>
            </w:pPr>
            <w:r>
              <w:rPr>
                <w:rFonts w:ascii="Times New Roman" w:hAnsi="Times New Roman" w:cs="Times New Roman" w:eastAsia="Times New Roman"/>
                <w:sz w:val="20"/>
              </w:rPr>
              <w:t xml:space="preserve">77.5 ± 5.9</w:t>
            </w:r>
          </w:p>
        </w:tc>
        <w:tc>
          <w:tcPr>
            <w:tcW w:type="dxa" w:w="1400"/>
          </w:tcPr>
          <w:p>
            <w:pPr>
              <w:pStyle w:val="TableText"/>
              <w:keepNext/>
              <w:jc w:val="left"/>
            </w:pPr>
            <w:r>
              <w:rPr>
                <w:rFonts w:ascii="Times New Roman" w:hAnsi="Times New Roman" w:cs="Times New Roman" w:eastAsia="Times New Roman"/>
                <w:sz w:val="20"/>
              </w:rPr>
              <w:t xml:space="preserve">76.8 ± 6.8</w:t>
            </w:r>
          </w:p>
        </w:tc>
        <w:tc>
          <w:tcPr>
            <w:tcW w:type="dxa" w:w="1406"/>
          </w:tcPr>
          <w:p>
            <w:pPr>
              <w:pStyle w:val="TableText"/>
              <w:keepNext/>
              <w:jc w:val="left"/>
            </w:pPr>
            <w:r>
              <w:rPr>
                <w:rFonts w:ascii="Times New Roman" w:hAnsi="Times New Roman" w:cs="Times New Roman" w:eastAsia="Times New Roman"/>
                <w:sz w:val="20"/>
              </w:rPr>
              <w:t xml:space="preserve">−1.2</w:t>
            </w:r>
          </w:p>
        </w:tc>
      </w:tr>
      <w:tr>
        <w:trPr>
          <w:cantSplit/>
        </w:trPr>
        <w:tc>
          <w:tcPr>
            <w:tcW w:type="dxa" w:w="2200"/>
          </w:tcPr>
          <w:p>
            <w:pPr>
              <w:pStyle w:val="TableText"/>
              <w:keepNext/>
              <w:jc w:val="left"/>
            </w:pPr>
            <w:r>
              <w:rPr>
                <w:rFonts w:ascii="Times New Roman" w:hAnsi="Times New Roman" w:cs="Times New Roman" w:eastAsia="Times New Roman"/>
                <w:sz w:val="20"/>
              </w:rPr>
              <w:t xml:space="preserve">w/o auxiliary loss</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1.96</w:t>
            </w:r>
          </w:p>
        </w:tc>
        <w:tc>
          <w:tcPr>
            <w:tcW w:type="dxa" w:w="1400"/>
          </w:tcPr>
          <w:p>
            <w:pPr>
              <w:pStyle w:val="TableText"/>
              <w:keepNext/>
              <w:jc w:val="left"/>
            </w:pPr>
            <w:r>
              <w:rPr>
                <w:rFonts w:ascii="Times New Roman" w:hAnsi="Times New Roman" w:cs="Times New Roman" w:eastAsia="Times New Roman"/>
                <w:sz w:val="20"/>
              </w:rPr>
              <w:t xml:space="preserve">77.3 ± 5.7</w:t>
            </w:r>
          </w:p>
        </w:tc>
        <w:tc>
          <w:tcPr>
            <w:tcW w:type="dxa" w:w="1400"/>
          </w:tcPr>
          <w:p>
            <w:pPr>
              <w:pStyle w:val="TableText"/>
              <w:keepNext/>
              <w:jc w:val="left"/>
            </w:pPr>
            <w:r>
              <w:rPr>
                <w:rFonts w:ascii="Times New Roman" w:hAnsi="Times New Roman" w:cs="Times New Roman" w:eastAsia="Times New Roman"/>
                <w:sz w:val="20"/>
              </w:rPr>
              <w:t xml:space="preserve">77.2 ± 5.8</w:t>
            </w:r>
          </w:p>
        </w:tc>
        <w:tc>
          <w:tcPr>
            <w:tcW w:type="dxa" w:w="1406"/>
          </w:tcPr>
          <w:p>
            <w:pPr>
              <w:pStyle w:val="TableText"/>
              <w:keepNext/>
              <w:jc w:val="left"/>
            </w:pPr>
            <w:r>
              <w:rPr>
                <w:rFonts w:ascii="Times New Roman" w:hAnsi="Times New Roman" w:cs="Times New Roman" w:eastAsia="Times New Roman"/>
                <w:sz w:val="20"/>
              </w:rPr>
              <w:t xml:space="preserve">−1.3</w:t>
            </w:r>
          </w:p>
        </w:tc>
      </w:tr>
      <w:tr>
        <w:trPr>
          <w:cantSplit/>
        </w:trPr>
        <w:tc>
          <w:tcPr>
            <w:tcW w:type="dxa" w:w="2200"/>
          </w:tcPr>
          <w:p>
            <w:pPr>
              <w:pStyle w:val="TableText"/>
              <w:keepNext/>
              <w:jc w:val="left"/>
            </w:pPr>
            <w:r>
              <w:rPr>
                <w:rFonts w:ascii="Times New Roman" w:hAnsi="Times New Roman" w:cs="Times New Roman" w:eastAsia="Times New Roman"/>
                <w:sz w:val="20"/>
              </w:rPr>
              <w:t xml:space="preserve">2 fusion blocks</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2.22</w:t>
            </w:r>
          </w:p>
        </w:tc>
        <w:tc>
          <w:tcPr>
            <w:tcW w:type="dxa" w:w="1400"/>
          </w:tcPr>
          <w:p>
            <w:pPr>
              <w:pStyle w:val="TableText"/>
              <w:keepNext/>
              <w:jc w:val="left"/>
            </w:pPr>
            <w:r>
              <w:rPr>
                <w:rFonts w:ascii="Times New Roman" w:hAnsi="Times New Roman" w:cs="Times New Roman" w:eastAsia="Times New Roman"/>
                <w:sz w:val="20"/>
              </w:rPr>
              <w:t xml:space="preserve">77.0 ± 1.6</w:t>
            </w:r>
          </w:p>
        </w:tc>
        <w:tc>
          <w:tcPr>
            <w:tcW w:type="dxa" w:w="1400"/>
          </w:tcPr>
          <w:p>
            <w:pPr>
              <w:pStyle w:val="TableText"/>
              <w:keepNext/>
              <w:jc w:val="left"/>
            </w:pPr>
            <w:r>
              <w:rPr>
                <w:rFonts w:ascii="Times New Roman" w:hAnsi="Times New Roman" w:cs="Times New Roman" w:eastAsia="Times New Roman"/>
                <w:sz w:val="20"/>
              </w:rPr>
              <w:t xml:space="preserve">76.5 ± 2.1</w:t>
            </w:r>
          </w:p>
        </w:tc>
        <w:tc>
          <w:tcPr>
            <w:tcW w:type="dxa" w:w="1406"/>
          </w:tcPr>
          <w:p>
            <w:pPr>
              <w:pStyle w:val="TableText"/>
              <w:keepNext/>
              <w:jc w:val="left"/>
            </w:pPr>
            <w:r>
              <w:rPr>
                <w:rFonts w:ascii="Times New Roman" w:hAnsi="Times New Roman" w:cs="Times New Roman" w:eastAsia="Times New Roman"/>
                <w:sz w:val="20"/>
              </w:rPr>
              <w:t xml:space="preserve">−1.7</w:t>
            </w:r>
          </w:p>
        </w:tc>
      </w:tr>
      <w:tr>
        <w:trPr>
          <w:cantSplit/>
        </w:trPr>
        <w:tc>
          <w:tcPr>
            <w:tcW w:type="dxa" w:w="2200"/>
          </w:tcPr>
          <w:p>
            <w:pPr>
              <w:pStyle w:val="TableText"/>
              <w:keepNext/>
              <w:jc w:val="left"/>
            </w:pPr>
            <w:r>
              <w:rPr>
                <w:rFonts w:ascii="Times New Roman" w:hAnsi="Times New Roman" w:cs="Times New Roman" w:eastAsia="Times New Roman"/>
                <w:sz w:val="20"/>
              </w:rPr>
              <w:t xml:space="preserve">v1-style (all off)</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1.80</w:t>
            </w:r>
          </w:p>
        </w:tc>
        <w:tc>
          <w:tcPr>
            <w:tcW w:type="dxa" w:w="1400"/>
          </w:tcPr>
          <w:p>
            <w:pPr>
              <w:pStyle w:val="TableText"/>
              <w:keepNext/>
              <w:jc w:val="left"/>
            </w:pPr>
            <w:r>
              <w:rPr>
                <w:rFonts w:ascii="Times New Roman" w:hAnsi="Times New Roman" w:cs="Times New Roman" w:eastAsia="Times New Roman"/>
                <w:sz w:val="20"/>
              </w:rPr>
              <w:t xml:space="preserve">77.2 ± 7.0</w:t>
            </w:r>
          </w:p>
        </w:tc>
        <w:tc>
          <w:tcPr>
            <w:tcW w:type="dxa" w:w="1400"/>
          </w:tcPr>
          <w:p>
            <w:pPr>
              <w:pStyle w:val="TableText"/>
              <w:keepNext/>
              <w:jc w:val="left"/>
            </w:pPr>
            <w:r>
              <w:rPr>
                <w:rFonts w:ascii="Times New Roman" w:hAnsi="Times New Roman" w:cs="Times New Roman" w:eastAsia="Times New Roman"/>
                <w:sz w:val="20"/>
              </w:rPr>
              <w:t xml:space="preserve">76.7 ± 7.1</w:t>
            </w:r>
          </w:p>
        </w:tc>
        <w:tc>
          <w:tcPr>
            <w:tcW w:type="dxa" w:w="1406"/>
          </w:tcPr>
          <w:p>
            <w:pPr>
              <w:pStyle w:val="TableText"/>
              <w:keepNext/>
              <w:jc w:val="left"/>
            </w:pPr>
            <w:r>
              <w:rPr>
                <w:rFonts w:ascii="Times New Roman" w:hAnsi="Times New Roman" w:cs="Times New Roman" w:eastAsia="Times New Roman"/>
                <w:sz w:val="20"/>
              </w:rPr>
              <w:t xml:space="preserve">−1.5</w:t>
            </w:r>
          </w:p>
        </w:tc>
      </w:tr>
      <w:tr>
        <w:trPr>
          <w:cantSplit/>
        </w:trPr>
        <w:tc>
          <w:tcPr>
            <w:tcW w:type="dxa" w:w="2200"/>
          </w:tcPr>
          <w:p>
            <w:pPr>
              <w:pStyle w:val="TableText"/>
              <w:keepNext/>
              <w:jc w:val="left"/>
            </w:pPr>
            <w:r>
              <w:rPr>
                <w:rFonts w:ascii="Times New Roman" w:hAnsi="Times New Roman" w:cs="Times New Roman" w:eastAsia="Times New Roman"/>
                <w:sz w:val="20"/>
              </w:rPr>
              <w:t xml:space="preserve">Concatenation</w:t>
            </w:r>
          </w:p>
        </w:tc>
        <w:tc>
          <w:tcPr>
            <w:tcW w:type="dxa" w:w="800"/>
          </w:tcPr>
          <w:p>
            <w:pPr>
              <w:pStyle w:val="TableText"/>
              <w:keepNext/>
              <w:jc w:val="left"/>
            </w:pPr>
            <w:r>
              <w:rPr>
                <w:rFonts w:ascii="Times New Roman" w:hAnsi="Times New Roman" w:cs="Times New Roman" w:eastAsia="Times New Roman"/>
                <w:sz w:val="20"/>
              </w:rPr>
              <w:t xml:space="preserve">6</w:t>
            </w:r>
          </w:p>
        </w:tc>
        <w:tc>
          <w:tcPr>
            <w:tcW w:type="dxa" w:w="1100"/>
          </w:tcPr>
          <w:p>
            <w:pPr>
              <w:pStyle w:val="TableText"/>
              <w:keepNext/>
              <w:jc w:val="left"/>
            </w:pPr>
            <w:r>
              <w:rPr>
                <w:rFonts w:ascii="Times New Roman" w:hAnsi="Times New Roman" w:cs="Times New Roman" w:eastAsia="Times New Roman"/>
                <w:sz w:val="20"/>
              </w:rPr>
              <w:t xml:space="preserve">1.72</w:t>
            </w:r>
          </w:p>
        </w:tc>
        <w:tc>
          <w:tcPr>
            <w:tcW w:type="dxa" w:w="1400"/>
          </w:tcPr>
          <w:p>
            <w:pPr>
              <w:pStyle w:val="TableText"/>
              <w:keepNext/>
              <w:jc w:val="left"/>
            </w:pPr>
            <w:r>
              <w:rPr>
                <w:rFonts w:ascii="Times New Roman" w:hAnsi="Times New Roman" w:cs="Times New Roman" w:eastAsia="Times New Roman"/>
                <w:sz w:val="20"/>
              </w:rPr>
              <w:t xml:space="preserve">77.5 ± 2.3</w:t>
            </w:r>
          </w:p>
        </w:tc>
        <w:tc>
          <w:tcPr>
            <w:tcW w:type="dxa" w:w="1400"/>
          </w:tcPr>
          <w:p>
            <w:pPr>
              <w:pStyle w:val="TableText"/>
              <w:keepNext/>
              <w:jc w:val="left"/>
            </w:pPr>
            <w:r>
              <w:rPr>
                <w:rFonts w:ascii="Times New Roman" w:hAnsi="Times New Roman" w:cs="Times New Roman" w:eastAsia="Times New Roman"/>
                <w:sz w:val="20"/>
              </w:rPr>
              <w:t xml:space="preserve">77.1 ± 2.4</w:t>
            </w:r>
          </w:p>
        </w:tc>
        <w:tc>
          <w:tcPr>
            <w:tcW w:type="dxa" w:w="1406"/>
          </w:tcPr>
          <w:p>
            <w:pPr>
              <w:pStyle w:val="TableText"/>
              <w:keepNext/>
              <w:jc w:val="left"/>
            </w:pPr>
            <w:r>
              <w:rPr>
                <w:rFonts w:ascii="Times New Roman" w:hAnsi="Times New Roman" w:cs="Times New Roman" w:eastAsia="Times New Roman"/>
                <w:sz w:val="20"/>
              </w:rPr>
              <w:t xml:space="preserve">−0.7</w:t>
            </w:r>
          </w:p>
        </w:tc>
      </w:tr>
      <w:tr>
        <w:trPr>
          <w:cantSplit/>
        </w:trPr>
        <w:tc>
          <w:tcPr>
            <w:tcW w:type="dxa" w:w="2200"/>
          </w:tcPr>
          <w:p>
            <w:pPr>
              <w:pStyle w:val="TableText"/>
              <w:keepNext/>
              <w:jc w:val="left"/>
            </w:pPr>
            <w:r>
              <w:rPr>
                <w:rFonts w:ascii="Times New Roman" w:hAnsi="Times New Roman" w:cs="Times New Roman" w:eastAsia="Times New Roman"/>
                <w:sz w:val="20"/>
              </w:rPr>
              <w:t xml:space="preserve">Element-wise sum</w:t>
            </w:r>
          </w:p>
        </w:tc>
        <w:tc>
          <w:tcPr>
            <w:tcW w:type="dxa" w:w="800"/>
          </w:tcPr>
          <w:p>
            <w:pPr>
              <w:pStyle w:val="TableText"/>
              <w:keepNext/>
              <w:jc w:val="left"/>
            </w:pPr>
            <w:r>
              <w:rPr>
                <w:rFonts w:ascii="Times New Roman" w:hAnsi="Times New Roman" w:cs="Times New Roman" w:eastAsia="Times New Roman"/>
                <w:sz w:val="20"/>
              </w:rPr>
              <w:t xml:space="preserve">6</w:t>
            </w:r>
          </w:p>
        </w:tc>
        <w:tc>
          <w:tcPr>
            <w:tcW w:type="dxa" w:w="1100"/>
          </w:tcPr>
          <w:p>
            <w:pPr>
              <w:pStyle w:val="TableText"/>
              <w:keepNext/>
              <w:jc w:val="left"/>
            </w:pPr>
            <w:r>
              <w:rPr>
                <w:rFonts w:ascii="Times New Roman" w:hAnsi="Times New Roman" w:cs="Times New Roman" w:eastAsia="Times New Roman"/>
                <w:sz w:val="20"/>
              </w:rPr>
              <w:t xml:space="preserve">1.69</w:t>
            </w:r>
          </w:p>
        </w:tc>
        <w:tc>
          <w:tcPr>
            <w:tcW w:type="dxa" w:w="1400"/>
          </w:tcPr>
          <w:p>
            <w:pPr>
              <w:pStyle w:val="TableText"/>
              <w:keepNext/>
              <w:jc w:val="left"/>
            </w:pPr>
            <w:r>
              <w:rPr>
                <w:rFonts w:ascii="Times New Roman" w:hAnsi="Times New Roman" w:cs="Times New Roman" w:eastAsia="Times New Roman"/>
                <w:sz w:val="20"/>
              </w:rPr>
              <w:t xml:space="preserve">79.6 ± 3.4</w:t>
            </w:r>
          </w:p>
        </w:tc>
        <w:tc>
          <w:tcPr>
            <w:tcW w:type="dxa" w:w="1400"/>
          </w:tcPr>
          <w:p>
            <w:pPr>
              <w:pStyle w:val="TableText"/>
              <w:keepNext/>
              <w:jc w:val="left"/>
            </w:pPr>
            <w:r>
              <w:rPr>
                <w:rFonts w:ascii="Times New Roman" w:hAnsi="Times New Roman" w:cs="Times New Roman" w:eastAsia="Times New Roman"/>
                <w:sz w:val="20"/>
              </w:rPr>
              <w:t xml:space="preserve">79.4 ± 3.3</w:t>
            </w:r>
          </w:p>
        </w:tc>
        <w:tc>
          <w:tcPr>
            <w:tcW w:type="dxa" w:w="1406"/>
          </w:tcPr>
          <w:p>
            <w:pPr>
              <w:pStyle w:val="TableText"/>
              <w:keepNext/>
              <w:jc w:val="left"/>
            </w:pPr>
            <w:r>
              <w:rPr>
                <w:rFonts w:ascii="Times New Roman" w:hAnsi="Times New Roman" w:cs="Times New Roman" w:eastAsia="Times New Roman"/>
                <w:sz w:val="20"/>
              </w:rPr>
              <w:t xml:space="preserve">+1.4</w:t>
            </w:r>
          </w:p>
        </w:tc>
      </w:tr>
      <w:tr>
        <w:trPr>
          <w:cantSplit/>
        </w:trPr>
        <w:tc>
          <w:tcPr>
            <w:tcW w:type="dxa" w:w="2200"/>
          </w:tcPr>
          <w:p>
            <w:pPr>
              <w:pStyle w:val="TableText"/>
              <w:keepNext/>
              <w:jc w:val="left"/>
            </w:pPr>
            <w:r>
              <w:rPr>
                <w:rFonts w:ascii="Times New Roman" w:hAnsi="Times New Roman" w:cs="Times New Roman" w:eastAsia="Times New Roman"/>
                <w:sz w:val="20"/>
              </w:rPr>
              <w:t xml:space="preserve">MRI only</w:t>
            </w:r>
          </w:p>
        </w:tc>
        <w:tc>
          <w:tcPr>
            <w:tcW w:type="dxa" w:w="800"/>
          </w:tcPr>
          <w:p>
            <w:pPr>
              <w:pStyle w:val="TableText"/>
              <w:keepNext/>
              <w:jc w:val="left"/>
            </w:pPr>
            <w:r>
              <w:rPr>
                <w:rFonts w:ascii="Times New Roman" w:hAnsi="Times New Roman" w:cs="Times New Roman" w:eastAsia="Times New Roman"/>
                <w:sz w:val="20"/>
              </w:rPr>
              <w:t xml:space="preserve">5</w:t>
            </w:r>
          </w:p>
        </w:tc>
        <w:tc>
          <w:tcPr>
            <w:tcW w:type="dxa" w:w="1100"/>
          </w:tcPr>
          <w:p>
            <w:pPr>
              <w:pStyle w:val="TableText"/>
              <w:keepNext/>
              <w:jc w:val="left"/>
            </w:pPr>
            <w:r>
              <w:rPr>
                <w:rFonts w:ascii="Times New Roman" w:hAnsi="Times New Roman" w:cs="Times New Roman" w:eastAsia="Times New Roman"/>
                <w:sz w:val="20"/>
              </w:rPr>
              <w:t xml:space="preserve">1.69</w:t>
            </w:r>
          </w:p>
        </w:tc>
        <w:tc>
          <w:tcPr>
            <w:tcW w:type="dxa" w:w="1400"/>
          </w:tcPr>
          <w:p>
            <w:pPr>
              <w:pStyle w:val="TableText"/>
              <w:keepNext/>
              <w:jc w:val="left"/>
            </w:pPr>
            <w:r>
              <w:rPr>
                <w:rFonts w:ascii="Times New Roman" w:hAnsi="Times New Roman" w:cs="Times New Roman" w:eastAsia="Times New Roman"/>
                <w:sz w:val="20"/>
              </w:rPr>
              <w:t xml:space="preserve">68.0 ± 4.7</w:t>
            </w:r>
          </w:p>
        </w:tc>
        <w:tc>
          <w:tcPr>
            <w:tcW w:type="dxa" w:w="1400"/>
          </w:tcPr>
          <w:p>
            <w:pPr>
              <w:pStyle w:val="TableText"/>
              <w:keepNext/>
              <w:jc w:val="left"/>
            </w:pPr>
            <w:r>
              <w:rPr>
                <w:rFonts w:ascii="Times New Roman" w:hAnsi="Times New Roman" w:cs="Times New Roman" w:eastAsia="Times New Roman"/>
                <w:sz w:val="20"/>
              </w:rPr>
              <w:t xml:space="preserve">66.0 ± 5.9</w:t>
            </w:r>
          </w:p>
        </w:tc>
        <w:tc>
          <w:tcPr>
            <w:tcW w:type="dxa" w:w="1406"/>
          </w:tcPr>
          <w:p>
            <w:pPr>
              <w:pStyle w:val="TableText"/>
              <w:keepNext/>
              <w:jc w:val="left"/>
            </w:pPr>
            <w:r>
              <w:rPr>
                <w:rFonts w:ascii="Times New Roman" w:hAnsi="Times New Roman" w:cs="Times New Roman" w:eastAsia="Times New Roman"/>
                <w:sz w:val="20"/>
              </w:rPr>
              <w:t xml:space="preserve">−10.7</w:t>
            </w:r>
          </w:p>
        </w:tc>
      </w:tr>
      <w:tr>
        <w:trPr>
          <w:cantSplit/>
        </w:trPr>
        <w:tc>
          <w:tcPr>
            <w:tcW w:type="dxa" w:w="2200"/>
          </w:tcPr>
          <w:p>
            <w:pPr>
              <w:pStyle w:val="TableText"/>
              <w:jc w:val="left"/>
            </w:pPr>
            <w:r>
              <w:rPr>
                <w:rFonts w:ascii="Times New Roman" w:hAnsi="Times New Roman" w:cs="Times New Roman" w:eastAsia="Times New Roman"/>
                <w:sz w:val="20"/>
              </w:rPr>
              <w:t xml:space="preserve">VEP only</w:t>
            </w:r>
          </w:p>
        </w:tc>
        <w:tc>
          <w:tcPr>
            <w:tcW w:type="dxa" w:w="800"/>
          </w:tcPr>
          <w:p>
            <w:pPr>
              <w:pStyle w:val="TableText"/>
              <w:jc w:val="left"/>
            </w:pPr>
            <w:r>
              <w:rPr>
                <w:rFonts w:ascii="Times New Roman" w:hAnsi="Times New Roman" w:cs="Times New Roman" w:eastAsia="Times New Roman"/>
                <w:sz w:val="20"/>
              </w:rPr>
              <w:t xml:space="preserve">4</w:t>
            </w:r>
          </w:p>
        </w:tc>
        <w:tc>
          <w:tcPr>
            <w:tcW w:type="dxa" w:w="1100"/>
          </w:tcPr>
          <w:p>
            <w:pPr>
              <w:pStyle w:val="TableText"/>
              <w:jc w:val="left"/>
            </w:pPr>
            <w:r>
              <w:rPr>
                <w:rFonts w:ascii="Times New Roman" w:hAnsi="Times New Roman" w:cs="Times New Roman" w:eastAsia="Times New Roman"/>
                <w:sz w:val="20"/>
              </w:rPr>
              <w:t xml:space="preserve">1.69</w:t>
            </w:r>
          </w:p>
        </w:tc>
        <w:tc>
          <w:tcPr>
            <w:tcW w:type="dxa" w:w="1400"/>
          </w:tcPr>
          <w:p>
            <w:pPr>
              <w:pStyle w:val="TableText"/>
              <w:jc w:val="left"/>
            </w:pPr>
            <w:r>
              <w:rPr>
                <w:rFonts w:ascii="Times New Roman" w:hAnsi="Times New Roman" w:cs="Times New Roman" w:eastAsia="Times New Roman"/>
                <w:sz w:val="20"/>
              </w:rPr>
              <w:t xml:space="preserve">64.0 ± 4.3</w:t>
            </w:r>
          </w:p>
        </w:tc>
        <w:tc>
          <w:tcPr>
            <w:tcW w:type="dxa" w:w="1400"/>
          </w:tcPr>
          <w:p>
            <w:pPr>
              <w:pStyle w:val="TableText"/>
              <w:jc w:val="left"/>
            </w:pPr>
            <w:r>
              <w:rPr>
                <w:rFonts w:ascii="Times New Roman" w:hAnsi="Times New Roman" w:cs="Times New Roman" w:eastAsia="Times New Roman"/>
                <w:sz w:val="20"/>
              </w:rPr>
              <w:t xml:space="preserve">63.5 ± 4.4</w:t>
            </w:r>
          </w:p>
        </w:tc>
        <w:tc>
          <w:tcPr>
            <w:tcW w:type="dxa" w:w="1406"/>
          </w:tcPr>
          <w:p>
            <w:pPr>
              <w:pStyle w:val="TableText"/>
              <w:jc w:val="left"/>
            </w:pPr>
            <w:r>
              <w:rPr>
                <w:rFonts w:ascii="Times New Roman" w:hAnsi="Times New Roman" w:cs="Times New Roman" w:eastAsia="Times New Roman"/>
                <w:sz w:val="20"/>
              </w:rPr>
              <w:t xml:space="preserve">−14.6</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4900000" cy="2603125"/>
            <wp:docPr id="39" name="Picture 39"/>
            <wp:cNvGraphicFramePr>
              <a:graphicFrameLocks noChangeAspect="1"/>
            </wp:cNvGraphicFramePr>
            <a:graphic>
              <a:graphicData uri="http://schemas.openxmlformats.org/drawingml/2006/picture">
                <pic:pic>
                  <pic:nvPicPr>
                    <pic:cNvPr id="0" name="fig_ablation.png"/>
                    <pic:cNvPicPr/>
                  </pic:nvPicPr>
                  <pic:blipFill>
                    <a:blip r:embed="rId47"/>
                    <a:stretch>
                      <a:fillRect/>
                    </a:stretch>
                  </pic:blipFill>
                  <pic:spPr>
                    <a:xfrm>
                      <a:off x="0" y="0"/>
                      <a:ext cx="4900000" cy="2603125"/>
                    </a:xfrm>
                    <a:prstGeom prst="rect"/>
                  </pic:spPr>
                </pic:pic>
              </a:graphicData>
            </a:graphic>
          </wp:inline>
        </w:drawing>
      </w:r>
    </w:p>
    <w:p>
      <w:pPr>
        <w:pStyle w:val="Caption"/>
      </w:pPr>
      <w:bookmarkStart w:id="1049" w:name="_Ref_Figure_5_7"/>
      <w:r>
        <w:rPr>
          <w:rFonts w:ascii="Times New Roman" w:hAnsi="Times New Roman" w:cs="Times New Roman" w:eastAsia="Times New Roman"/>
          <w:b/>
          <w:sz w:val="22"/>
        </w:rPr>
        <w:t xml:space="preserve">Figure 5.7: </w:t>
      </w:r>
      <w:r>
        <w:rPr>
          <w:rFonts w:ascii="Times New Roman" w:hAnsi="Times New Roman" w:cs="Times New Roman" w:eastAsia="Times New Roman"/>
          <w:sz w:val="22"/>
        </w:rPr>
        <w:t xml:space="preserve">Study A (synthetic): test accuracy by configuration (bars: mean; whiskers: SD over seeds; dotted line: chance). Grey bars are the unimodal references.</w:t>
      </w:r>
      <w:bookmarkEnd w:id="1049"/>
    </w:p>
    <w:p>
      <w:pPr>
        <w:pStyle w:val="BodyJ"/>
      </w:pPr>
      <w:r>
        <w:rPr>
          <w:rFonts w:ascii="Times New Roman" w:hAnsi="Times New Roman" w:cs="Times New Roman" w:eastAsia="Times New Roman"/>
          <w:b/>
        </w:rPr>
        <w:t xml:space="preserve">Fusion helps, by a wide margin.</w:t>
      </w:r>
      <w:r>
        <w:rPr>
          <w:rFonts w:ascii="Times New Roman" w:hAnsi="Times New Roman" w:cs="Times New Roman" w:eastAsia="Times New Roman"/>
        </w:rPr>
        <w:t xml:space="preserve"> The two unimodal references reach only 68.0% (MRI only, 5 seeds) and 64.0% (VEP only, 4 seeds), whereas every fusion model reaches 77.5% to 79.6%. The full CAFN improves on the better unimodal model (MRI only) by 10.7 percentage points (paired over 5 seeds, SD 2.7, paired </w:t>
      </w:r>
      <w:r>
        <w:rPr>
          <w:rFonts w:ascii="Times New Roman" w:hAnsi="Times New Roman" w:cs="Times New Roman" w:eastAsia="Times New Roman"/>
          <w:i/>
        </w:rPr>
        <w:t xml:space="preserve">t</w:t>
      </w:r>
      <w:r>
        <w:rPr>
          <w:rFonts w:ascii="Times New Roman" w:hAnsi="Times New Roman" w:cs="Times New Roman" w:eastAsia="Times New Roman"/>
        </w:rPr>
        <w:t xml:space="preserve">-test </w:t>
      </w:r>
      <w:r>
        <w:rPr>
          <w:rFonts w:ascii="Times New Roman" w:hAnsi="Times New Roman" w:cs="Times New Roman" w:eastAsia="Times New Roman"/>
          <w:i/>
        </w:rPr>
        <w:t xml:space="preserve">p</w:t>
      </w:r>
      <w:r>
        <w:rPr>
          <w:rFonts w:ascii="Times New Roman" w:hAnsi="Times New Roman" w:cs="Times New Roman" w:eastAsia="Times New Roman"/>
        </w:rPr>
        <w:t xml:space="preserve"> &lt; 0.001). This confirms the premise of multimodal fusion in the setting in which the evidence in the two modalities is complementary.</w:t>
      </w:r>
    </w:p>
    <w:p>
      <w:pPr>
        <w:pStyle w:val="BodyJ"/>
      </w:pPr>
      <w:r>
        <w:rPr>
          <w:rFonts w:ascii="Times New Roman" w:hAnsi="Times New Roman" w:cs="Times New Roman" w:eastAsia="Times New Roman"/>
          <w:b/>
        </w:rPr>
        <w:t xml:space="preserve">The specific fusion mechanism does not matter at this scale.</w:t>
      </w:r>
      <w:r>
        <w:rPr>
          <w:rFonts w:ascii="Times New Roman" w:hAnsi="Times New Roman" w:cs="Times New Roman" w:eastAsia="Times New Roman"/>
        </w:rPr>
        <w:t xml:space="preserve"> CAFN (78.1 ± 2.3%, 7 seeds) is statistically indistinguishable from concatenation (77.5 ± 2.3%; paired difference +0.7, </w:t>
      </w:r>
      <w:r>
        <w:rPr>
          <w:rFonts w:ascii="Times New Roman" w:hAnsi="Times New Roman" w:cs="Times New Roman" w:eastAsia="Times New Roman"/>
          <w:i/>
        </w:rPr>
        <w:t xml:space="preserve">p</w:t>
      </w:r>
      <w:r>
        <w:rPr>
          <w:rFonts w:ascii="Times New Roman" w:hAnsi="Times New Roman" w:cs="Times New Roman" w:eastAsia="Times New Roman"/>
        </w:rPr>
        <w:t xml:space="preserve"> = 0.63) and from element-wise sum (79.6 ± 3.4%; −1.4, </w:t>
      </w:r>
      <w:r>
        <w:rPr>
          <w:rFonts w:ascii="Times New Roman" w:hAnsi="Times New Roman" w:cs="Times New Roman" w:eastAsia="Times New Roman"/>
          <w:i/>
        </w:rPr>
        <w:t xml:space="preserve">p</w:t>
      </w:r>
      <w:r>
        <w:rPr>
          <w:rFonts w:ascii="Times New Roman" w:hAnsi="Times New Roman" w:cs="Times New Roman" w:eastAsia="Times New Roman"/>
        </w:rPr>
        <w:t xml:space="preserve"> = 0.47). Removing any single design choice (bidirectionality, positional embeddings, attention pooling, SE blocks, the auxiliary loss) or adding a second fusion block changes the mean accuracy by between −1.7 and 0.0 points, which is smaller than the seed-to-seed standard deviation (about 4.3 points); none of these seven differences is nominally significant (</w:t>
      </w:r>
      <w:r>
        <w:rPr>
          <w:rFonts w:ascii="Times New Roman" w:hAnsi="Times New Roman" w:cs="Times New Roman" w:eastAsia="Times New Roman"/>
          <w:i/>
        </w:rPr>
        <w:t xml:space="preserve">p</w:t>
      </w:r>
      <w:r>
        <w:rPr>
          <w:rFonts w:ascii="Times New Roman" w:hAnsi="Times New Roman" w:cs="Times New Roman" w:eastAsia="Times New Roman"/>
        </w:rPr>
        <w:t xml:space="preserve"> &lt; 0.05, uncorrected). The v1-style configuration with everything switched off scores 77.2% (−1.5 points) but with a much larger spread (SD 7.0 against 2.3 points), in line with the training instability observed earlier for the original recipe. No claim is therefore made that gated bidirectional cross-attention improves accuracy over simpler fusion on this benchmark.</w:t>
      </w:r>
    </w:p>
    <w:p>
      <w:pPr>
        <w:pStyle w:val="Heading2"/>
      </w:pPr>
      <w:r>
        <w:rPr>
          <w:rFonts w:ascii="Times New Roman" w:hAnsi="Times New Roman" w:cs="Times New Roman" w:eastAsia="Times New Roman"/>
          <w:b/>
          <w:sz w:val="28"/>
        </w:rPr>
        <w:t xml:space="preserve">5.10  INFORMATIVENESS SWEEP</w:t>
      </w:r>
    </w:p>
    <w:p>
      <w:pPr>
        <w:pStyle w:val="BodyJ"/>
      </w:pPr>
      <w:r>
        <w:rPr>
          <w:rFonts w:ascii="Times New Roman" w:hAnsi="Times New Roman" w:cs="Times New Roman" w:eastAsia="Times New Roman"/>
        </w:rPr>
        <w:t xml:space="preserve">Study A also varied the informativeness of the VEP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with the MRI fixed at 1.0, for four methods with only 2 seeds per point (Table 5.10, Figure 5.8). With so few seeds the intervals are wide, and the results should be read as trends, not as precise estimates. All numbers are synthetic.</w:t>
      </w:r>
    </w:p>
    <w:p>
      <w:pPr>
        <w:pStyle w:val="Caption"/>
        <w:keepNext/>
        <w:spacing w:before="160" w:after="80"/>
      </w:pPr>
      <w:bookmarkStart w:id="1050" w:name="_Ref_Table_5_10"/>
      <w:r>
        <w:rPr>
          <w:rFonts w:ascii="Times New Roman" w:hAnsi="Times New Roman" w:cs="Times New Roman" w:eastAsia="Times New Roman"/>
          <w:b/>
          <w:sz w:val="22"/>
        </w:rPr>
        <w:t xml:space="preserve">Table 5.10: </w:t>
      </w:r>
      <w:r>
        <w:rPr>
          <w:rFonts w:ascii="Times New Roman" w:hAnsi="Times New Roman" w:cs="Times New Roman" w:eastAsia="Times New Roman"/>
          <w:sz w:val="22"/>
        </w:rPr>
        <w:t xml:space="preserve">Study A sweep (synthetic): test accuracy (%, mean ± SD over 2 seeds) versus VEP informativeness, MRI strength fixed at 1.0.</w:t>
      </w:r>
      <w:bookmarkEnd w:id="1050"/>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200"/>
        <w:gridCol w:w="1526"/>
        <w:gridCol w:w="1526"/>
        <w:gridCol w:w="1526"/>
        <w:gridCol w:w="1528"/>
      </w:tblGrid>
      <w:tr>
        <w:trPr>
          <w:cantSplit/>
          <w:tblHeader/>
        </w:trPr>
        <w:tc>
          <w:tcPr>
            <w:tcW w:type="dxa" w:w="2200"/>
            <w:shd w:val="clear" w:color="auto" w:fill="D9D9D9"/>
          </w:tcPr>
          <w:p>
            <w:pPr>
              <w:pStyle w:val="TableText"/>
              <w:keepNext/>
              <w:jc w:val="left"/>
            </w:pPr>
            <w:r>
              <w:rPr>
                <w:rFonts w:ascii="Times New Roman" w:hAnsi="Times New Roman" w:cs="Times New Roman" w:eastAsia="Times New Roman"/>
                <w:b/>
                <w:sz w:val="20"/>
              </w:rPr>
              <w:t xml:space="preserve">Method</w:t>
            </w:r>
          </w:p>
        </w:tc>
        <w:tc>
          <w:tcPr>
            <w:tcW w:type="dxa" w:w="1526"/>
            <w:shd w:val="clear" w:color="auto" w:fill="D9D9D9"/>
          </w:tcPr>
          <w:p>
            <w:pPr>
              <w:pStyle w:val="TableText"/>
              <w:keepNext/>
              <w:jc w:val="left"/>
            </w:pPr>
            <w:r>
              <w:rPr>
                <w:rFonts w:ascii="Times New Roman" w:hAnsi="Times New Roman" w:cs="Times New Roman" w:eastAsia="Times New Roman"/>
                <w:b/>
                <w:sz w:val="20"/>
              </w:rPr>
              <w:t xml:space="preserve">VEP 0.15</w:t>
            </w:r>
          </w:p>
        </w:tc>
        <w:tc>
          <w:tcPr>
            <w:tcW w:type="dxa" w:w="1526"/>
            <w:shd w:val="clear" w:color="auto" w:fill="D9D9D9"/>
          </w:tcPr>
          <w:p>
            <w:pPr>
              <w:pStyle w:val="TableText"/>
              <w:keepNext/>
              <w:jc w:val="left"/>
            </w:pPr>
            <w:r>
              <w:rPr>
                <w:rFonts w:ascii="Times New Roman" w:hAnsi="Times New Roman" w:cs="Times New Roman" w:eastAsia="Times New Roman"/>
                <w:b/>
                <w:sz w:val="20"/>
              </w:rPr>
              <w:t xml:space="preserve">VEP 0.3</w:t>
            </w:r>
          </w:p>
        </w:tc>
        <w:tc>
          <w:tcPr>
            <w:tcW w:type="dxa" w:w="1526"/>
            <w:shd w:val="clear" w:color="auto" w:fill="D9D9D9"/>
          </w:tcPr>
          <w:p>
            <w:pPr>
              <w:pStyle w:val="TableText"/>
              <w:keepNext/>
              <w:jc w:val="left"/>
            </w:pPr>
            <w:r>
              <w:rPr>
                <w:rFonts w:ascii="Times New Roman" w:hAnsi="Times New Roman" w:cs="Times New Roman" w:eastAsia="Times New Roman"/>
                <w:b/>
                <w:sz w:val="20"/>
              </w:rPr>
              <w:t xml:space="preserve">VEP 0.5</w:t>
            </w:r>
          </w:p>
        </w:tc>
        <w:tc>
          <w:tcPr>
            <w:tcW w:type="dxa" w:w="1528"/>
            <w:shd w:val="clear" w:color="auto" w:fill="D9D9D9"/>
          </w:tcPr>
          <w:p>
            <w:pPr>
              <w:pStyle w:val="TableText"/>
              <w:keepNext/>
              <w:jc w:val="left"/>
            </w:pPr>
            <w:r>
              <w:rPr>
                <w:rFonts w:ascii="Times New Roman" w:hAnsi="Times New Roman" w:cs="Times New Roman" w:eastAsia="Times New Roman"/>
                <w:b/>
                <w:sz w:val="20"/>
              </w:rPr>
              <w:t xml:space="preserve">VEP 1.0</w:t>
            </w:r>
          </w:p>
        </w:tc>
      </w:tr>
      <w:tr>
        <w:trPr>
          <w:cantSplit/>
        </w:trPr>
        <w:tc>
          <w:tcPr>
            <w:tcW w:type="dxa" w:w="2200"/>
          </w:tcPr>
          <w:p>
            <w:pPr>
              <w:pStyle w:val="TableText"/>
              <w:keepNext/>
              <w:jc w:val="left"/>
            </w:pPr>
            <w:r>
              <w:rPr>
                <w:rFonts w:ascii="Times New Roman" w:hAnsi="Times New Roman" w:cs="Times New Roman" w:eastAsia="Times New Roman"/>
                <w:sz w:val="20"/>
              </w:rPr>
              <w:t xml:space="preserve">MRI only</w:t>
            </w:r>
          </w:p>
        </w:tc>
        <w:tc>
          <w:tcPr>
            <w:tcW w:type="dxa" w:w="1526"/>
          </w:tcPr>
          <w:p>
            <w:pPr>
              <w:pStyle w:val="TableText"/>
              <w:keepNext/>
              <w:jc w:val="left"/>
            </w:pPr>
            <w:r>
              <w:rPr>
                <w:rFonts w:ascii="Times New Roman" w:hAnsi="Times New Roman" w:cs="Times New Roman" w:eastAsia="Times New Roman"/>
                <w:sz w:val="20"/>
              </w:rPr>
              <w:t xml:space="preserve">62.9 ± 4.1</w:t>
            </w:r>
          </w:p>
        </w:tc>
        <w:tc>
          <w:tcPr>
            <w:tcW w:type="dxa" w:w="1526"/>
          </w:tcPr>
          <w:p>
            <w:pPr>
              <w:pStyle w:val="TableText"/>
              <w:keepNext/>
              <w:jc w:val="left"/>
            </w:pPr>
            <w:r>
              <w:rPr>
                <w:rFonts w:ascii="Times New Roman" w:hAnsi="Times New Roman" w:cs="Times New Roman" w:eastAsia="Times New Roman"/>
                <w:sz w:val="20"/>
              </w:rPr>
              <w:t xml:space="preserve">65.0 ± 5.9</w:t>
            </w:r>
          </w:p>
        </w:tc>
        <w:tc>
          <w:tcPr>
            <w:tcW w:type="dxa" w:w="1526"/>
          </w:tcPr>
          <w:p>
            <w:pPr>
              <w:pStyle w:val="TableText"/>
              <w:keepNext/>
              <w:jc w:val="left"/>
            </w:pPr>
            <w:r>
              <w:rPr>
                <w:rFonts w:ascii="Times New Roman" w:hAnsi="Times New Roman" w:cs="Times New Roman" w:eastAsia="Times New Roman"/>
                <w:sz w:val="20"/>
              </w:rPr>
              <w:t xml:space="preserve">70.0 ± 4.7</w:t>
            </w:r>
          </w:p>
        </w:tc>
        <w:tc>
          <w:tcPr>
            <w:tcW w:type="dxa" w:w="1528"/>
          </w:tcPr>
          <w:p>
            <w:pPr>
              <w:pStyle w:val="TableText"/>
              <w:keepNext/>
              <w:jc w:val="left"/>
            </w:pPr>
            <w:r>
              <w:rPr>
                <w:rFonts w:ascii="Times New Roman" w:hAnsi="Times New Roman" w:cs="Times New Roman" w:eastAsia="Times New Roman"/>
                <w:sz w:val="20"/>
              </w:rPr>
              <w:t xml:space="preserve">62.9 ± 1.8</w:t>
            </w:r>
          </w:p>
        </w:tc>
      </w:tr>
      <w:tr>
        <w:trPr>
          <w:cantSplit/>
        </w:trPr>
        <w:tc>
          <w:tcPr>
            <w:tcW w:type="dxa" w:w="2200"/>
          </w:tcPr>
          <w:p>
            <w:pPr>
              <w:pStyle w:val="TableText"/>
              <w:keepNext/>
              <w:jc w:val="left"/>
            </w:pPr>
            <w:r>
              <w:rPr>
                <w:rFonts w:ascii="Times New Roman" w:hAnsi="Times New Roman" w:cs="Times New Roman" w:eastAsia="Times New Roman"/>
                <w:sz w:val="20"/>
              </w:rPr>
              <w:t xml:space="preserve">VEP only</w:t>
            </w:r>
          </w:p>
        </w:tc>
        <w:tc>
          <w:tcPr>
            <w:tcW w:type="dxa" w:w="1526"/>
          </w:tcPr>
          <w:p>
            <w:pPr>
              <w:pStyle w:val="TableText"/>
              <w:keepNext/>
              <w:jc w:val="left"/>
            </w:pPr>
            <w:r>
              <w:rPr>
                <w:rFonts w:ascii="Times New Roman" w:hAnsi="Times New Roman" w:cs="Times New Roman" w:eastAsia="Times New Roman"/>
                <w:sz w:val="20"/>
              </w:rPr>
              <w:t xml:space="preserve">45.0 ± 0.0</w:t>
            </w:r>
          </w:p>
        </w:tc>
        <w:tc>
          <w:tcPr>
            <w:tcW w:type="dxa" w:w="1526"/>
          </w:tcPr>
          <w:p>
            <w:pPr>
              <w:pStyle w:val="TableText"/>
              <w:keepNext/>
              <w:jc w:val="left"/>
            </w:pPr>
            <w:r>
              <w:rPr>
                <w:rFonts w:ascii="Times New Roman" w:hAnsi="Times New Roman" w:cs="Times New Roman" w:eastAsia="Times New Roman"/>
                <w:sz w:val="20"/>
              </w:rPr>
              <w:t xml:space="preserve">64.2 ± 1.2</w:t>
            </w:r>
          </w:p>
        </w:tc>
        <w:tc>
          <w:tcPr>
            <w:tcW w:type="dxa" w:w="1526"/>
          </w:tcPr>
          <w:p>
            <w:pPr>
              <w:pStyle w:val="TableText"/>
              <w:keepNext/>
              <w:jc w:val="left"/>
            </w:pPr>
            <w:r>
              <w:rPr>
                <w:rFonts w:ascii="Times New Roman" w:hAnsi="Times New Roman" w:cs="Times New Roman" w:eastAsia="Times New Roman"/>
                <w:sz w:val="20"/>
              </w:rPr>
              <w:t xml:space="preserve">85.4 ± 0.6</w:t>
            </w:r>
          </w:p>
        </w:tc>
        <w:tc>
          <w:tcPr>
            <w:tcW w:type="dxa" w:w="1528"/>
          </w:tcPr>
          <w:p>
            <w:pPr>
              <w:pStyle w:val="TableText"/>
              <w:keepNext/>
              <w:jc w:val="left"/>
            </w:pPr>
            <w:r>
              <w:rPr>
                <w:rFonts w:ascii="Times New Roman" w:hAnsi="Times New Roman" w:cs="Times New Roman" w:eastAsia="Times New Roman"/>
                <w:sz w:val="20"/>
              </w:rPr>
              <w:t xml:space="preserve">96.7 ± 2.4</w:t>
            </w:r>
          </w:p>
        </w:tc>
      </w:tr>
      <w:tr>
        <w:trPr>
          <w:cantSplit/>
        </w:trPr>
        <w:tc>
          <w:tcPr>
            <w:tcW w:type="dxa" w:w="2200"/>
          </w:tcPr>
          <w:p>
            <w:pPr>
              <w:pStyle w:val="TableText"/>
              <w:keepNext/>
              <w:jc w:val="left"/>
            </w:pPr>
            <w:r>
              <w:rPr>
                <w:rFonts w:ascii="Times New Roman" w:hAnsi="Times New Roman" w:cs="Times New Roman" w:eastAsia="Times New Roman"/>
                <w:sz w:val="20"/>
              </w:rPr>
              <w:t xml:space="preserve">Concatenation</w:t>
            </w:r>
          </w:p>
        </w:tc>
        <w:tc>
          <w:tcPr>
            <w:tcW w:type="dxa" w:w="1526"/>
          </w:tcPr>
          <w:p>
            <w:pPr>
              <w:pStyle w:val="TableText"/>
              <w:keepNext/>
              <w:jc w:val="left"/>
            </w:pPr>
            <w:r>
              <w:rPr>
                <w:rFonts w:ascii="Times New Roman" w:hAnsi="Times New Roman" w:cs="Times New Roman" w:eastAsia="Times New Roman"/>
                <w:sz w:val="20"/>
              </w:rPr>
              <w:t xml:space="preserve">69.6 ± 0.6</w:t>
            </w:r>
          </w:p>
        </w:tc>
        <w:tc>
          <w:tcPr>
            <w:tcW w:type="dxa" w:w="1526"/>
          </w:tcPr>
          <w:p>
            <w:pPr>
              <w:pStyle w:val="TableText"/>
              <w:keepNext/>
              <w:jc w:val="left"/>
            </w:pPr>
            <w:r>
              <w:rPr>
                <w:rFonts w:ascii="Times New Roman" w:hAnsi="Times New Roman" w:cs="Times New Roman" w:eastAsia="Times New Roman"/>
                <w:sz w:val="20"/>
              </w:rPr>
              <w:t xml:space="preserve">77.5 ± 7.1</w:t>
            </w:r>
          </w:p>
        </w:tc>
        <w:tc>
          <w:tcPr>
            <w:tcW w:type="dxa" w:w="1526"/>
          </w:tcPr>
          <w:p>
            <w:pPr>
              <w:pStyle w:val="TableText"/>
              <w:keepNext/>
              <w:jc w:val="left"/>
            </w:pPr>
            <w:r>
              <w:rPr>
                <w:rFonts w:ascii="Times New Roman" w:hAnsi="Times New Roman" w:cs="Times New Roman" w:eastAsia="Times New Roman"/>
                <w:sz w:val="20"/>
              </w:rPr>
              <w:t xml:space="preserve">90.8 ± 1.2</w:t>
            </w:r>
          </w:p>
        </w:tc>
        <w:tc>
          <w:tcPr>
            <w:tcW w:type="dxa" w:w="1528"/>
          </w:tcPr>
          <w:p>
            <w:pPr>
              <w:pStyle w:val="TableText"/>
              <w:keepNext/>
              <w:jc w:val="left"/>
            </w:pPr>
            <w:r>
              <w:rPr>
                <w:rFonts w:ascii="Times New Roman" w:hAnsi="Times New Roman" w:cs="Times New Roman" w:eastAsia="Times New Roman"/>
                <w:sz w:val="20"/>
              </w:rPr>
              <w:t xml:space="preserve">98.3 ± 0.0</w:t>
            </w:r>
          </w:p>
        </w:tc>
      </w:tr>
      <w:tr>
        <w:trPr>
          <w:cantSplit/>
        </w:trPr>
        <w:tc>
          <w:tcPr>
            <w:tcW w:type="dxa" w:w="2200"/>
          </w:tcPr>
          <w:p>
            <w:pPr>
              <w:pStyle w:val="TableText"/>
              <w:jc w:val="left"/>
            </w:pPr>
            <w:r>
              <w:rPr>
                <w:rFonts w:ascii="Times New Roman" w:hAnsi="Times New Roman" w:cs="Times New Roman" w:eastAsia="Times New Roman"/>
                <w:sz w:val="20"/>
              </w:rPr>
              <w:t xml:space="preserve">CAFN (full)</w:t>
            </w:r>
          </w:p>
        </w:tc>
        <w:tc>
          <w:tcPr>
            <w:tcW w:type="dxa" w:w="1526"/>
          </w:tcPr>
          <w:p>
            <w:pPr>
              <w:pStyle w:val="TableText"/>
              <w:jc w:val="left"/>
            </w:pPr>
            <w:r>
              <w:rPr>
                <w:rFonts w:ascii="Times New Roman" w:hAnsi="Times New Roman" w:cs="Times New Roman" w:eastAsia="Times New Roman"/>
                <w:sz w:val="20"/>
              </w:rPr>
              <w:t xml:space="preserve">67.5 ± 7.1</w:t>
            </w:r>
          </w:p>
        </w:tc>
        <w:tc>
          <w:tcPr>
            <w:tcW w:type="dxa" w:w="1526"/>
          </w:tcPr>
          <w:p>
            <w:pPr>
              <w:pStyle w:val="TableText"/>
              <w:jc w:val="left"/>
            </w:pPr>
            <w:r>
              <w:rPr>
                <w:rFonts w:ascii="Times New Roman" w:hAnsi="Times New Roman" w:cs="Times New Roman" w:eastAsia="Times New Roman"/>
                <w:sz w:val="20"/>
              </w:rPr>
              <w:t xml:space="preserve">77.9 ± 11.2</w:t>
            </w:r>
          </w:p>
        </w:tc>
        <w:tc>
          <w:tcPr>
            <w:tcW w:type="dxa" w:w="1526"/>
          </w:tcPr>
          <w:p>
            <w:pPr>
              <w:pStyle w:val="TableText"/>
              <w:jc w:val="left"/>
            </w:pPr>
            <w:r>
              <w:rPr>
                <w:rFonts w:ascii="Times New Roman" w:hAnsi="Times New Roman" w:cs="Times New Roman" w:eastAsia="Times New Roman"/>
                <w:sz w:val="20"/>
              </w:rPr>
              <w:t xml:space="preserve">90.0 ± 2.4</w:t>
            </w:r>
          </w:p>
        </w:tc>
        <w:tc>
          <w:tcPr>
            <w:tcW w:type="dxa" w:w="1528"/>
          </w:tcPr>
          <w:p>
            <w:pPr>
              <w:pStyle w:val="TableText"/>
              <w:jc w:val="left"/>
            </w:pPr>
            <w:r>
              <w:rPr>
                <w:rFonts w:ascii="Times New Roman" w:hAnsi="Times New Roman" w:cs="Times New Roman" w:eastAsia="Times New Roman"/>
                <w:sz w:val="20"/>
              </w:rPr>
              <w:t xml:space="preserve">97.5 ± 2.4</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3900000" cy="3326470"/>
            <wp:docPr id="40" name="Picture 40"/>
            <wp:cNvGraphicFramePr>
              <a:graphicFrameLocks noChangeAspect="1"/>
            </wp:cNvGraphicFramePr>
            <a:graphic>
              <a:graphicData uri="http://schemas.openxmlformats.org/drawingml/2006/picture">
                <pic:pic>
                  <pic:nvPicPr>
                    <pic:cNvPr id="0" name="fig_sweep.png"/>
                    <pic:cNvPicPr/>
                  </pic:nvPicPr>
                  <pic:blipFill>
                    <a:blip r:embed="rId48"/>
                    <a:stretch>
                      <a:fillRect/>
                    </a:stretch>
                  </pic:blipFill>
                  <pic:spPr>
                    <a:xfrm>
                      <a:off x="0" y="0"/>
                      <a:ext cx="3900000" cy="3326470"/>
                    </a:xfrm>
                    <a:prstGeom prst="rect"/>
                  </pic:spPr>
                </pic:pic>
              </a:graphicData>
            </a:graphic>
          </wp:inline>
        </w:drawing>
      </w:r>
    </w:p>
    <w:p>
      <w:pPr>
        <w:pStyle w:val="Caption"/>
      </w:pPr>
      <w:bookmarkStart w:id="1051" w:name="_Ref_Figure_5_8"/>
      <w:r>
        <w:rPr>
          <w:rFonts w:ascii="Times New Roman" w:hAnsi="Times New Roman" w:cs="Times New Roman" w:eastAsia="Times New Roman"/>
          <w:b/>
          <w:sz w:val="22"/>
        </w:rPr>
        <w:t xml:space="preserve">Figure 5.8: </w:t>
      </w:r>
      <w:r>
        <w:rPr>
          <w:rFonts w:ascii="Times New Roman" w:hAnsi="Times New Roman" w:cs="Times New Roman" w:eastAsia="Times New Roman"/>
          <w:sz w:val="22"/>
        </w:rPr>
        <w:t xml:space="preserve">Study A sweep (synthetic): test accuracy versus VEP informativeness (MRI fixed at 1.0). Dashed lines: unimodal models; solid lines: fusion models.</w:t>
      </w:r>
      <w:bookmarkEnd w:id="1051"/>
    </w:p>
    <w:p>
      <w:pPr>
        <w:pStyle w:val="BodyJ"/>
      </w:pPr>
      <w:r>
        <w:rPr>
          <w:rFonts w:ascii="Times New Roman" w:hAnsi="Times New Roman" w:cs="Times New Roman" w:eastAsia="Times New Roman"/>
        </w:rPr>
        <w:t xml:space="preserve">The VEP-only model rises from 45% to 97% while the MRI-only model stays between 63% and 70%. The gain of the fused models over the better single modality is largest at intermediate informativeness and vanishes when one modality dominates: about +5 points (CAFN) and +7 points (concatenation) at </w:t>
      </w:r>
      <w:r>
        <w:rPr>
          <w:rFonts w:ascii="Times New Roman" w:hAnsi="Times New Roman" w:cs="Times New Roman" w:eastAsia="Times New Roman"/>
          <w:i/>
        </w:rPr>
        <w:t xml:space="preserve">μ</w:t>
      </w:r>
      <w:r>
        <w:rPr>
          <w:rFonts w:ascii="Times New Roman" w:hAnsi="Times New Roman" w:cs="Times New Roman" w:eastAsia="Times New Roman"/>
          <w:vertAlign w:val="subscript"/>
        </w:rPr>
        <w:t xml:space="preserve">VEP</w:t>
      </w:r>
      <w:r>
        <w:rPr>
          <w:rFonts w:ascii="Times New Roman" w:hAnsi="Times New Roman" w:cs="Times New Roman" w:eastAsia="Times New Roman"/>
        </w:rPr>
        <w:t xml:space="preserve"> = 0.15, +13 and +12 points at 0.3, +5 and +5 points at 0.5, and +1 and +2 points at 1.0. Fusion therefore did not hurt in this sweep, helps when both streams carry independent evidence, and converges to the dominant stream otherwise; CAFN and concatenation track each other throughout.</w:t>
      </w:r>
    </w:p>
    <w:p>
      <w:pPr>
        <w:pStyle w:val="Heading2"/>
      </w:pPr>
      <w:r>
        <w:rPr>
          <w:rFonts w:ascii="Times New Roman" w:hAnsi="Times New Roman" w:cs="Times New Roman" w:eastAsia="Times New Roman"/>
          <w:b/>
          <w:sz w:val="28"/>
        </w:rPr>
        <w:t xml:space="preserve">5.11  REAL COHORTS: CROSS-VALIDATION AND PERMUTATION TESTS</w:t>
      </w:r>
    </w:p>
    <w:p>
      <w:pPr>
        <w:pStyle w:val="BodyJ"/>
      </w:pPr>
      <w:r>
        <w:rPr>
          <w:rFonts w:ascii="Times New Roman" w:hAnsi="Times New Roman" w:cs="Times New Roman" w:eastAsia="Times New Roman"/>
        </w:rPr>
        <w:t xml:space="preserve">All 95 subjects (50 patients, 45 controls) are predicted out-of-fold (Study B, real cohorts; Section 3.9.2). Table 5.11 and Figure 5.9 give the out-of-fold ROC-AUC (mean over repeats: five repeats of 5-fold cross-validation for the classical models, one repeat for the neural models), the bootstrap 95% interval (repeat 0), the balanced accuracy and, for the classical models, the within-cohort permutation </w:t>
      </w:r>
      <w:r>
        <w:rPr>
          <w:rFonts w:ascii="Times New Roman" w:hAnsi="Times New Roman" w:cs="Times New Roman" w:eastAsia="Times New Roman"/>
          <w:i/>
        </w:rPr>
        <w:t xml:space="preserve">p</w:t>
      </w:r>
      <w:r>
        <w:rPr>
          <w:rFonts w:ascii="Times New Roman" w:hAnsi="Times New Roman" w:cs="Times New Roman" w:eastAsia="Times New Roman"/>
        </w:rPr>
        <w:t xml:space="preserve">-value (200 permutations).</w:t>
      </w:r>
    </w:p>
    <w:p>
      <w:pPr>
        <w:pStyle w:val="Caption"/>
        <w:keepNext/>
        <w:spacing w:before="160" w:after="80"/>
      </w:pPr>
      <w:bookmarkStart w:id="1052" w:name="_Ref_Table_5_11"/>
      <w:r>
        <w:rPr>
          <w:rFonts w:ascii="Times New Roman" w:hAnsi="Times New Roman" w:cs="Times New Roman" w:eastAsia="Times New Roman"/>
          <w:b/>
          <w:sz w:val="22"/>
        </w:rPr>
        <w:t xml:space="preserve">Table 5.11: </w:t>
      </w:r>
      <w:r>
        <w:rPr>
          <w:rFonts w:ascii="Times New Roman" w:hAnsi="Times New Roman" w:cs="Times New Roman" w:eastAsia="Times New Roman"/>
          <w:sz w:val="22"/>
        </w:rPr>
        <w:t xml:space="preserve">Real cohorts (95 subjects): out-of-fold ROC-AUC, bootstrap 95% interval, balanced accuracy and within-cohort permutation </w:t>
      </w:r>
      <w:r>
        <w:rPr>
          <w:rFonts w:ascii="Times New Roman" w:hAnsi="Times New Roman" w:cs="Times New Roman" w:eastAsia="Times New Roman"/>
          <w:i/>
          <w:sz w:val="22"/>
        </w:rPr>
        <w:t xml:space="preserve">p</w:t>
      </w:r>
      <w:r>
        <w:rPr>
          <w:rFonts w:ascii="Times New Roman" w:hAnsi="Times New Roman" w:cs="Times New Roman" w:eastAsia="Times New Roman"/>
          <w:sz w:val="22"/>
        </w:rPr>
        <w:t xml:space="preserve">. Neural models were cross-validated once and have no permutation test.</w:t>
      </w:r>
      <w:bookmarkEnd w:id="1052"/>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900"/>
        <w:gridCol w:w="900"/>
        <w:gridCol w:w="1500"/>
        <w:gridCol w:w="1500"/>
        <w:gridCol w:w="1506"/>
      </w:tblGrid>
      <w:tr>
        <w:trPr>
          <w:cantSplit/>
          <w:tblHeader/>
        </w:trPr>
        <w:tc>
          <w:tcPr>
            <w:tcW w:type="dxa" w:w="2900"/>
            <w:shd w:val="clear" w:color="auto" w:fill="D9D9D9"/>
          </w:tcPr>
          <w:p>
            <w:pPr>
              <w:pStyle w:val="TableText"/>
              <w:keepNext/>
              <w:jc w:val="left"/>
            </w:pPr>
            <w:r>
              <w:rPr>
                <w:rFonts w:ascii="Times New Roman" w:hAnsi="Times New Roman" w:cs="Times New Roman" w:eastAsia="Times New Roman"/>
                <w:b/>
                <w:sz w:val="20"/>
              </w:rPr>
              <w:t xml:space="preserve">Model</w:t>
            </w:r>
          </w:p>
        </w:tc>
        <w:tc>
          <w:tcPr>
            <w:tcW w:type="dxa" w:w="900"/>
            <w:shd w:val="clear" w:color="auto" w:fill="D9D9D9"/>
          </w:tcPr>
          <w:p>
            <w:pPr>
              <w:pStyle w:val="TableText"/>
              <w:keepNext/>
              <w:jc w:val="left"/>
            </w:pPr>
            <w:r>
              <w:rPr>
                <w:rFonts w:ascii="Times New Roman" w:hAnsi="Times New Roman" w:cs="Times New Roman" w:eastAsia="Times New Roman"/>
                <w:b/>
                <w:sz w:val="20"/>
              </w:rPr>
              <w:t xml:space="preserve">ROC-AUC</w:t>
            </w:r>
          </w:p>
        </w:tc>
        <w:tc>
          <w:tcPr>
            <w:tcW w:type="dxa" w:w="1500"/>
            <w:shd w:val="clear" w:color="auto" w:fill="D9D9D9"/>
          </w:tcPr>
          <w:p>
            <w:pPr>
              <w:pStyle w:val="TableText"/>
              <w:keepNext/>
              <w:jc w:val="left"/>
            </w:pPr>
            <w:r>
              <w:rPr>
                <w:rFonts w:ascii="Times New Roman" w:hAnsi="Times New Roman" w:cs="Times New Roman" w:eastAsia="Times New Roman"/>
                <w:b/>
                <w:sz w:val="20"/>
              </w:rPr>
              <w:t xml:space="preserve">95% CI</w:t>
            </w:r>
          </w:p>
        </w:tc>
        <w:tc>
          <w:tcPr>
            <w:tcW w:type="dxa" w:w="1500"/>
            <w:shd w:val="clear" w:color="auto" w:fill="D9D9D9"/>
          </w:tcPr>
          <w:p>
            <w:pPr>
              <w:pStyle w:val="TableText"/>
              <w:keepNext/>
              <w:jc w:val="left"/>
            </w:pPr>
            <w:r>
              <w:rPr>
                <w:rFonts w:ascii="Times New Roman" w:hAnsi="Times New Roman" w:cs="Times New Roman" w:eastAsia="Times New Roman"/>
                <w:b/>
                <w:sz w:val="20"/>
              </w:rPr>
              <w:t xml:space="preserve">Balanced accuracy</w:t>
            </w:r>
          </w:p>
        </w:tc>
        <w:tc>
          <w:tcPr>
            <w:tcW w:type="dxa" w:w="1506"/>
            <w:shd w:val="clear" w:color="auto" w:fill="D9D9D9"/>
          </w:tcPr>
          <w:p>
            <w:pPr>
              <w:pStyle w:val="TableText"/>
              <w:keepNext/>
              <w:jc w:val="left"/>
            </w:pPr>
            <w:r>
              <w:rPr>
                <w:rFonts w:ascii="Times New Roman" w:hAnsi="Times New Roman" w:cs="Times New Roman" w:eastAsia="Times New Roman"/>
                <w:b/>
                <w:sz w:val="20"/>
              </w:rPr>
              <w:t xml:space="preserve">Permutation </w:t>
            </w:r>
            <w:r>
              <w:rPr>
                <w:rFonts w:ascii="Times New Roman" w:hAnsi="Times New Roman" w:cs="Times New Roman" w:eastAsia="Times New Roman"/>
                <w:b/>
                <w:i/>
                <w:sz w:val="20"/>
              </w:rPr>
              <w:t xml:space="preserve">p</w:t>
            </w:r>
          </w:p>
        </w:tc>
      </w:tr>
      <w:tr>
        <w:trPr>
          <w:cantSplit/>
        </w:trPr>
        <w:tc>
          <w:tcPr>
            <w:tcW w:type="dxa" w:w="2900"/>
          </w:tcPr>
          <w:p>
            <w:pPr>
              <w:pStyle w:val="TableText"/>
              <w:keepNext/>
              <w:jc w:val="left"/>
            </w:pPr>
            <w:r>
              <w:rPr>
                <w:rFonts w:ascii="Times New Roman" w:hAnsi="Times New Roman" w:cs="Times New Roman" w:eastAsia="Times New Roman"/>
                <w:sz w:val="20"/>
              </w:rPr>
              <w:t xml:space="preserve">Spectrum (500-point) · logistic regression</w:t>
            </w:r>
          </w:p>
        </w:tc>
        <w:tc>
          <w:tcPr>
            <w:tcW w:type="dxa" w:w="900"/>
          </w:tcPr>
          <w:p>
            <w:pPr>
              <w:pStyle w:val="TableText"/>
              <w:keepNext/>
              <w:jc w:val="left"/>
            </w:pPr>
            <w:r>
              <w:rPr>
                <w:rFonts w:ascii="Times New Roman" w:hAnsi="Times New Roman" w:cs="Times New Roman" w:eastAsia="Times New Roman"/>
                <w:sz w:val="20"/>
              </w:rPr>
              <w:t xml:space="preserve">0.563</w:t>
            </w:r>
          </w:p>
        </w:tc>
        <w:tc>
          <w:tcPr>
            <w:tcW w:type="dxa" w:w="1500"/>
          </w:tcPr>
          <w:p>
            <w:pPr>
              <w:pStyle w:val="TableText"/>
              <w:keepNext/>
              <w:jc w:val="left"/>
            </w:pPr>
            <w:r>
              <w:rPr>
                <w:rFonts w:ascii="Times New Roman" w:hAnsi="Times New Roman" w:cs="Times New Roman" w:eastAsia="Times New Roman"/>
                <w:sz w:val="20"/>
              </w:rPr>
              <w:t xml:space="preserve">[0.45, 0.68]</w:t>
            </w:r>
          </w:p>
        </w:tc>
        <w:tc>
          <w:tcPr>
            <w:tcW w:type="dxa" w:w="1500"/>
          </w:tcPr>
          <w:p>
            <w:pPr>
              <w:pStyle w:val="TableText"/>
              <w:keepNext/>
              <w:jc w:val="left"/>
            </w:pPr>
            <w:r>
              <w:rPr>
                <w:rFonts w:ascii="Times New Roman" w:hAnsi="Times New Roman" w:cs="Times New Roman" w:eastAsia="Times New Roman"/>
                <w:sz w:val="20"/>
              </w:rPr>
              <w:t xml:space="preserve">0.590</w:t>
            </w:r>
          </w:p>
        </w:tc>
        <w:tc>
          <w:tcPr>
            <w:tcW w:type="dxa" w:w="1506"/>
          </w:tcPr>
          <w:p>
            <w:pPr>
              <w:pStyle w:val="TableText"/>
              <w:keepNext/>
              <w:jc w:val="left"/>
            </w:pPr>
            <w:r>
              <w:rPr>
                <w:rFonts w:ascii="Times New Roman" w:hAnsi="Times New Roman" w:cs="Times New Roman" w:eastAsia="Times New Roman"/>
                <w:sz w:val="20"/>
              </w:rPr>
              <w:t xml:space="preserve">0.025</w:t>
            </w:r>
          </w:p>
        </w:tc>
      </w:tr>
      <w:tr>
        <w:trPr>
          <w:cantSplit/>
        </w:trPr>
        <w:tc>
          <w:tcPr>
            <w:tcW w:type="dxa" w:w="2900"/>
          </w:tcPr>
          <w:p>
            <w:pPr>
              <w:pStyle w:val="TableText"/>
              <w:keepNext/>
              <w:jc w:val="left"/>
            </w:pPr>
            <w:r>
              <w:rPr>
                <w:rFonts w:ascii="Times New Roman" w:hAnsi="Times New Roman" w:cs="Times New Roman" w:eastAsia="Times New Roman"/>
                <w:sz w:val="20"/>
              </w:rPr>
              <w:t xml:space="preserve">Band powers (5) · logistic regression</w:t>
            </w:r>
          </w:p>
        </w:tc>
        <w:tc>
          <w:tcPr>
            <w:tcW w:type="dxa" w:w="900"/>
          </w:tcPr>
          <w:p>
            <w:pPr>
              <w:pStyle w:val="TableText"/>
              <w:keepNext/>
              <w:jc w:val="left"/>
            </w:pPr>
            <w:r>
              <w:rPr>
                <w:rFonts w:ascii="Times New Roman" w:hAnsi="Times New Roman" w:cs="Times New Roman" w:eastAsia="Times New Roman"/>
                <w:sz w:val="20"/>
              </w:rPr>
              <w:t xml:space="preserve">0.567</w:t>
            </w:r>
          </w:p>
        </w:tc>
        <w:tc>
          <w:tcPr>
            <w:tcW w:type="dxa" w:w="1500"/>
          </w:tcPr>
          <w:p>
            <w:pPr>
              <w:pStyle w:val="TableText"/>
              <w:keepNext/>
              <w:jc w:val="left"/>
            </w:pPr>
            <w:r>
              <w:rPr>
                <w:rFonts w:ascii="Times New Roman" w:hAnsi="Times New Roman" w:cs="Times New Roman" w:eastAsia="Times New Roman"/>
                <w:sz w:val="20"/>
              </w:rPr>
              <w:t xml:space="preserve">[0.45, 0.68]</w:t>
            </w:r>
          </w:p>
        </w:tc>
        <w:tc>
          <w:tcPr>
            <w:tcW w:type="dxa" w:w="1500"/>
          </w:tcPr>
          <w:p>
            <w:pPr>
              <w:pStyle w:val="TableText"/>
              <w:keepNext/>
              <w:jc w:val="left"/>
            </w:pPr>
            <w:r>
              <w:rPr>
                <w:rFonts w:ascii="Times New Roman" w:hAnsi="Times New Roman" w:cs="Times New Roman" w:eastAsia="Times New Roman"/>
                <w:sz w:val="20"/>
              </w:rPr>
              <w:t xml:space="preserve">0.590</w:t>
            </w:r>
          </w:p>
        </w:tc>
        <w:tc>
          <w:tcPr>
            <w:tcW w:type="dxa" w:w="1506"/>
          </w:tcPr>
          <w:p>
            <w:pPr>
              <w:pStyle w:val="TableText"/>
              <w:keepNext/>
              <w:jc w:val="left"/>
            </w:pPr>
            <w:r>
              <w:rPr>
                <w:rFonts w:ascii="Times New Roman" w:hAnsi="Times New Roman" w:cs="Times New Roman" w:eastAsia="Times New Roman"/>
                <w:sz w:val="20"/>
              </w:rPr>
              <w:t xml:space="preserve">0.005</w:t>
            </w:r>
          </w:p>
        </w:tc>
      </w:tr>
      <w:tr>
        <w:trPr>
          <w:cantSplit/>
        </w:trPr>
        <w:tc>
          <w:tcPr>
            <w:tcW w:type="dxa" w:w="2900"/>
          </w:tcPr>
          <w:p>
            <w:pPr>
              <w:pStyle w:val="TableText"/>
              <w:keepNext/>
              <w:jc w:val="left"/>
            </w:pPr>
            <w:r>
              <w:rPr>
                <w:rFonts w:ascii="Times New Roman" w:hAnsi="Times New Roman" w:cs="Times New Roman" w:eastAsia="Times New Roman"/>
                <w:sz w:val="20"/>
              </w:rPr>
              <w:t xml:space="preserve">Band powers (5) · random forest</w:t>
            </w:r>
          </w:p>
        </w:tc>
        <w:tc>
          <w:tcPr>
            <w:tcW w:type="dxa" w:w="900"/>
          </w:tcPr>
          <w:p>
            <w:pPr>
              <w:pStyle w:val="TableText"/>
              <w:keepNext/>
              <w:jc w:val="left"/>
            </w:pPr>
            <w:r>
              <w:rPr>
                <w:rFonts w:ascii="Times New Roman" w:hAnsi="Times New Roman" w:cs="Times New Roman" w:eastAsia="Times New Roman"/>
                <w:sz w:val="20"/>
              </w:rPr>
              <w:t xml:space="preserve">0.518</w:t>
            </w:r>
          </w:p>
        </w:tc>
        <w:tc>
          <w:tcPr>
            <w:tcW w:type="dxa" w:w="1500"/>
          </w:tcPr>
          <w:p>
            <w:pPr>
              <w:pStyle w:val="TableText"/>
              <w:keepNext/>
              <w:jc w:val="left"/>
            </w:pPr>
            <w:r>
              <w:rPr>
                <w:rFonts w:ascii="Times New Roman" w:hAnsi="Times New Roman" w:cs="Times New Roman" w:eastAsia="Times New Roman"/>
                <w:sz w:val="20"/>
              </w:rPr>
              <w:t xml:space="preserve">[0.36, 0.60]</w:t>
            </w:r>
          </w:p>
        </w:tc>
        <w:tc>
          <w:tcPr>
            <w:tcW w:type="dxa" w:w="1500"/>
          </w:tcPr>
          <w:p>
            <w:pPr>
              <w:pStyle w:val="TableText"/>
              <w:keepNext/>
              <w:jc w:val="left"/>
            </w:pPr>
            <w:r>
              <w:rPr>
                <w:rFonts w:ascii="Times New Roman" w:hAnsi="Times New Roman" w:cs="Times New Roman" w:eastAsia="Times New Roman"/>
                <w:sz w:val="20"/>
              </w:rPr>
              <w:t xml:space="preserve">0.539</w:t>
            </w:r>
          </w:p>
        </w:tc>
        <w:tc>
          <w:tcPr>
            <w:tcW w:type="dxa" w:w="1506"/>
          </w:tcPr>
          <w:p>
            <w:pPr>
              <w:pStyle w:val="TableText"/>
              <w:keepNext/>
              <w:jc w:val="left"/>
            </w:pPr>
            <w:r>
              <w:rPr>
                <w:rFonts w:ascii="Times New Roman" w:hAnsi="Times New Roman" w:cs="Times New Roman" w:eastAsia="Times New Roman"/>
                <w:sz w:val="20"/>
              </w:rPr>
              <w:t xml:space="preserve">0.726</w:t>
            </w:r>
          </w:p>
        </w:tc>
      </w:tr>
      <w:tr>
        <w:trPr>
          <w:cantSplit/>
        </w:trPr>
        <w:tc>
          <w:tcPr>
            <w:tcW w:type="dxa" w:w="2900"/>
          </w:tcPr>
          <w:p>
            <w:pPr>
              <w:pStyle w:val="TableText"/>
              <w:keepNext/>
              <w:jc w:val="left"/>
            </w:pPr>
            <w:r>
              <w:rPr>
                <w:rFonts w:ascii="Times New Roman" w:hAnsi="Times New Roman" w:cs="Times New Roman" w:eastAsia="Times New Roman"/>
                <w:sz w:val="20"/>
              </w:rPr>
              <w:t xml:space="preserve">MRI (8³ → PCA-20) · logistic regression</w:t>
            </w:r>
          </w:p>
        </w:tc>
        <w:tc>
          <w:tcPr>
            <w:tcW w:type="dxa" w:w="900"/>
          </w:tcPr>
          <w:p>
            <w:pPr>
              <w:pStyle w:val="TableText"/>
              <w:keepNext/>
              <w:jc w:val="left"/>
            </w:pPr>
            <w:r>
              <w:rPr>
                <w:rFonts w:ascii="Times New Roman" w:hAnsi="Times New Roman" w:cs="Times New Roman" w:eastAsia="Times New Roman"/>
                <w:sz w:val="20"/>
              </w:rPr>
              <w:t xml:space="preserve">0.587</w:t>
            </w:r>
          </w:p>
        </w:tc>
        <w:tc>
          <w:tcPr>
            <w:tcW w:type="dxa" w:w="1500"/>
          </w:tcPr>
          <w:p>
            <w:pPr>
              <w:pStyle w:val="TableText"/>
              <w:keepNext/>
              <w:jc w:val="left"/>
            </w:pPr>
            <w:r>
              <w:rPr>
                <w:rFonts w:ascii="Times New Roman" w:hAnsi="Times New Roman" w:cs="Times New Roman" w:eastAsia="Times New Roman"/>
                <w:sz w:val="20"/>
              </w:rPr>
              <w:t xml:space="preserve">[0.43, 0.67]</w:t>
            </w:r>
          </w:p>
        </w:tc>
        <w:tc>
          <w:tcPr>
            <w:tcW w:type="dxa" w:w="1500"/>
          </w:tcPr>
          <w:p>
            <w:pPr>
              <w:pStyle w:val="TableText"/>
              <w:keepNext/>
              <w:jc w:val="left"/>
            </w:pPr>
            <w:r>
              <w:rPr>
                <w:rFonts w:ascii="Times New Roman" w:hAnsi="Times New Roman" w:cs="Times New Roman" w:eastAsia="Times New Roman"/>
                <w:sz w:val="20"/>
              </w:rPr>
              <w:t xml:space="preserve">0.584</w:t>
            </w:r>
          </w:p>
        </w:tc>
        <w:tc>
          <w:tcPr>
            <w:tcW w:type="dxa" w:w="1506"/>
          </w:tcPr>
          <w:p>
            <w:pPr>
              <w:pStyle w:val="TableText"/>
              <w:keepNext/>
              <w:jc w:val="left"/>
            </w:pPr>
            <w:r>
              <w:rPr>
                <w:rFonts w:ascii="Times New Roman" w:hAnsi="Times New Roman" w:cs="Times New Roman" w:eastAsia="Times New Roman"/>
                <w:sz w:val="20"/>
              </w:rPr>
              <w:t xml:space="preserve">0.239</w:t>
            </w:r>
          </w:p>
        </w:tc>
      </w:tr>
      <w:tr>
        <w:trPr>
          <w:cantSplit/>
        </w:trPr>
        <w:tc>
          <w:tcPr>
            <w:tcW w:type="dxa" w:w="2900"/>
          </w:tcPr>
          <w:p>
            <w:pPr>
              <w:pStyle w:val="TableText"/>
              <w:keepNext/>
              <w:jc w:val="left"/>
            </w:pPr>
            <w:r>
              <w:rPr>
                <w:rFonts w:ascii="Times New Roman" w:hAnsi="Times New Roman" w:cs="Times New Roman" w:eastAsia="Times New Roman"/>
                <w:sz w:val="20"/>
              </w:rPr>
              <w:t xml:space="preserve">MRI + band powers · logistic regression</w:t>
            </w:r>
          </w:p>
        </w:tc>
        <w:tc>
          <w:tcPr>
            <w:tcW w:type="dxa" w:w="900"/>
          </w:tcPr>
          <w:p>
            <w:pPr>
              <w:pStyle w:val="TableText"/>
              <w:keepNext/>
              <w:jc w:val="left"/>
            </w:pPr>
            <w:r>
              <w:rPr>
                <w:rFonts w:ascii="Times New Roman" w:hAnsi="Times New Roman" w:cs="Times New Roman" w:eastAsia="Times New Roman"/>
                <w:sz w:val="20"/>
              </w:rPr>
              <w:t xml:space="preserve">0.588</w:t>
            </w:r>
          </w:p>
        </w:tc>
        <w:tc>
          <w:tcPr>
            <w:tcW w:type="dxa" w:w="1500"/>
          </w:tcPr>
          <w:p>
            <w:pPr>
              <w:pStyle w:val="TableText"/>
              <w:keepNext/>
              <w:jc w:val="left"/>
            </w:pPr>
            <w:r>
              <w:rPr>
                <w:rFonts w:ascii="Times New Roman" w:hAnsi="Times New Roman" w:cs="Times New Roman" w:eastAsia="Times New Roman"/>
                <w:sz w:val="20"/>
              </w:rPr>
              <w:t xml:space="preserve">[0.43, 0.67]</w:t>
            </w:r>
          </w:p>
        </w:tc>
        <w:tc>
          <w:tcPr>
            <w:tcW w:type="dxa" w:w="1500"/>
          </w:tcPr>
          <w:p>
            <w:pPr>
              <w:pStyle w:val="TableText"/>
              <w:keepNext/>
              <w:jc w:val="left"/>
            </w:pPr>
            <w:r>
              <w:rPr>
                <w:rFonts w:ascii="Times New Roman" w:hAnsi="Times New Roman" w:cs="Times New Roman" w:eastAsia="Times New Roman"/>
                <w:sz w:val="20"/>
              </w:rPr>
              <w:t xml:space="preserve">0.580</w:t>
            </w:r>
          </w:p>
        </w:tc>
        <w:tc>
          <w:tcPr>
            <w:tcW w:type="dxa" w:w="1506"/>
          </w:tcPr>
          <w:p>
            <w:pPr>
              <w:pStyle w:val="TableText"/>
              <w:keepNext/>
              <w:jc w:val="left"/>
            </w:pPr>
            <w:r>
              <w:rPr>
                <w:rFonts w:ascii="Times New Roman" w:hAnsi="Times New Roman" w:cs="Times New Roman" w:eastAsia="Times New Roman"/>
                <w:sz w:val="20"/>
              </w:rPr>
              <w:t xml:space="preserve">0.234</w:t>
            </w:r>
          </w:p>
        </w:tc>
      </w:tr>
      <w:tr>
        <w:trPr>
          <w:cantSplit/>
        </w:trPr>
        <w:tc>
          <w:tcPr>
            <w:tcW w:type="dxa" w:w="2900"/>
          </w:tcPr>
          <w:p>
            <w:pPr>
              <w:pStyle w:val="TableText"/>
              <w:keepNext/>
              <w:jc w:val="left"/>
            </w:pPr>
            <w:r>
              <w:rPr>
                <w:rFonts w:ascii="Times New Roman" w:hAnsi="Times New Roman" w:cs="Times New Roman" w:eastAsia="Times New Roman"/>
                <w:sz w:val="20"/>
              </w:rPr>
              <w:t xml:space="preserve">CAFN (ours)</w:t>
            </w:r>
          </w:p>
        </w:tc>
        <w:tc>
          <w:tcPr>
            <w:tcW w:type="dxa" w:w="900"/>
          </w:tcPr>
          <w:p>
            <w:pPr>
              <w:pStyle w:val="TableText"/>
              <w:keepNext/>
              <w:jc w:val="left"/>
            </w:pPr>
            <w:r>
              <w:rPr>
                <w:rFonts w:ascii="Times New Roman" w:hAnsi="Times New Roman" w:cs="Times New Roman" w:eastAsia="Times New Roman"/>
                <w:sz w:val="20"/>
              </w:rPr>
              <w:t xml:space="preserve">0.510</w:t>
            </w:r>
          </w:p>
        </w:tc>
        <w:tc>
          <w:tcPr>
            <w:tcW w:type="dxa" w:w="1500"/>
          </w:tcPr>
          <w:p>
            <w:pPr>
              <w:pStyle w:val="TableText"/>
              <w:keepNext/>
              <w:jc w:val="left"/>
            </w:pPr>
            <w:r>
              <w:rPr>
                <w:rFonts w:ascii="Times New Roman" w:hAnsi="Times New Roman" w:cs="Times New Roman" w:eastAsia="Times New Roman"/>
                <w:sz w:val="20"/>
              </w:rPr>
              <w:t xml:space="preserve">[0.40, 0.62]</w:t>
            </w:r>
          </w:p>
        </w:tc>
        <w:tc>
          <w:tcPr>
            <w:tcW w:type="dxa" w:w="1500"/>
          </w:tcPr>
          <w:p>
            <w:pPr>
              <w:pStyle w:val="TableText"/>
              <w:keepNext/>
              <w:jc w:val="left"/>
            </w:pPr>
            <w:r>
              <w:rPr>
                <w:rFonts w:ascii="Times New Roman" w:hAnsi="Times New Roman" w:cs="Times New Roman" w:eastAsia="Times New Roman"/>
                <w:sz w:val="20"/>
              </w:rPr>
              <w:t xml:space="preserve">0.518</w:t>
            </w:r>
          </w:p>
        </w:tc>
        <w:tc>
          <w:tcPr>
            <w:tcW w:type="dxa" w:w="1506"/>
          </w:tcPr>
          <w:p>
            <w:pPr>
              <w:pStyle w:val="TableText"/>
              <w:keepNext/>
              <w:jc w:val="left"/>
            </w:pPr>
            <w:r>
              <w:rPr>
                <w:rFonts w:ascii="Times New Roman" w:hAnsi="Times New Roman" w:cs="Times New Roman" w:eastAsia="Times New Roman"/>
                <w:sz w:val="20"/>
              </w:rPr>
              <w:t xml:space="preserve">—</w:t>
            </w:r>
          </w:p>
        </w:tc>
      </w:tr>
      <w:tr>
        <w:trPr>
          <w:cantSplit/>
        </w:trPr>
        <w:tc>
          <w:tcPr>
            <w:tcW w:type="dxa" w:w="2900"/>
          </w:tcPr>
          <w:p>
            <w:pPr>
              <w:pStyle w:val="TableText"/>
              <w:keepNext/>
              <w:jc w:val="left"/>
            </w:pPr>
            <w:r>
              <w:rPr>
                <w:rFonts w:ascii="Times New Roman" w:hAnsi="Times New Roman" w:cs="Times New Roman" w:eastAsia="Times New Roman"/>
                <w:sz w:val="20"/>
              </w:rPr>
              <w:t xml:space="preserve">Concatenation fusion</w:t>
            </w:r>
          </w:p>
        </w:tc>
        <w:tc>
          <w:tcPr>
            <w:tcW w:type="dxa" w:w="900"/>
          </w:tcPr>
          <w:p>
            <w:pPr>
              <w:pStyle w:val="TableText"/>
              <w:keepNext/>
              <w:jc w:val="left"/>
            </w:pPr>
            <w:r>
              <w:rPr>
                <w:rFonts w:ascii="Times New Roman" w:hAnsi="Times New Roman" w:cs="Times New Roman" w:eastAsia="Times New Roman"/>
                <w:sz w:val="20"/>
              </w:rPr>
              <w:t xml:space="preserve">0.533</w:t>
            </w:r>
          </w:p>
        </w:tc>
        <w:tc>
          <w:tcPr>
            <w:tcW w:type="dxa" w:w="1500"/>
          </w:tcPr>
          <w:p>
            <w:pPr>
              <w:pStyle w:val="TableText"/>
              <w:keepNext/>
              <w:jc w:val="left"/>
            </w:pPr>
            <w:r>
              <w:rPr>
                <w:rFonts w:ascii="Times New Roman" w:hAnsi="Times New Roman" w:cs="Times New Roman" w:eastAsia="Times New Roman"/>
                <w:sz w:val="20"/>
              </w:rPr>
              <w:t xml:space="preserve">[0.42, 0.66]</w:t>
            </w:r>
          </w:p>
        </w:tc>
        <w:tc>
          <w:tcPr>
            <w:tcW w:type="dxa" w:w="1500"/>
          </w:tcPr>
          <w:p>
            <w:pPr>
              <w:pStyle w:val="TableText"/>
              <w:keepNext/>
              <w:jc w:val="left"/>
            </w:pPr>
            <w:r>
              <w:rPr>
                <w:rFonts w:ascii="Times New Roman" w:hAnsi="Times New Roman" w:cs="Times New Roman" w:eastAsia="Times New Roman"/>
                <w:sz w:val="20"/>
              </w:rPr>
              <w:t xml:space="preserve">0.553</w:t>
            </w:r>
          </w:p>
        </w:tc>
        <w:tc>
          <w:tcPr>
            <w:tcW w:type="dxa" w:w="1506"/>
          </w:tcPr>
          <w:p>
            <w:pPr>
              <w:pStyle w:val="TableText"/>
              <w:keepNext/>
              <w:jc w:val="left"/>
            </w:pPr>
            <w:r>
              <w:rPr>
                <w:rFonts w:ascii="Times New Roman" w:hAnsi="Times New Roman" w:cs="Times New Roman" w:eastAsia="Times New Roman"/>
                <w:sz w:val="20"/>
              </w:rPr>
              <w:t xml:space="preserve">—</w:t>
            </w:r>
          </w:p>
        </w:tc>
      </w:tr>
      <w:tr>
        <w:trPr>
          <w:cantSplit/>
        </w:trPr>
        <w:tc>
          <w:tcPr>
            <w:tcW w:type="dxa" w:w="2900"/>
          </w:tcPr>
          <w:p>
            <w:pPr>
              <w:pStyle w:val="TableText"/>
              <w:keepNext/>
              <w:jc w:val="left"/>
            </w:pPr>
            <w:r>
              <w:rPr>
                <w:rFonts w:ascii="Times New Roman" w:hAnsi="Times New Roman" w:cs="Times New Roman" w:eastAsia="Times New Roman"/>
                <w:sz w:val="20"/>
              </w:rPr>
              <w:t xml:space="preserve">MRI only (network)</w:t>
            </w:r>
          </w:p>
        </w:tc>
        <w:tc>
          <w:tcPr>
            <w:tcW w:type="dxa" w:w="900"/>
          </w:tcPr>
          <w:p>
            <w:pPr>
              <w:pStyle w:val="TableText"/>
              <w:keepNext/>
              <w:jc w:val="left"/>
            </w:pPr>
            <w:r>
              <w:rPr>
                <w:rFonts w:ascii="Times New Roman" w:hAnsi="Times New Roman" w:cs="Times New Roman" w:eastAsia="Times New Roman"/>
                <w:sz w:val="20"/>
              </w:rPr>
              <w:t xml:space="preserve">0.479</w:t>
            </w:r>
          </w:p>
        </w:tc>
        <w:tc>
          <w:tcPr>
            <w:tcW w:type="dxa" w:w="1500"/>
          </w:tcPr>
          <w:p>
            <w:pPr>
              <w:pStyle w:val="TableText"/>
              <w:keepNext/>
              <w:jc w:val="left"/>
            </w:pPr>
            <w:r>
              <w:rPr>
                <w:rFonts w:ascii="Times New Roman" w:hAnsi="Times New Roman" w:cs="Times New Roman" w:eastAsia="Times New Roman"/>
                <w:sz w:val="20"/>
              </w:rPr>
              <w:t xml:space="preserve">[0.36, 0.60]</w:t>
            </w:r>
          </w:p>
        </w:tc>
        <w:tc>
          <w:tcPr>
            <w:tcW w:type="dxa" w:w="1500"/>
          </w:tcPr>
          <w:p>
            <w:pPr>
              <w:pStyle w:val="TableText"/>
              <w:keepNext/>
              <w:jc w:val="left"/>
            </w:pPr>
            <w:r>
              <w:rPr>
                <w:rFonts w:ascii="Times New Roman" w:hAnsi="Times New Roman" w:cs="Times New Roman" w:eastAsia="Times New Roman"/>
                <w:sz w:val="20"/>
              </w:rPr>
              <w:t xml:space="preserve">0.503</w:t>
            </w:r>
          </w:p>
        </w:tc>
        <w:tc>
          <w:tcPr>
            <w:tcW w:type="dxa" w:w="1506"/>
          </w:tcPr>
          <w:p>
            <w:pPr>
              <w:pStyle w:val="TableText"/>
              <w:keepNext/>
              <w:jc w:val="left"/>
            </w:pPr>
            <w:r>
              <w:rPr>
                <w:rFonts w:ascii="Times New Roman" w:hAnsi="Times New Roman" w:cs="Times New Roman" w:eastAsia="Times New Roman"/>
                <w:sz w:val="20"/>
              </w:rPr>
              <w:t xml:space="preserve">—</w:t>
            </w:r>
          </w:p>
        </w:tc>
      </w:tr>
      <w:tr>
        <w:trPr>
          <w:cantSplit/>
        </w:trPr>
        <w:tc>
          <w:tcPr>
            <w:tcW w:type="dxa" w:w="2900"/>
          </w:tcPr>
          <w:p>
            <w:pPr>
              <w:pStyle w:val="TableText"/>
              <w:jc w:val="left"/>
            </w:pPr>
            <w:r>
              <w:rPr>
                <w:rFonts w:ascii="Times New Roman" w:hAnsi="Times New Roman" w:cs="Times New Roman" w:eastAsia="Times New Roman"/>
                <w:sz w:val="20"/>
              </w:rPr>
              <w:t xml:space="preserve">Spectrum only (network)</w:t>
            </w:r>
          </w:p>
        </w:tc>
        <w:tc>
          <w:tcPr>
            <w:tcW w:type="dxa" w:w="900"/>
          </w:tcPr>
          <w:p>
            <w:pPr>
              <w:pStyle w:val="TableText"/>
              <w:jc w:val="left"/>
            </w:pPr>
            <w:r>
              <w:rPr>
                <w:rFonts w:ascii="Times New Roman" w:hAnsi="Times New Roman" w:cs="Times New Roman" w:eastAsia="Times New Roman"/>
                <w:sz w:val="20"/>
              </w:rPr>
              <w:t xml:space="preserve">0.618</w:t>
            </w:r>
          </w:p>
        </w:tc>
        <w:tc>
          <w:tcPr>
            <w:tcW w:type="dxa" w:w="1500"/>
          </w:tcPr>
          <w:p>
            <w:pPr>
              <w:pStyle w:val="TableText"/>
              <w:jc w:val="left"/>
            </w:pPr>
            <w:r>
              <w:rPr>
                <w:rFonts w:ascii="Times New Roman" w:hAnsi="Times New Roman" w:cs="Times New Roman" w:eastAsia="Times New Roman"/>
                <w:sz w:val="20"/>
              </w:rPr>
              <w:t xml:space="preserve">[0.50, 0.72]</w:t>
            </w:r>
          </w:p>
        </w:tc>
        <w:tc>
          <w:tcPr>
            <w:tcW w:type="dxa" w:w="1500"/>
          </w:tcPr>
          <w:p>
            <w:pPr>
              <w:pStyle w:val="TableText"/>
              <w:jc w:val="left"/>
            </w:pPr>
            <w:r>
              <w:rPr>
                <w:rFonts w:ascii="Times New Roman" w:hAnsi="Times New Roman" w:cs="Times New Roman" w:eastAsia="Times New Roman"/>
                <w:sz w:val="20"/>
              </w:rPr>
              <w:t xml:space="preserve">0.561</w:t>
            </w:r>
          </w:p>
        </w:tc>
        <w:tc>
          <w:tcPr>
            <w:tcW w:type="dxa" w:w="1506"/>
          </w:tcPr>
          <w:p>
            <w:pPr>
              <w:pStyle w:val="TableText"/>
              <w:jc w:val="left"/>
            </w:pPr>
            <w:r>
              <w:rPr>
                <w:rFonts w:ascii="Times New Roman" w:hAnsi="Times New Roman" w:cs="Times New Roman" w:eastAsia="Times New Roman"/>
                <w:sz w:val="20"/>
              </w:rPr>
              <w:t xml:space="preserve">—</w:t>
            </w:r>
          </w:p>
        </w:tc>
      </w:tr>
    </w:tbl>
    <w:p>
      <w:pPr>
        <w:spacing w:after="80" w:line="240" w:lineRule="auto"/>
      </w:pPr>
    </w:p>
    <w:p>
      <w:pPr>
        <w:keepNext/>
        <w:spacing w:before="120" w:after="40" w:line="240" w:lineRule="auto"/>
        <w:jc w:val="center"/>
      </w:pPr>
      <w:r>
        <w:drawing>
          <wp:inline xmlns:a="http://schemas.openxmlformats.org/drawingml/2006/main" xmlns:pic="http://schemas.openxmlformats.org/drawingml/2006/picture">
            <wp:extent cx="4900000" cy="2526562"/>
            <wp:docPr id="41" name="Picture 41"/>
            <wp:cNvGraphicFramePr>
              <a:graphicFrameLocks noChangeAspect="1"/>
            </wp:cNvGraphicFramePr>
            <a:graphic>
              <a:graphicData uri="http://schemas.openxmlformats.org/drawingml/2006/picture">
                <pic:pic>
                  <pic:nvPicPr>
                    <pic:cNvPr id="0" name="fig_real_cv.png"/>
                    <pic:cNvPicPr/>
                  </pic:nvPicPr>
                  <pic:blipFill>
                    <a:blip r:embed="rId49"/>
                    <a:stretch>
                      <a:fillRect/>
                    </a:stretch>
                  </pic:blipFill>
                  <pic:spPr>
                    <a:xfrm>
                      <a:off x="0" y="0"/>
                      <a:ext cx="4900000" cy="2526562"/>
                    </a:xfrm>
                    <a:prstGeom prst="rect"/>
                  </pic:spPr>
                </pic:pic>
              </a:graphicData>
            </a:graphic>
          </wp:inline>
        </w:drawing>
      </w:r>
    </w:p>
    <w:p>
      <w:pPr>
        <w:pStyle w:val="Caption"/>
      </w:pPr>
      <w:bookmarkStart w:id="1053" w:name="_Ref_Figure_5_9"/>
      <w:r>
        <w:rPr>
          <w:rFonts w:ascii="Times New Roman" w:hAnsi="Times New Roman" w:cs="Times New Roman" w:eastAsia="Times New Roman"/>
          <w:b/>
          <w:sz w:val="22"/>
        </w:rPr>
        <w:t xml:space="preserve">Figure 5.9: </w:t>
      </w:r>
      <w:r>
        <w:rPr>
          <w:rFonts w:ascii="Times New Roman" w:hAnsi="Times New Roman" w:cs="Times New Roman" w:eastAsia="Times New Roman"/>
          <w:sz w:val="22"/>
        </w:rPr>
        <w:t xml:space="preserve">Real cohorts: cross-validated ROC-AUC (dot: mean; bar: 95% bootstrap interval). Grey: classical models; blue: neural models. The dotted line is chance.</w:t>
      </w:r>
      <w:bookmarkEnd w:id="1053"/>
    </w:p>
    <w:p>
      <w:pPr>
        <w:pStyle w:val="BodyJ"/>
      </w:pPr>
      <w:r>
        <w:rPr>
          <w:rFonts w:ascii="Times New Roman" w:hAnsi="Times New Roman" w:cs="Times New Roman" w:eastAsia="Times New Roman"/>
          <w:b/>
        </w:rPr>
        <w:t xml:space="preserve">The signal is weak and fragile.</w:t>
      </w:r>
      <w:r>
        <w:rPr>
          <w:rFonts w:ascii="Times New Roman" w:hAnsi="Times New Roman" w:cs="Times New Roman" w:eastAsia="Times New Roman"/>
        </w:rPr>
        <w:t xml:space="preserve"> Linear models on spectral features reach a ROC-AUC of 0.56 to 0.57 (balanced accuracy 0.59). The within-cohort permutation test gives </w:t>
      </w:r>
      <w:r>
        <w:rPr>
          <w:rFonts w:ascii="Times New Roman" w:hAnsi="Times New Roman" w:cs="Times New Roman" w:eastAsia="Times New Roman"/>
          <w:i/>
        </w:rPr>
        <w:t xml:space="preserve">p</w:t>
      </w:r>
      <w:r>
        <w:rPr>
          <w:rFonts w:ascii="Times New Roman" w:hAnsi="Times New Roman" w:cs="Times New Roman" w:eastAsia="Times New Roman"/>
        </w:rPr>
        <w:t xml:space="preserve"> = 0.005 for the five band powers and </w:t>
      </w:r>
      <w:r>
        <w:rPr>
          <w:rFonts w:ascii="Times New Roman" w:hAnsi="Times New Roman" w:cs="Times New Roman" w:eastAsia="Times New Roman"/>
          <w:i/>
        </w:rPr>
        <w:t xml:space="preserve">p</w:t>
      </w:r>
      <w:r>
        <w:rPr>
          <w:rFonts w:ascii="Times New Roman" w:hAnsi="Times New Roman" w:cs="Times New Roman" w:eastAsia="Times New Roman"/>
        </w:rPr>
        <w:t xml:space="preserve"> = 0.025 for the full spectrum. This is nominally significant, but with five classical models tested only the band-power model survives a Bonferroni correction (adjusted </w:t>
      </w:r>
      <w:r>
        <w:rPr>
          <w:rFonts w:ascii="Times New Roman" w:hAnsi="Times New Roman" w:cs="Times New Roman" w:eastAsia="Times New Roman"/>
          <w:i/>
        </w:rPr>
        <w:t xml:space="preserve">p</w:t>
      </w:r>
      <w:r>
        <w:rPr>
          <w:rFonts w:ascii="Times New Roman" w:hAnsi="Times New Roman" w:cs="Times New Roman" w:eastAsia="Times New Roman"/>
        </w:rPr>
        <w:t xml:space="preserve"> = 0.025), and its bootstrap interval ([0.45, 0.68]) still includes 0.5, so the evidence is at best suggestive. A random forest on the same features is at chance (</w:t>
      </w:r>
      <w:r>
        <w:rPr>
          <w:rFonts w:ascii="Times New Roman" w:hAnsi="Times New Roman" w:cs="Times New Roman" w:eastAsia="Times New Roman"/>
          <w:i/>
        </w:rPr>
        <w:t xml:space="preserve">p</w:t>
      </w:r>
      <w:r>
        <w:rPr>
          <w:rFonts w:ascii="Times New Roman" w:hAnsi="Times New Roman" w:cs="Times New Roman" w:eastAsia="Times New Roman"/>
        </w:rPr>
        <w:t xml:space="preserve"> = 0.73), and MRI-derived features (PCA of an 8³ down-sampled volume) are not distinguishable from chance either (</w:t>
      </w:r>
      <w:r>
        <w:rPr>
          <w:rFonts w:ascii="Times New Roman" w:hAnsi="Times New Roman" w:cs="Times New Roman" w:eastAsia="Times New Roman"/>
          <w:i/>
        </w:rPr>
        <w:t xml:space="preserve">p</w:t>
      </w:r>
      <w:r>
        <w:rPr>
          <w:rFonts w:ascii="Times New Roman" w:hAnsi="Times New Roman" w:cs="Times New Roman" w:eastAsia="Times New Roman"/>
        </w:rPr>
        <w:t xml:space="preserve"> = 0.24). The neural models tell the same story: the best is the spectrum-only network (ROC-AUC 0.62, interval [0.50, 0.72]), while the full CAFN (0.51), the concatenation network (0.53) and the MRI-only network (0.48) are at chance. Adding the MRI stream therefore did not help on these cohorts and, if anything, hurt, which is consistent with an MRI branch that overfits the 76 training subjects of each fold.</w:t>
      </w:r>
    </w:p>
    <w:p>
      <w:pPr>
        <w:pStyle w:val="Heading2"/>
      </w:pPr>
      <w:r>
        <w:rPr>
          <w:rFonts w:ascii="Times New Roman" w:hAnsi="Times New Roman" w:cs="Times New Roman" w:eastAsia="Times New Roman"/>
          <w:b/>
          <w:sz w:val="28"/>
        </w:rPr>
        <w:t xml:space="preserve">5.12  POOLED AND LEAVE-ONE-COHORT-OUT CAFN</w:t>
      </w:r>
    </w:p>
    <w:p>
      <w:pPr>
        <w:pStyle w:val="BodyJ"/>
      </w:pPr>
      <w:r>
        <w:rPr>
          <w:rFonts w:ascii="Times New Roman" w:hAnsi="Times New Roman" w:cs="Times New Roman" w:eastAsia="Times New Roman"/>
        </w:rPr>
        <w:t xml:space="preserve">Table 5.12 shows the full CAFN (64³ MRI) trained on the pooled cohorts and evaluated on each cohort's held-out test subjects (7 per cohort), and trained on one cohort and tested on every subject of the other (leave-one-cohort-out; Study B, real cohorts). Values are mean ± SD over 3 repeats, test subjects only.</w:t>
      </w:r>
    </w:p>
    <w:p>
      <w:pPr>
        <w:pStyle w:val="Caption"/>
        <w:keepNext/>
        <w:spacing w:before="160" w:after="80"/>
      </w:pPr>
      <w:bookmarkStart w:id="1054" w:name="_Ref_Table_5_12"/>
      <w:r>
        <w:rPr>
          <w:rFonts w:ascii="Times New Roman" w:hAnsi="Times New Roman" w:cs="Times New Roman" w:eastAsia="Times New Roman"/>
          <w:b/>
          <w:sz w:val="22"/>
        </w:rPr>
        <w:t xml:space="preserve">Table 5.12: </w:t>
      </w:r>
      <w:r>
        <w:rPr>
          <w:rFonts w:ascii="Times New Roman" w:hAnsi="Times New Roman" w:cs="Times New Roman" w:eastAsia="Times New Roman"/>
          <w:sz w:val="22"/>
        </w:rPr>
        <w:t xml:space="preserve">CAFN on the real cohorts (mean ± SD over 3 repeats; test subjects only).</w:t>
      </w:r>
      <w:bookmarkEnd w:id="1054"/>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700"/>
        <w:gridCol w:w="1500"/>
        <w:gridCol w:w="1600"/>
        <w:gridCol w:w="1506"/>
      </w:tblGrid>
      <w:tr>
        <w:trPr>
          <w:cantSplit/>
          <w:tblHeader/>
        </w:trPr>
        <w:tc>
          <w:tcPr>
            <w:tcW w:type="dxa" w:w="3700"/>
            <w:shd w:val="clear" w:color="auto" w:fill="D9D9D9"/>
          </w:tcPr>
          <w:p>
            <w:pPr>
              <w:pStyle w:val="TableText"/>
              <w:keepNext/>
              <w:jc w:val="left"/>
            </w:pPr>
            <w:r>
              <w:rPr>
                <w:rFonts w:ascii="Times New Roman" w:hAnsi="Times New Roman" w:cs="Times New Roman" w:eastAsia="Times New Roman"/>
                <w:b/>
                <w:sz w:val="20"/>
              </w:rPr>
              <w:t xml:space="preserve">Setting</w:t>
            </w:r>
          </w:p>
        </w:tc>
        <w:tc>
          <w:tcPr>
            <w:tcW w:type="dxa" w:w="1500"/>
            <w:shd w:val="clear" w:color="auto" w:fill="D9D9D9"/>
          </w:tcPr>
          <w:p>
            <w:pPr>
              <w:pStyle w:val="TableText"/>
              <w:keepNext/>
              <w:jc w:val="left"/>
            </w:pPr>
            <w:r>
              <w:rPr>
                <w:rFonts w:ascii="Times New Roman" w:hAnsi="Times New Roman" w:cs="Times New Roman" w:eastAsia="Times New Roman"/>
                <w:b/>
                <w:sz w:val="20"/>
              </w:rPr>
              <w:t xml:space="preserve">Accuracy</w:t>
            </w:r>
          </w:p>
        </w:tc>
        <w:tc>
          <w:tcPr>
            <w:tcW w:type="dxa" w:w="1600"/>
            <w:shd w:val="clear" w:color="auto" w:fill="D9D9D9"/>
          </w:tcPr>
          <w:p>
            <w:pPr>
              <w:pStyle w:val="TableText"/>
              <w:keepNext/>
              <w:jc w:val="left"/>
            </w:pPr>
            <w:r>
              <w:rPr>
                <w:rFonts w:ascii="Times New Roman" w:hAnsi="Times New Roman" w:cs="Times New Roman" w:eastAsia="Times New Roman"/>
                <w:b/>
                <w:sz w:val="20"/>
              </w:rPr>
              <w:t xml:space="preserve">Balanced accuracy</w:t>
            </w:r>
          </w:p>
        </w:tc>
        <w:tc>
          <w:tcPr>
            <w:tcW w:type="dxa" w:w="1506"/>
            <w:shd w:val="clear" w:color="auto" w:fill="D9D9D9"/>
          </w:tcPr>
          <w:p>
            <w:pPr>
              <w:pStyle w:val="TableText"/>
              <w:keepNext/>
              <w:jc w:val="left"/>
            </w:pPr>
            <w:r>
              <w:rPr>
                <w:rFonts w:ascii="Times New Roman" w:hAnsi="Times New Roman" w:cs="Times New Roman" w:eastAsia="Times New Roman"/>
                <w:b/>
                <w:sz w:val="20"/>
              </w:rPr>
              <w:t xml:space="preserve">ROC-AUC</w:t>
            </w:r>
          </w:p>
        </w:tc>
      </w:tr>
      <w:tr>
        <w:trPr>
          <w:cantSplit/>
        </w:trPr>
        <w:tc>
          <w:tcPr>
            <w:tcW w:type="dxa" w:w="3700"/>
          </w:tcPr>
          <w:p>
            <w:pPr>
              <w:pStyle w:val="TableText"/>
              <w:keepNext/>
              <w:jc w:val="left"/>
            </w:pPr>
            <w:r>
              <w:rPr>
                <w:rFonts w:ascii="Times New Roman" w:hAnsi="Times New Roman" w:cs="Times New Roman" w:eastAsia="Times New Roman"/>
                <w:sz w:val="20"/>
              </w:rPr>
              <w:t xml:space="preserve">Pooled model, test subjects of both cohorts</w:t>
            </w:r>
          </w:p>
        </w:tc>
        <w:tc>
          <w:tcPr>
            <w:tcW w:type="dxa" w:w="1500"/>
          </w:tcPr>
          <w:p>
            <w:pPr>
              <w:pStyle w:val="TableText"/>
              <w:keepNext/>
              <w:jc w:val="left"/>
            </w:pPr>
            <w:r>
              <w:rPr>
                <w:rFonts w:ascii="Times New Roman" w:hAnsi="Times New Roman" w:cs="Times New Roman" w:eastAsia="Times New Roman"/>
                <w:sz w:val="20"/>
              </w:rPr>
              <w:t xml:space="preserve">0.52 ± 0.04</w:t>
            </w:r>
          </w:p>
        </w:tc>
        <w:tc>
          <w:tcPr>
            <w:tcW w:type="dxa" w:w="1600"/>
          </w:tcPr>
          <w:p>
            <w:pPr>
              <w:pStyle w:val="TableText"/>
              <w:keepNext/>
              <w:jc w:val="left"/>
            </w:pPr>
            <w:r>
              <w:rPr>
                <w:rFonts w:ascii="Times New Roman" w:hAnsi="Times New Roman" w:cs="Times New Roman" w:eastAsia="Times New Roman"/>
                <w:sz w:val="20"/>
              </w:rPr>
              <w:t xml:space="preserve">0.52 ± 0.04</w:t>
            </w:r>
          </w:p>
        </w:tc>
        <w:tc>
          <w:tcPr>
            <w:tcW w:type="dxa" w:w="1506"/>
          </w:tcPr>
          <w:p>
            <w:pPr>
              <w:pStyle w:val="TableText"/>
              <w:keepNext/>
              <w:jc w:val="left"/>
            </w:pPr>
            <w:r>
              <w:rPr>
                <w:rFonts w:ascii="Times New Roman" w:hAnsi="Times New Roman" w:cs="Times New Roman" w:eastAsia="Times New Roman"/>
                <w:sz w:val="20"/>
              </w:rPr>
              <w:t xml:space="preserve">0.61 ± 0.09</w:t>
            </w:r>
          </w:p>
        </w:tc>
      </w:tr>
      <w:tr>
        <w:trPr>
          <w:cantSplit/>
        </w:trPr>
        <w:tc>
          <w:tcPr>
            <w:tcW w:type="dxa" w:w="3700"/>
          </w:tcPr>
          <w:p>
            <w:pPr>
              <w:pStyle w:val="TableText"/>
              <w:keepNext/>
              <w:jc w:val="left"/>
            </w:pPr>
            <w:r>
              <w:rPr>
                <w:rFonts w:ascii="Times New Roman" w:hAnsi="Times New Roman" w:cs="Times New Roman" w:eastAsia="Times New Roman"/>
                <w:sz w:val="20"/>
              </w:rPr>
              <w:t xml:space="preserve">Pooled model, test subjects of ds003568</w:t>
            </w:r>
          </w:p>
        </w:tc>
        <w:tc>
          <w:tcPr>
            <w:tcW w:type="dxa" w:w="1500"/>
          </w:tcPr>
          <w:p>
            <w:pPr>
              <w:pStyle w:val="TableText"/>
              <w:keepNext/>
              <w:jc w:val="left"/>
            </w:pPr>
            <w:r>
              <w:rPr>
                <w:rFonts w:ascii="Times New Roman" w:hAnsi="Times New Roman" w:cs="Times New Roman" w:eastAsia="Times New Roman"/>
                <w:sz w:val="20"/>
              </w:rPr>
              <w:t xml:space="preserve">0.52 ± 0.08</w:t>
            </w:r>
          </w:p>
        </w:tc>
        <w:tc>
          <w:tcPr>
            <w:tcW w:type="dxa" w:w="1600"/>
          </w:tcPr>
          <w:p>
            <w:pPr>
              <w:pStyle w:val="TableText"/>
              <w:keepNext/>
              <w:jc w:val="left"/>
            </w:pPr>
            <w:r>
              <w:rPr>
                <w:rFonts w:ascii="Times New Roman" w:hAnsi="Times New Roman" w:cs="Times New Roman" w:eastAsia="Times New Roman"/>
                <w:sz w:val="20"/>
              </w:rPr>
              <w:t xml:space="preserve">0.46 ± 0.07</w:t>
            </w:r>
          </w:p>
        </w:tc>
        <w:tc>
          <w:tcPr>
            <w:tcW w:type="dxa" w:w="1506"/>
          </w:tcPr>
          <w:p>
            <w:pPr>
              <w:pStyle w:val="TableText"/>
              <w:keepNext/>
              <w:jc w:val="left"/>
            </w:pPr>
            <w:r>
              <w:rPr>
                <w:rFonts w:ascii="Times New Roman" w:hAnsi="Times New Roman" w:cs="Times New Roman" w:eastAsia="Times New Roman"/>
                <w:sz w:val="20"/>
              </w:rPr>
              <w:t xml:space="preserve">0.61 ± 0.17</w:t>
            </w:r>
          </w:p>
        </w:tc>
      </w:tr>
      <w:tr>
        <w:trPr>
          <w:cantSplit/>
        </w:trPr>
        <w:tc>
          <w:tcPr>
            <w:tcW w:type="dxa" w:w="3700"/>
          </w:tcPr>
          <w:p>
            <w:pPr>
              <w:pStyle w:val="TableText"/>
              <w:keepNext/>
              <w:jc w:val="left"/>
            </w:pPr>
            <w:r>
              <w:rPr>
                <w:rFonts w:ascii="Times New Roman" w:hAnsi="Times New Roman" w:cs="Times New Roman" w:eastAsia="Times New Roman"/>
                <w:sz w:val="20"/>
              </w:rPr>
              <w:t xml:space="preserve">Pooled model, test subjects of ds007181</w:t>
            </w:r>
          </w:p>
        </w:tc>
        <w:tc>
          <w:tcPr>
            <w:tcW w:type="dxa" w:w="1500"/>
          </w:tcPr>
          <w:p>
            <w:pPr>
              <w:pStyle w:val="TableText"/>
              <w:keepNext/>
              <w:jc w:val="left"/>
            </w:pPr>
            <w:r>
              <w:rPr>
                <w:rFonts w:ascii="Times New Roman" w:hAnsi="Times New Roman" w:cs="Times New Roman" w:eastAsia="Times New Roman"/>
                <w:sz w:val="20"/>
              </w:rPr>
              <w:t xml:space="preserve">0.52 ± 0.08</w:t>
            </w:r>
          </w:p>
        </w:tc>
        <w:tc>
          <w:tcPr>
            <w:tcW w:type="dxa" w:w="1600"/>
          </w:tcPr>
          <w:p>
            <w:pPr>
              <w:pStyle w:val="TableText"/>
              <w:keepNext/>
              <w:jc w:val="left"/>
            </w:pPr>
            <w:r>
              <w:rPr>
                <w:rFonts w:ascii="Times New Roman" w:hAnsi="Times New Roman" w:cs="Times New Roman" w:eastAsia="Times New Roman"/>
                <w:sz w:val="20"/>
              </w:rPr>
              <w:t xml:space="preserve">0.54 ± 0.07</w:t>
            </w:r>
          </w:p>
        </w:tc>
        <w:tc>
          <w:tcPr>
            <w:tcW w:type="dxa" w:w="1506"/>
          </w:tcPr>
          <w:p>
            <w:pPr>
              <w:pStyle w:val="TableText"/>
              <w:keepNext/>
              <w:jc w:val="left"/>
            </w:pPr>
            <w:r>
              <w:rPr>
                <w:rFonts w:ascii="Times New Roman" w:hAnsi="Times New Roman" w:cs="Times New Roman" w:eastAsia="Times New Roman"/>
                <w:sz w:val="20"/>
              </w:rPr>
              <w:t xml:space="preserve">0.53 ± 0.17</w:t>
            </w:r>
          </w:p>
        </w:tc>
      </w:tr>
      <w:tr>
        <w:trPr>
          <w:cantSplit/>
        </w:trPr>
        <w:tc>
          <w:tcPr>
            <w:tcW w:type="dxa" w:w="3700"/>
          </w:tcPr>
          <w:p>
            <w:pPr>
              <w:pStyle w:val="TableText"/>
              <w:keepNext/>
              <w:jc w:val="left"/>
            </w:pPr>
            <w:r>
              <w:rPr>
                <w:rFonts w:ascii="Times New Roman" w:hAnsi="Times New Roman" w:cs="Times New Roman" w:eastAsia="Times New Roman"/>
                <w:sz w:val="20"/>
              </w:rPr>
              <w:t xml:space="preserve">Leave-one-cohort-out, tested on ds003568</w:t>
            </w:r>
          </w:p>
        </w:tc>
        <w:tc>
          <w:tcPr>
            <w:tcW w:type="dxa" w:w="1500"/>
          </w:tcPr>
          <w:p>
            <w:pPr>
              <w:pStyle w:val="TableText"/>
              <w:keepNext/>
              <w:jc w:val="left"/>
            </w:pPr>
            <w:r>
              <w:rPr>
                <w:rFonts w:ascii="Times New Roman" w:hAnsi="Times New Roman" w:cs="Times New Roman" w:eastAsia="Times New Roman"/>
                <w:sz w:val="20"/>
              </w:rPr>
              <w:t xml:space="preserve">0.48 ± 0.09</w:t>
            </w:r>
          </w:p>
        </w:tc>
        <w:tc>
          <w:tcPr>
            <w:tcW w:type="dxa" w:w="1600"/>
          </w:tcPr>
          <w:p>
            <w:pPr>
              <w:pStyle w:val="TableText"/>
              <w:keepNext/>
              <w:jc w:val="left"/>
            </w:pPr>
            <w:r>
              <w:rPr>
                <w:rFonts w:ascii="Times New Roman" w:hAnsi="Times New Roman" w:cs="Times New Roman" w:eastAsia="Times New Roman"/>
                <w:sz w:val="20"/>
              </w:rPr>
              <w:t xml:space="preserve">0.46 ± 0.04</w:t>
            </w:r>
          </w:p>
        </w:tc>
        <w:tc>
          <w:tcPr>
            <w:tcW w:type="dxa" w:w="1506"/>
          </w:tcPr>
          <w:p>
            <w:pPr>
              <w:pStyle w:val="TableText"/>
              <w:keepNext/>
              <w:jc w:val="left"/>
            </w:pPr>
            <w:r>
              <w:rPr>
                <w:rFonts w:ascii="Times New Roman" w:hAnsi="Times New Roman" w:cs="Times New Roman" w:eastAsia="Times New Roman"/>
                <w:sz w:val="20"/>
              </w:rPr>
              <w:t xml:space="preserve">0.57 ± 0.08</w:t>
            </w:r>
          </w:p>
        </w:tc>
      </w:tr>
      <w:tr>
        <w:trPr>
          <w:cantSplit/>
        </w:trPr>
        <w:tc>
          <w:tcPr>
            <w:tcW w:type="dxa" w:w="3700"/>
          </w:tcPr>
          <w:p>
            <w:pPr>
              <w:pStyle w:val="TableText"/>
              <w:jc w:val="left"/>
            </w:pPr>
            <w:r>
              <w:rPr>
                <w:rFonts w:ascii="Times New Roman" w:hAnsi="Times New Roman" w:cs="Times New Roman" w:eastAsia="Times New Roman"/>
                <w:sz w:val="20"/>
              </w:rPr>
              <w:t xml:space="preserve">Leave-one-cohort-out, tested on ds007181</w:t>
            </w:r>
          </w:p>
        </w:tc>
        <w:tc>
          <w:tcPr>
            <w:tcW w:type="dxa" w:w="1500"/>
          </w:tcPr>
          <w:p>
            <w:pPr>
              <w:pStyle w:val="TableText"/>
              <w:jc w:val="left"/>
            </w:pPr>
            <w:r>
              <w:rPr>
                <w:rFonts w:ascii="Times New Roman" w:hAnsi="Times New Roman" w:cs="Times New Roman" w:eastAsia="Times New Roman"/>
                <w:sz w:val="20"/>
              </w:rPr>
              <w:t xml:space="preserve">0.45 ± 0.02</w:t>
            </w:r>
          </w:p>
        </w:tc>
        <w:tc>
          <w:tcPr>
            <w:tcW w:type="dxa" w:w="1600"/>
          </w:tcPr>
          <w:p>
            <w:pPr>
              <w:pStyle w:val="TableText"/>
              <w:jc w:val="left"/>
            </w:pPr>
            <w:r>
              <w:rPr>
                <w:rFonts w:ascii="Times New Roman" w:hAnsi="Times New Roman" w:cs="Times New Roman" w:eastAsia="Times New Roman"/>
                <w:sz w:val="20"/>
              </w:rPr>
              <w:t xml:space="preserve">0.49 ± 0.05</w:t>
            </w:r>
          </w:p>
        </w:tc>
        <w:tc>
          <w:tcPr>
            <w:tcW w:type="dxa" w:w="1506"/>
          </w:tcPr>
          <w:p>
            <w:pPr>
              <w:pStyle w:val="TableText"/>
              <w:jc w:val="left"/>
            </w:pPr>
            <w:r>
              <w:rPr>
                <w:rFonts w:ascii="Times New Roman" w:hAnsi="Times New Roman" w:cs="Times New Roman" w:eastAsia="Times New Roman"/>
                <w:sz w:val="20"/>
              </w:rPr>
              <w:t xml:space="preserve">0.44 ± 0.03</w:t>
            </w:r>
          </w:p>
        </w:tc>
      </w:tr>
    </w:tbl>
    <w:p>
      <w:pPr>
        <w:spacing w:after="80" w:line="240" w:lineRule="auto"/>
      </w:pPr>
    </w:p>
    <w:p>
      <w:pPr>
        <w:pStyle w:val="BodyJ"/>
      </w:pPr>
      <w:r>
        <w:rPr>
          <w:rFonts w:ascii="Times New Roman" w:hAnsi="Times New Roman" w:cs="Times New Roman" w:eastAsia="Times New Roman"/>
        </w:rPr>
        <w:t xml:space="preserve">All accuracies lie between 0.45 and 0.52 and all balanced accuracies between 0.46 and 0.54: the model is at chance, with variation across repeats larger than any difference between settings. Figure 5.10 shows why: the training loss falls to nearly zero within about 30 epochs while the validation accuracy stays near 0.5, so the model memorises the roughly 67 training subjects.</w:t>
      </w:r>
    </w:p>
    <w:p>
      <w:pPr>
        <w:keepNext/>
        <w:spacing w:before="120" w:after="40" w:line="240" w:lineRule="auto"/>
        <w:jc w:val="center"/>
      </w:pPr>
      <w:r>
        <w:drawing>
          <wp:inline xmlns:a="http://schemas.openxmlformats.org/drawingml/2006/main" xmlns:pic="http://schemas.openxmlformats.org/drawingml/2006/picture">
            <wp:extent cx="5000000" cy="1953125"/>
            <wp:docPr id="42" name="Picture 42"/>
            <wp:cNvGraphicFramePr>
              <a:graphicFrameLocks noChangeAspect="1"/>
            </wp:cNvGraphicFramePr>
            <a:graphic>
              <a:graphicData uri="http://schemas.openxmlformats.org/drawingml/2006/picture">
                <pic:pic>
                  <pic:nvPicPr>
                    <pic:cNvPr id="0" name="fig_real_curves.png"/>
                    <pic:cNvPicPr/>
                  </pic:nvPicPr>
                  <pic:blipFill>
                    <a:blip r:embed="rId50"/>
                    <a:stretch>
                      <a:fillRect/>
                    </a:stretch>
                  </pic:blipFill>
                  <pic:spPr>
                    <a:xfrm>
                      <a:off x="0" y="0"/>
                      <a:ext cx="5000000" cy="1953125"/>
                    </a:xfrm>
                    <a:prstGeom prst="rect"/>
                  </pic:spPr>
                </pic:pic>
              </a:graphicData>
            </a:graphic>
          </wp:inline>
        </w:drawing>
      </w:r>
    </w:p>
    <w:p>
      <w:pPr>
        <w:pStyle w:val="Caption"/>
      </w:pPr>
      <w:bookmarkStart w:id="1055" w:name="_Ref_Figure_5_10"/>
      <w:r>
        <w:rPr>
          <w:rFonts w:ascii="Times New Roman" w:hAnsi="Times New Roman" w:cs="Times New Roman" w:eastAsia="Times New Roman"/>
          <w:b/>
          <w:sz w:val="22"/>
        </w:rPr>
        <w:t xml:space="preserve">Figure 5.10: </w:t>
      </w:r>
      <w:r>
        <w:rPr>
          <w:rFonts w:ascii="Times New Roman" w:hAnsi="Times New Roman" w:cs="Times New Roman" w:eastAsia="Times New Roman"/>
          <w:sz w:val="22"/>
        </w:rPr>
        <w:t xml:space="preserve">Pooled CAFN on the real cohorts, repeat 0: training versus validation loss and accuracy. The validation curve stays near chance while the training loss vanishes.</w:t>
      </w:r>
      <w:bookmarkEnd w:id="1055"/>
    </w:p>
    <w:p>
      <w:pPr>
        <w:pStyle w:val="BodyJ"/>
      </w:pPr>
      <w:r>
        <w:rPr>
          <w:rFonts w:ascii="Times New Roman" w:hAnsi="Times New Roman" w:cs="Times New Roman" w:eastAsia="Times New Roman"/>
        </w:rPr>
        <w:t xml:space="preserve">The classical models do not transfer either (Table 5.13): across cohorts the ROC-AUC ranges from 0.40 to 0.63 and the balanced accuracy is 0.43 to 0.51. The spectrum model trained on one cohort reaches a ROC-AUC of 0.63 on ds003568 but a balanced accuracy of 0.50, which shows that the ranking transfers weakly while the decision threshold does not (different sensors and recording protocols shift the spectrum).</w:t>
      </w:r>
    </w:p>
    <w:p>
      <w:pPr>
        <w:pStyle w:val="Caption"/>
        <w:keepNext/>
        <w:spacing w:before="160" w:after="80"/>
      </w:pPr>
      <w:bookmarkStart w:id="1056" w:name="_Ref_Table_5_13"/>
      <w:r>
        <w:rPr>
          <w:rFonts w:ascii="Times New Roman" w:hAnsi="Times New Roman" w:cs="Times New Roman" w:eastAsia="Times New Roman"/>
          <w:b/>
          <w:sz w:val="22"/>
        </w:rPr>
        <w:t xml:space="preserve">Table 5.13: </w:t>
      </w:r>
      <w:r>
        <w:rPr>
          <w:rFonts w:ascii="Times New Roman" w:hAnsi="Times New Roman" w:cs="Times New Roman" w:eastAsia="Times New Roman"/>
          <w:sz w:val="22"/>
        </w:rPr>
        <w:t xml:space="preserve">Leave-one-cohort-out for the classical models (real cohorts): ROC-AUC / balanced accuracy on the named test cohort after training on the other.</w:t>
      </w:r>
      <w:bookmarkEnd w:id="1056"/>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300"/>
        <w:gridCol w:w="2500"/>
        <w:gridCol w:w="2506"/>
      </w:tblGrid>
      <w:tr>
        <w:trPr>
          <w:cantSplit/>
          <w:tblHeader/>
        </w:trPr>
        <w:tc>
          <w:tcPr>
            <w:tcW w:type="dxa" w:w="3300"/>
            <w:shd w:val="clear" w:color="auto" w:fill="D9D9D9"/>
          </w:tcPr>
          <w:p>
            <w:pPr>
              <w:pStyle w:val="TableText"/>
              <w:keepNext/>
              <w:jc w:val="left"/>
            </w:pPr>
            <w:r>
              <w:rPr>
                <w:rFonts w:ascii="Times New Roman" w:hAnsi="Times New Roman" w:cs="Times New Roman" w:eastAsia="Times New Roman"/>
                <w:b/>
                <w:sz w:val="20"/>
              </w:rPr>
              <w:t xml:space="preserve">Model</w:t>
            </w:r>
          </w:p>
        </w:tc>
        <w:tc>
          <w:tcPr>
            <w:tcW w:type="dxa" w:w="2500"/>
            <w:shd w:val="clear" w:color="auto" w:fill="D9D9D9"/>
          </w:tcPr>
          <w:p>
            <w:pPr>
              <w:pStyle w:val="TableText"/>
              <w:keepNext/>
              <w:jc w:val="left"/>
            </w:pPr>
            <w:r>
              <w:rPr>
                <w:rFonts w:ascii="Times New Roman" w:hAnsi="Times New Roman" w:cs="Times New Roman" w:eastAsia="Times New Roman"/>
                <w:b/>
                <w:sz w:val="20"/>
              </w:rPr>
              <w:t xml:space="preserve">Test ds003568</w:t>
            </w:r>
          </w:p>
        </w:tc>
        <w:tc>
          <w:tcPr>
            <w:tcW w:type="dxa" w:w="2506"/>
            <w:shd w:val="clear" w:color="auto" w:fill="D9D9D9"/>
          </w:tcPr>
          <w:p>
            <w:pPr>
              <w:pStyle w:val="TableText"/>
              <w:keepNext/>
              <w:jc w:val="left"/>
            </w:pPr>
            <w:r>
              <w:rPr>
                <w:rFonts w:ascii="Times New Roman" w:hAnsi="Times New Roman" w:cs="Times New Roman" w:eastAsia="Times New Roman"/>
                <w:b/>
                <w:sz w:val="20"/>
              </w:rPr>
              <w:t xml:space="preserve">Test ds007181</w:t>
            </w:r>
          </w:p>
        </w:tc>
      </w:tr>
      <w:tr>
        <w:trPr>
          <w:cantSplit/>
        </w:trPr>
        <w:tc>
          <w:tcPr>
            <w:tcW w:type="dxa" w:w="3300"/>
          </w:tcPr>
          <w:p>
            <w:pPr>
              <w:pStyle w:val="TableText"/>
              <w:keepNext/>
              <w:jc w:val="left"/>
            </w:pPr>
            <w:r>
              <w:rPr>
                <w:rFonts w:ascii="Times New Roman" w:hAnsi="Times New Roman" w:cs="Times New Roman" w:eastAsia="Times New Roman"/>
                <w:sz w:val="20"/>
              </w:rPr>
              <w:t xml:space="preserve">Spectrum (500-point) · logistic regression</w:t>
            </w:r>
          </w:p>
        </w:tc>
        <w:tc>
          <w:tcPr>
            <w:tcW w:type="dxa" w:w="2500"/>
          </w:tcPr>
          <w:p>
            <w:pPr>
              <w:pStyle w:val="TableText"/>
              <w:keepNext/>
              <w:jc w:val="left"/>
            </w:pPr>
            <w:r>
              <w:rPr>
                <w:rFonts w:ascii="Times New Roman" w:hAnsi="Times New Roman" w:cs="Times New Roman" w:eastAsia="Times New Roman"/>
                <w:sz w:val="20"/>
              </w:rPr>
              <w:t xml:space="preserve">0.63 / 0.50</w:t>
            </w:r>
          </w:p>
        </w:tc>
        <w:tc>
          <w:tcPr>
            <w:tcW w:type="dxa" w:w="2506"/>
          </w:tcPr>
          <w:p>
            <w:pPr>
              <w:pStyle w:val="TableText"/>
              <w:keepNext/>
              <w:jc w:val="left"/>
            </w:pPr>
            <w:r>
              <w:rPr>
                <w:rFonts w:ascii="Times New Roman" w:hAnsi="Times New Roman" w:cs="Times New Roman" w:eastAsia="Times New Roman"/>
                <w:sz w:val="20"/>
              </w:rPr>
              <w:t xml:space="preserve">0.57 / 0.50</w:t>
            </w:r>
          </w:p>
        </w:tc>
      </w:tr>
      <w:tr>
        <w:trPr>
          <w:cantSplit/>
        </w:trPr>
        <w:tc>
          <w:tcPr>
            <w:tcW w:type="dxa" w:w="3300"/>
          </w:tcPr>
          <w:p>
            <w:pPr>
              <w:pStyle w:val="TableText"/>
              <w:keepNext/>
              <w:jc w:val="left"/>
            </w:pPr>
            <w:r>
              <w:rPr>
                <w:rFonts w:ascii="Times New Roman" w:hAnsi="Times New Roman" w:cs="Times New Roman" w:eastAsia="Times New Roman"/>
                <w:sz w:val="20"/>
              </w:rPr>
              <w:t xml:space="preserve">Band powers (5) · logistic regression</w:t>
            </w:r>
          </w:p>
        </w:tc>
        <w:tc>
          <w:tcPr>
            <w:tcW w:type="dxa" w:w="2500"/>
          </w:tcPr>
          <w:p>
            <w:pPr>
              <w:pStyle w:val="TableText"/>
              <w:keepNext/>
              <w:jc w:val="left"/>
            </w:pPr>
            <w:r>
              <w:rPr>
                <w:rFonts w:ascii="Times New Roman" w:hAnsi="Times New Roman" w:cs="Times New Roman" w:eastAsia="Times New Roman"/>
                <w:sz w:val="20"/>
              </w:rPr>
              <w:t xml:space="preserve">0.50 / 0.50</w:t>
            </w:r>
          </w:p>
        </w:tc>
        <w:tc>
          <w:tcPr>
            <w:tcW w:type="dxa" w:w="2506"/>
          </w:tcPr>
          <w:p>
            <w:pPr>
              <w:pStyle w:val="TableText"/>
              <w:keepNext/>
              <w:jc w:val="left"/>
            </w:pPr>
            <w:r>
              <w:rPr>
                <w:rFonts w:ascii="Times New Roman" w:hAnsi="Times New Roman" w:cs="Times New Roman" w:eastAsia="Times New Roman"/>
                <w:sz w:val="20"/>
              </w:rPr>
              <w:t xml:space="preserve">0.48 / 0.50</w:t>
            </w:r>
          </w:p>
        </w:tc>
      </w:tr>
      <w:tr>
        <w:trPr>
          <w:cantSplit/>
        </w:trPr>
        <w:tc>
          <w:tcPr>
            <w:tcW w:type="dxa" w:w="3300"/>
          </w:tcPr>
          <w:p>
            <w:pPr>
              <w:pStyle w:val="TableText"/>
              <w:keepNext/>
              <w:jc w:val="left"/>
            </w:pPr>
            <w:r>
              <w:rPr>
                <w:rFonts w:ascii="Times New Roman" w:hAnsi="Times New Roman" w:cs="Times New Roman" w:eastAsia="Times New Roman"/>
                <w:sz w:val="20"/>
              </w:rPr>
              <w:t xml:space="preserve">Band powers (5) · random forest</w:t>
            </w:r>
          </w:p>
        </w:tc>
        <w:tc>
          <w:tcPr>
            <w:tcW w:type="dxa" w:w="2500"/>
          </w:tcPr>
          <w:p>
            <w:pPr>
              <w:pStyle w:val="TableText"/>
              <w:keepNext/>
              <w:jc w:val="left"/>
            </w:pPr>
            <w:r>
              <w:rPr>
                <w:rFonts w:ascii="Times New Roman" w:hAnsi="Times New Roman" w:cs="Times New Roman" w:eastAsia="Times New Roman"/>
                <w:sz w:val="20"/>
              </w:rPr>
              <w:t xml:space="preserve">0.50 / 0.50</w:t>
            </w:r>
          </w:p>
        </w:tc>
        <w:tc>
          <w:tcPr>
            <w:tcW w:type="dxa" w:w="2506"/>
          </w:tcPr>
          <w:p>
            <w:pPr>
              <w:pStyle w:val="TableText"/>
              <w:keepNext/>
              <w:jc w:val="left"/>
            </w:pPr>
            <w:r>
              <w:rPr>
                <w:rFonts w:ascii="Times New Roman" w:hAnsi="Times New Roman" w:cs="Times New Roman" w:eastAsia="Times New Roman"/>
                <w:sz w:val="20"/>
              </w:rPr>
              <w:t xml:space="preserve">0.50 / 0.50</w:t>
            </w:r>
          </w:p>
        </w:tc>
      </w:tr>
      <w:tr>
        <w:trPr>
          <w:cantSplit/>
        </w:trPr>
        <w:tc>
          <w:tcPr>
            <w:tcW w:type="dxa" w:w="3300"/>
          </w:tcPr>
          <w:p>
            <w:pPr>
              <w:pStyle w:val="TableText"/>
              <w:keepNext/>
              <w:jc w:val="left"/>
            </w:pPr>
            <w:r>
              <w:rPr>
                <w:rFonts w:ascii="Times New Roman" w:hAnsi="Times New Roman" w:cs="Times New Roman" w:eastAsia="Times New Roman"/>
                <w:sz w:val="20"/>
              </w:rPr>
              <w:t xml:space="preserve">MRI (8³ → PCA-20) · logistic regression</w:t>
            </w:r>
          </w:p>
        </w:tc>
        <w:tc>
          <w:tcPr>
            <w:tcW w:type="dxa" w:w="2500"/>
          </w:tcPr>
          <w:p>
            <w:pPr>
              <w:pStyle w:val="TableText"/>
              <w:keepNext/>
              <w:jc w:val="left"/>
            </w:pPr>
            <w:r>
              <w:rPr>
                <w:rFonts w:ascii="Times New Roman" w:hAnsi="Times New Roman" w:cs="Times New Roman" w:eastAsia="Times New Roman"/>
                <w:sz w:val="20"/>
              </w:rPr>
              <w:t xml:space="preserve">0.40 / 0.43</w:t>
            </w:r>
          </w:p>
        </w:tc>
        <w:tc>
          <w:tcPr>
            <w:tcW w:type="dxa" w:w="2506"/>
          </w:tcPr>
          <w:p>
            <w:pPr>
              <w:pStyle w:val="TableText"/>
              <w:keepNext/>
              <w:jc w:val="left"/>
            </w:pPr>
            <w:r>
              <w:rPr>
                <w:rFonts w:ascii="Times New Roman" w:hAnsi="Times New Roman" w:cs="Times New Roman" w:eastAsia="Times New Roman"/>
                <w:sz w:val="20"/>
              </w:rPr>
              <w:t xml:space="preserve">0.44 / 0.47</w:t>
            </w:r>
          </w:p>
        </w:tc>
      </w:tr>
      <w:tr>
        <w:trPr>
          <w:cantSplit/>
        </w:trPr>
        <w:tc>
          <w:tcPr>
            <w:tcW w:type="dxa" w:w="3300"/>
          </w:tcPr>
          <w:p>
            <w:pPr>
              <w:pStyle w:val="TableText"/>
              <w:jc w:val="left"/>
            </w:pPr>
            <w:r>
              <w:rPr>
                <w:rFonts w:ascii="Times New Roman" w:hAnsi="Times New Roman" w:cs="Times New Roman" w:eastAsia="Times New Roman"/>
                <w:sz w:val="20"/>
              </w:rPr>
              <w:t xml:space="preserve">MRI + band powers · logistic regression</w:t>
            </w:r>
          </w:p>
        </w:tc>
        <w:tc>
          <w:tcPr>
            <w:tcW w:type="dxa" w:w="2500"/>
          </w:tcPr>
          <w:p>
            <w:pPr>
              <w:pStyle w:val="TableText"/>
              <w:jc w:val="left"/>
            </w:pPr>
            <w:r>
              <w:rPr>
                <w:rFonts w:ascii="Times New Roman" w:hAnsi="Times New Roman" w:cs="Times New Roman" w:eastAsia="Times New Roman"/>
                <w:sz w:val="20"/>
              </w:rPr>
              <w:t xml:space="preserve">0.41 / 0.43</w:t>
            </w:r>
          </w:p>
        </w:tc>
        <w:tc>
          <w:tcPr>
            <w:tcW w:type="dxa" w:w="2506"/>
          </w:tcPr>
          <w:p>
            <w:pPr>
              <w:pStyle w:val="TableText"/>
              <w:jc w:val="left"/>
            </w:pPr>
            <w:r>
              <w:rPr>
                <w:rFonts w:ascii="Times New Roman" w:hAnsi="Times New Roman" w:cs="Times New Roman" w:eastAsia="Times New Roman"/>
                <w:sz w:val="20"/>
              </w:rPr>
              <w:t xml:space="preserve">0.46 / 0.51</w:t>
            </w:r>
          </w:p>
        </w:tc>
      </w:tr>
    </w:tbl>
    <w:p>
      <w:pPr>
        <w:spacing w:after="80" w:line="240" w:lineRule="auto"/>
      </w:pPr>
    </w:p>
    <w:p>
      <w:pPr>
        <w:pStyle w:val="BodyJ"/>
      </w:pPr>
      <w:r>
        <w:rPr>
          <w:rFonts w:ascii="Times New Roman" w:hAnsi="Times New Roman" w:cs="Times New Roman" w:eastAsia="Times New Roman"/>
          <w:b/>
        </w:rPr>
        <w:t xml:space="preserve">Cohort-identity probe.</w:t>
      </w:r>
      <w:r>
        <w:rPr>
          <w:rFonts w:ascii="Times New Roman" w:hAnsi="Times New Roman" w:cs="Times New Roman" w:eastAsia="Times New Roman"/>
        </w:rPr>
        <w:t xml:space="preserve"> A linear model on the spectrum alone identifies the cohort of a subject with 100% accuracy (majority baseline 50.5%), so cohort identity is an available shortcut. The within-cohort permutation test of Section 5.11 is designed not to reward it.</w:t>
      </w:r>
    </w:p>
    <w:p>
      <w:pPr>
        <w:pStyle w:val="Heading1"/>
      </w:pPr>
      <w:r>
        <w:rPr>
          <w:rFonts w:ascii="Times New Roman" w:hAnsi="Times New Roman" w:cs="Times New Roman" w:eastAsia="Times New Roman"/>
          <w:b/>
          <w:sz w:val="24"/>
        </w:rPr>
        <w:t>CHAPTER 6</w:t>
        <w:br/>
      </w:r>
      <w:r>
        <w:rPr>
          <w:rFonts w:ascii="Times New Roman" w:hAnsi="Times New Roman" w:cs="Times New Roman" w:eastAsia="Times New Roman"/>
          <w:b/>
          <w:sz w:val="32"/>
        </w:rPr>
        <w:t>DISCUSSION</w:t>
      </w:r>
    </w:p>
    <w:p>
      <w:pPr>
        <w:pStyle w:val="Heading2"/>
      </w:pPr>
      <w:r>
        <w:rPr>
          <w:rFonts w:ascii="Times New Roman" w:hAnsi="Times New Roman" w:cs="Times New Roman" w:eastAsia="Times New Roman"/>
          <w:b/>
          <w:sz w:val="28"/>
        </w:rPr>
        <w:t>6.1  INTRODUCTION</w:t>
      </w:r>
    </w:p>
    <w:p>
      <w:pPr>
        <w:pStyle w:val="BodyJ"/>
      </w:pPr>
      <w:r>
        <w:rPr>
          <w:rFonts w:ascii="Times New Roman" w:hAnsi="Times New Roman" w:cs="Times New Roman" w:eastAsia="Times New Roman"/>
        </w:rPr>
        <w:t xml:space="preserve">This chapter interprets the measurements of Chapter 5, relates them to the objectives, research questions and hypotheses of Section 1.4, compares the design with the literature of Chapter 2, and states the constraints under which the conclusions hold. The guiding principle is that every statement is limited to what the evidence supports: the project is a tested research prototype; the evidence on synthetic data concerns software behaviour and a controlled comparison of architectures, and the evidence on real data concerns a pipeline tested on cohorts that are not eye-disease data. None of it is evidence of diagnostic performance.</w:t>
      </w:r>
    </w:p>
    <w:p>
      <w:pPr>
        <w:pStyle w:val="Heading2"/>
      </w:pPr>
      <w:r>
        <w:rPr>
          <w:rFonts w:ascii="Times New Roman" w:hAnsi="Times New Roman" w:cs="Times New Roman" w:eastAsia="Times New Roman"/>
          <w:b/>
          <w:sz w:val="28"/>
        </w:rPr>
        <w:t>6.2  INTERPRETATION OF THE RESULTS</w:t>
      </w:r>
    </w:p>
    <w:p>
      <w:pPr>
        <w:pStyle w:val="Heading3"/>
      </w:pPr>
      <w:r>
        <w:rPr>
          <w:rFonts w:ascii="Times New Roman" w:hAnsi="Times New Roman" w:cs="Times New Roman" w:eastAsia="Times New Roman"/>
          <w:b/>
          <w:sz w:val="24"/>
        </w:rPr>
        <w:t>6.2.1  SIGNAL CONDITIONING</w:t>
      </w:r>
    </w:p>
    <w:p>
      <w:pPr>
        <w:pStyle w:val="BodyJ"/>
      </w:pPr>
      <w:r>
        <w:rPr>
          <w:rFonts w:ascii="Times New Roman" w:hAnsi="Times New Roman" w:cs="Times New Roman" w:eastAsia="Times New Roman"/>
        </w:rPr>
        <w:t>The frequency response confirms the intended behaviour of the conditioning chain (Table 5.1): the pass-band is flat to better than 0.001 dB at 10 Hz, the 50 Hz component is removed by about 97 dB in the ideal response, and the −6 dB band of the notch is only 1.65 Hz wide, so that neighbouring frequencies are barely affected. The effective response at 1 Hz is about −5.8 dB, which is the −3 dB corner of the single-pass filter applied twice; the 1 Hz edge therefore removes baseline drift without cutting into the region around 10 Hz that carries the main VEP components.</w:t>
      </w:r>
    </w:p>
    <w:p>
      <w:pPr>
        <w:pStyle w:val="BodyJ"/>
      </w:pPr>
      <w:r>
        <w:rPr>
          <w:rFonts w:ascii="Times New Roman" w:hAnsi="Times New Roman" w:cs="Times New Roman" w:eastAsia="Times New Roman"/>
        </w:rPr>
        <w:t>The measured reduction of the injected 50 Hz component was 22 dB on average, much smaller than the 97 dB of the ideal response. This is not a failure of the filter. After filtering, the fitted 50 Hz amplitude (0.0125) is of the same order as the fitted amplitude at 47 Hz (0.0212), where nothing was injected: the residual is dominated by the broadband noise of the synthetic record, and the measured figure is therefore a lower bound on the notch's attenuation.</w:t>
      </w:r>
    </w:p>
    <w:p>
      <w:pPr>
        <w:pStyle w:val="BodyJ"/>
      </w:pPr>
      <w:r>
        <w:rPr>
          <w:rFonts w:ascii="Times New Roman" w:hAnsi="Times New Roman" w:cs="Times New Roman" w:eastAsia="Times New Roman"/>
        </w:rPr>
        <w:t>For the P100 latency, hypothesis H1 is supported at the level of the class means (errors of +0.64, +0.00 and +0.80 ms against a 4 ms sampling interval) and in 149 of 150 individual trials. The one exception, a Glaucoma record with an 8 ms error, is not specific to the zero-phase pipeline: the raw and single-pass results for the same class also reach a maximum error of 8 ms, so it is most likely due to the noise realisation and not to the filtering. The ordering of the three classes by detected latency (about 100, 108 and 141 ms) is preserved after conditioning, which is the property that matters for the downstream task.</w:t>
      </w:r>
    </w:p>
    <w:p>
      <w:pPr>
        <w:pStyle w:val="BodyJ"/>
      </w:pPr>
      <w:r>
        <w:rPr>
          <w:rFonts w:ascii="Times New Roman" w:hAnsi="Times New Roman" w:cs="Times New Roman" w:eastAsia="Times New Roman"/>
        </w:rPr>
        <w:t>A noteworthy observation is that the benefit of zero-phase over single-pass filtering cannot be demonstrated by these data. The mean difference in detected latency between the two implementations is below 0.5 ms in every class, i.e. much smaller than one sample, even though the single-pass filter has a group delay of 3 to 6 ms in the 10–30 Hz range (Table 5.3). The likely reason is that the synthetic P100 is a smooth, low-frequency peak whose maximum is insensitive to a small delay that is nearly constant across its bandwidth. The justification for zero-phase processing in this project therefore rests on the principle that latency is the clinical quantity (Odom et al., 2016) and on the absence of any cost to using it on offline records, not on an empirical gain at the project's sampling rate. At a higher sampling rate, or for sharper real waveforms, the difference could become measurable.</w:t>
      </w:r>
    </w:p>
    <w:p>
      <w:pPr>
        <w:pStyle w:val="Heading3"/>
      </w:pPr>
      <w:r>
        <w:rPr>
          <w:rFonts w:ascii="Times New Roman" w:hAnsi="Times New Roman" w:cs="Times New Roman" w:eastAsia="Times New Roman"/>
          <w:b/>
          <w:sz w:val="24"/>
        </w:rPr>
        <w:t>6.2.2  SYNTHETIC DATA AND THE FOREGROUND MASK</w:t>
      </w:r>
    </w:p>
    <w:p>
      <w:pPr>
        <w:pStyle w:val="BodyJ"/>
      </w:pPr>
      <w:r>
        <w:rPr>
          <w:rFonts w:ascii="Times New Roman" w:hAnsi="Times New Roman" w:cs="Times New Roman" w:eastAsia="Times New Roman"/>
        </w:rPr>
        <w:t xml:space="preserve">The original class-conditioned generators behave as specified: the mean intensity of the atrophy region in the Glaucoma volume is 40 against about 100 elsewhere, the lesion region in the Optic Neuritis / CVI volume is about 180, and the Healthy Control volume is homogeneous (Table 5.4). The synthetic VEP classes differ in latency and amplitude as intended (Table 5.2 and Figure 5.4).</w:t>
      </w:r>
    </w:p>
    <w:p>
      <w:pPr>
        <w:pStyle w:val="BodyJ"/>
      </w:pPr>
      <w:r>
        <w:rPr>
          <w:rFonts w:ascii="Times New Roman" w:hAnsi="Times New Roman" w:cs="Times New Roman" w:eastAsia="Times New Roman"/>
        </w:rPr>
        <w:t>The mask results expose a limitation of the placeholder preprocessing. By construction the 60th-percentile threshold zeroes 60% of the voxels in every volume, whatever their content. In the Glaucoma volume this removes the entire atrophy region, so that the structural signature survives only as a contiguous block of zeros and no longer as a reduced intensity, while the lesion region of the Optic Neuritis / CVI volume is retained almost completely (99.7%). The mask is therefore not neutral with respect to the classes. This does not affect the correctness of the software, which was designed with the mask isolated for replacement (Section 3.7), but it shows that conclusions about what the spatial encoder can learn from the synthetic MRI depend on the preprocessing and cannot be carried over to real, skull-stripped scans.</w:t>
      </w:r>
      <w:r>
        <w:rPr>
          <w:rFonts w:ascii="Times New Roman" w:hAnsi="Times New Roman" w:cs="Times New Roman" w:eastAsia="Times New Roman"/>
        </w:rPr>
        <w:t xml:space="preserve"> The Otsu mask with hole filling and bounding-box resizing used for the real cohorts is a better stand-in for whole-head scans, but it is still not validated skull-stripping.</w:t>
      </w:r>
    </w:p>
    <w:p>
      <w:pPr>
        <w:pStyle w:val="Heading3"/>
      </w:pPr>
      <w:r>
        <w:rPr>
          <w:rFonts w:ascii="Times New Roman" w:hAnsi="Times New Roman" w:cs="Times New Roman" w:eastAsia="Times New Roman"/>
          <w:b/>
          <w:sz w:val="24"/>
        </w:rPr>
        <w:t>6.2.3  MODEL SIZE AND COST</w:t>
      </w:r>
    </w:p>
    <w:p>
      <w:pPr>
        <w:pStyle w:val="BodyJ"/>
      </w:pPr>
      <w:r>
        <w:rPr>
          <w:rFonts w:ascii="Times New Roman" w:hAnsi="Times New Roman" w:cs="Times New Roman" w:eastAsia="Times New Roman"/>
        </w:rPr>
        <w:t xml:space="preserve">With 1,955,140 parameters the final model is still small by the standards of current deep-learning systems. About 46% of the parameters sit in the 3D residual encoder, and the multi-scale temporal encoder holds 40%, because its parallel convolutions are widest in the last block (557,312 of the 785,936 parameters). The compute is concentrated differently: 97% of the 2.60 billion MACs per sample are in the 3D spatial encoder, because the early 3D convolutions operate on high-resolution feature maps (in the original model the first residual block alone accounted for 54% of the MACs and the first two for 82%). The gated bidirectional fusion module, which is the conceptual core of the project, accounts for 14% of the parameters and under 0.5% of the compute. A practical consequence is that the cost of the attention mechanism is negligible compared with the cost of reading the volume, and that any reduction in training time should target the early 3D stages, for example by lowering the input resolution (at 32³ the cost falls from 2.60 to 0.39 billion MACs) or the width of the first blocks.</w:t>
      </w:r>
    </w:p>
    <w:p>
      <w:pPr>
        <w:pStyle w:val="Heading3"/>
      </w:pPr>
      <w:r>
        <w:rPr>
          <w:rFonts w:ascii="Times New Roman" w:hAnsi="Times New Roman" w:cs="Times New Roman" w:eastAsia="Times New Roman"/>
          <w:b/>
          <w:sz w:val="24"/>
        </w:rPr>
        <w:t>6.2.4  VERIFICATION</w:t>
      </w:r>
    </w:p>
    <w:p>
      <w:pPr>
        <w:pStyle w:val="BodyJ"/>
      </w:pPr>
      <w:r>
        <w:rPr>
          <w:rFonts w:ascii="Times New Roman" w:hAnsi="Times New Roman" w:cs="Times New Roman" w:eastAsia="Times New Roman"/>
        </w:rPr>
        <w:t xml:space="preserve">The test suite covers every module, and all 340 tests pass on two platforms (macOS with Python 3.14; Ubuntu 22.04 with Python 3.12 and CUDA, one test skipped). Running on the second platform was itself informative: it exposed three latent defects that the first platform had masked (a type annotation that fails on Python 3.13 and earlier, a device mismatch in the evaluation-only path on CUDA, and a unit test whose assertion was mathematically vacuous). A test count is not a measure of correctness, so it is best read together with the content of the tests, which assert shapes, value ranges, normalisation of attention rows, determinism, error handling, equality of the deterministic pooling with PyTorch's, and end-to-end gradient flow (Section 4.9). The line coverage of 95% was measured for the original code base only and has not been re-measured; no coverage claim is made for the code added since. The training acceptance criteria are meaningful in that they test learning (loss reduction and above-chance accuracy) and not only execution, but as thresholds on a toy configuration they say nothing about performance on real data.</w:t>
      </w:r>
    </w:p>
    <w:p>
      <w:pPr>
        <w:pStyle w:val="Heading2"/>
      </w:pPr>
      <w:r>
        <w:rPr>
          <w:rFonts w:ascii="Times New Roman" w:hAnsi="Times New Roman" w:cs="Times New Roman" w:eastAsia="Times New Roman"/>
          <w:b/>
          <w:sz w:val="28"/>
        </w:rPr>
        <w:t>6.3  ASSESSMENT AGAINST THE OBJECTIVES, QUESTIONS AND HYPOTHESES</w:t>
      </w:r>
    </w:p>
    <w:p>
      <w:pPr>
        <w:pStyle w:val="Caption"/>
        <w:keepNext/>
        <w:spacing w:before="160" w:after="80"/>
      </w:pPr>
      <w:bookmarkStart w:id="1057" w:name="_Ref_Table_6_1"/>
      <w:r>
        <w:rPr>
          <w:rFonts w:ascii="Times New Roman" w:hAnsi="Times New Roman" w:cs="Times New Roman" w:eastAsia="Times New Roman"/>
          <w:b/>
          <w:sz w:val="22"/>
        </w:rPr>
        <w:t xml:space="preserve">Table 6.1: </w:t>
      </w:r>
      <w:r>
        <w:rPr>
          <w:rFonts w:ascii="Times New Roman" w:hAnsi="Times New Roman" w:cs="Times New Roman" w:eastAsia="Times New Roman"/>
          <w:sz w:val="22"/>
        </w:rPr>
        <w:t>Assessment of research questions and hypotheses against the evidence.</w:t>
      </w:r>
      <w:bookmarkEnd w:id="1057"/>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300"/>
        <w:gridCol w:w="3800"/>
        <w:gridCol w:w="2206"/>
      </w:tblGrid>
      <w:tr>
        <w:trPr>
          <w:cantSplit/>
          <w:tblHeader/>
        </w:trPr>
        <w:tc>
          <w:tcPr>
            <w:tcW w:type="dxa" w:w="2300"/>
            <w:shd w:val="clear" w:color="auto" w:fill="D9D9D9"/>
          </w:tcPr>
          <w:p>
            <w:pPr>
              <w:pStyle w:val="TableText"/>
              <w:keepNext/>
              <w:jc w:val="left"/>
            </w:pPr>
            <w:r>
              <w:rPr>
                <w:rFonts w:ascii="Times New Roman" w:hAnsi="Times New Roman" w:cs="Times New Roman" w:eastAsia="Times New Roman"/>
                <w:b/>
                <w:sz w:val="20"/>
              </w:rPr>
              <w:t xml:space="preserve">Item</w:t>
            </w:r>
          </w:p>
        </w:tc>
        <w:tc>
          <w:tcPr>
            <w:tcW w:type="dxa" w:w="3800"/>
            <w:shd w:val="clear" w:color="auto" w:fill="D9D9D9"/>
          </w:tcPr>
          <w:p>
            <w:pPr>
              <w:pStyle w:val="TableText"/>
              <w:keepNext/>
              <w:jc w:val="left"/>
            </w:pPr>
            <w:r>
              <w:rPr>
                <w:rFonts w:ascii="Times New Roman" w:hAnsi="Times New Roman" w:cs="Times New Roman" w:eastAsia="Times New Roman"/>
                <w:b/>
                <w:sz w:val="20"/>
              </w:rPr>
              <w:t xml:space="preserve">Evidence</w:t>
            </w:r>
          </w:p>
        </w:tc>
        <w:tc>
          <w:tcPr>
            <w:tcW w:type="dxa" w:w="2206"/>
            <w:shd w:val="clear" w:color="auto" w:fill="D9D9D9"/>
          </w:tcPr>
          <w:p>
            <w:pPr>
              <w:pStyle w:val="TableText"/>
              <w:keepNext/>
              <w:jc w:val="left"/>
            </w:pPr>
            <w:r>
              <w:rPr>
                <w:rFonts w:ascii="Times New Roman" w:hAnsi="Times New Roman" w:cs="Times New Roman" w:eastAsia="Times New Roman"/>
                <w:b/>
                <w:sz w:val="20"/>
              </w:rPr>
              <w:t xml:space="preserve">Assessment</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RQ1: common token representation through one pipeline</w:t>
            </w:r>
          </w:p>
        </w:tc>
        <w:tc>
          <w:tcPr>
            <w:tcW w:type="dxa" w:w="3800"/>
          </w:tcPr>
          <w:p>
            <w:pPr>
              <w:pStyle w:val="TableText"/>
              <w:keepNext/>
              <w:jc w:val="left"/>
            </w:pPr>
            <w:r>
              <w:rPr>
                <w:rFonts w:ascii="Times New Roman" w:hAnsi="Times New Roman" w:cs="Times New Roman" w:eastAsia="Times New Roman"/>
                <w:sz w:val="20"/>
              </w:rPr>
              <w:t xml:space="preserve">Shape contract asserted by tests; end-to-end tests from raw NIfTI and CSV files; the real cohorts are processed through the same manifest interface (Sections 3.4.2, 5.5, 5.6)</w:t>
            </w:r>
          </w:p>
        </w:tc>
        <w:tc>
          <w:tcPr>
            <w:tcW w:type="dxa" w:w="2206"/>
          </w:tcPr>
          <w:p>
            <w:pPr>
              <w:pStyle w:val="TableText"/>
              <w:keepNext/>
              <w:jc w:val="left"/>
            </w:pPr>
            <w:r>
              <w:rPr>
                <w:rFonts w:ascii="Times New Roman" w:hAnsi="Times New Roman" w:cs="Times New Roman" w:eastAsia="Times New Roman"/>
                <w:sz w:val="20"/>
              </w:rPr>
              <w:t xml:space="preserve">Supported (software level)</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RQ2 / H1: P100 latency preserved</w:t>
            </w:r>
          </w:p>
        </w:tc>
        <w:tc>
          <w:tcPr>
            <w:tcW w:type="dxa" w:w="3800"/>
          </w:tcPr>
          <w:p>
            <w:pPr>
              <w:pStyle w:val="TableText"/>
              <w:keepNext/>
              <w:jc w:val="left"/>
            </w:pPr>
            <w:r>
              <w:rPr>
                <w:rFonts w:ascii="Times New Roman" w:hAnsi="Times New Roman" w:cs="Times New Roman" w:eastAsia="Times New Roman"/>
                <w:sz w:val="20"/>
              </w:rPr>
              <w:t xml:space="preserve">Class-mean errors below one sample; 149 of 150 trials within 4 ms (Table 5.2)</w:t>
            </w:r>
          </w:p>
        </w:tc>
        <w:tc>
          <w:tcPr>
            <w:tcW w:type="dxa" w:w="2206"/>
          </w:tcPr>
          <w:p>
            <w:pPr>
              <w:pStyle w:val="TableText"/>
              <w:keepNext/>
              <w:jc w:val="left"/>
            </w:pPr>
            <w:r>
              <w:rPr>
                <w:rFonts w:ascii="Times New Roman" w:hAnsi="Times New Roman" w:cs="Times New Roman" w:eastAsia="Times New Roman"/>
                <w:sz w:val="20"/>
              </w:rPr>
              <w:t xml:space="preserve">Supported on synthetic data</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RQ3 / H2: end-to-end optimisation and cost</w:t>
            </w:r>
          </w:p>
        </w:tc>
        <w:tc>
          <w:tcPr>
            <w:tcW w:type="dxa" w:w="3800"/>
          </w:tcPr>
          <w:p>
            <w:pPr>
              <w:pStyle w:val="TableText"/>
              <w:keepNext/>
              <w:jc w:val="left"/>
            </w:pPr>
            <w:r>
              <w:rPr>
                <w:rFonts w:ascii="Times New Roman" w:hAnsi="Times New Roman" w:cs="Times New Roman" w:eastAsia="Times New Roman"/>
                <w:sz w:val="20"/>
              </w:rPr>
              <w:t xml:space="preserve">Loss-reduction and accuracy thresholds asserted by tests (Table 5.7); 1.96 M parameters and 2.60 G MACs (Table 5.5); synthetic benchmark: the fused head reaches 78.1 ± 2.3% against 33.3% chance (Table 5.9); real cohorts: the network trains (training loss falls to near zero) but validation stays at chance (Section 5.12)</w:t>
            </w:r>
          </w:p>
        </w:tc>
        <w:tc>
          <w:tcPr>
            <w:tcW w:type="dxa" w:w="2206"/>
          </w:tcPr>
          <w:p>
            <w:pPr>
              <w:pStyle w:val="TableText"/>
              <w:keepNext/>
              <w:jc w:val="left"/>
            </w:pPr>
            <w:r>
              <w:rPr>
                <w:rFonts w:ascii="Times New Roman" w:hAnsi="Times New Roman" w:cs="Times New Roman" w:eastAsia="Times New Roman"/>
                <w:sz w:val="20"/>
              </w:rPr>
              <w:t xml:space="preserve">Supported: the model optimises end to end and exceeds chance on synthetic data; on real cohorts it memorises the training subjects</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RQ4: explanations from the same forward pass</w:t>
            </w:r>
          </w:p>
        </w:tc>
        <w:tc>
          <w:tcPr>
            <w:tcW w:type="dxa" w:w="3800"/>
          </w:tcPr>
          <w:p>
            <w:pPr>
              <w:pStyle w:val="TableText"/>
              <w:keepNext/>
              <w:jc w:val="left"/>
            </w:pPr>
            <w:r>
              <w:rPr>
                <w:rFonts w:ascii="Times New Roman" w:hAnsi="Times New Roman" w:cs="Times New Roman" w:eastAsia="Times New Roman"/>
                <w:sz w:val="20"/>
              </w:rPr>
              <w:t xml:space="preserve">Tests produce Grad-CAM and Grad-CAM++ maps and attention heatmaps for both directions from a dataset sample (Sections 4.7, 5.6)</w:t>
            </w:r>
          </w:p>
        </w:tc>
        <w:tc>
          <w:tcPr>
            <w:tcW w:type="dxa" w:w="2206"/>
          </w:tcPr>
          <w:p>
            <w:pPr>
              <w:pStyle w:val="TableText"/>
              <w:keepNext/>
              <w:jc w:val="left"/>
            </w:pPr>
            <w:r>
              <w:rPr>
                <w:rFonts w:ascii="Times New Roman" w:hAnsi="Times New Roman" w:cs="Times New Roman" w:eastAsia="Times New Roman"/>
                <w:sz w:val="20"/>
              </w:rPr>
              <w:t xml:space="preserve">Supported (artefacts produced); faithfulness not assessed</w:t>
            </w:r>
          </w:p>
        </w:tc>
      </w:tr>
      <w:tr>
        <w:trPr>
          <w:cantSplit/>
        </w:trPr>
        <w:tc>
          <w:tcPr>
            <w:tcW w:type="dxa" w:w="2300"/>
          </w:tcPr>
          <w:p>
            <w:pPr>
              <w:pStyle w:val="TableText"/>
              <w:keepNext/>
              <w:jc w:val="left"/>
            </w:pPr>
            <w:r>
              <w:rPr>
                <w:rFonts w:ascii="Times New Roman" w:hAnsi="Times New Roman" w:cs="Times New Roman" w:eastAsia="Times New Roman"/>
                <w:sz w:val="20"/>
              </w:rPr>
              <w:t xml:space="preserve">H3: single shape contract</w:t>
            </w:r>
          </w:p>
        </w:tc>
        <w:tc>
          <w:tcPr>
            <w:tcW w:type="dxa" w:w="3800"/>
          </w:tcPr>
          <w:p>
            <w:pPr>
              <w:pStyle w:val="TableText"/>
              <w:keepNext/>
              <w:jc w:val="left"/>
            </w:pPr>
            <w:r>
              <w:rPr>
                <w:rFonts w:ascii="Times New Roman" w:hAnsi="Times New Roman" w:cs="Times New Roman" w:eastAsia="Times New Roman"/>
                <w:sz w:val="20"/>
              </w:rPr>
              <w:t xml:space="preserve">Shape tests across all modules; one configuration module (Section 4.8)</w:t>
            </w:r>
          </w:p>
        </w:tc>
        <w:tc>
          <w:tcPr>
            <w:tcW w:type="dxa" w:w="2206"/>
          </w:tcPr>
          <w:p>
            <w:pPr>
              <w:pStyle w:val="TableText"/>
              <w:keepNext/>
              <w:jc w:val="left"/>
            </w:pPr>
            <w:r>
              <w:rPr>
                <w:rFonts w:ascii="Times New Roman" w:hAnsi="Times New Roman" w:cs="Times New Roman" w:eastAsia="Times New Roman"/>
                <w:sz w:val="20"/>
              </w:rPr>
              <w:t xml:space="preserve">Supported</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RQ5 / H4: when cross-attention fusion helps</w:t>
            </w:r>
          </w:p>
        </w:tc>
        <w:tc>
          <w:tcPr>
            <w:tcW w:type="dxa" w:w="3800"/>
          </w:tcPr>
          <w:p>
            <w:pPr>
              <w:pStyle w:val="TableText"/>
              <w:keepNext/>
              <w:jc w:val="left"/>
            </w:pPr>
            <w:r>
              <w:rPr>
                <w:rFonts w:ascii="Times New Roman" w:hAnsi="Times New Roman" w:cs="Times New Roman" w:eastAsia="Times New Roman"/>
                <w:sz w:val="20"/>
              </w:rPr>
              <w:t xml:space="preserve">Fusion baselines and ablations (Sections 3.9.1, 4.4). Fusion beats the better single modality by 10.7 points (p &lt; 0.001); gain largest at intermediate informativeness, vanishing when one modality dominates; CAFN versus concatenation +0.7 points (p = 0.63) and versus element-wise sum −1.4 points (p = 0.47); no single ablation reliable (Sections 5.9, 5.10)</w:t>
            </w:r>
          </w:p>
        </w:tc>
        <w:tc>
          <w:tcPr>
            <w:tcW w:type="dxa" w:w="2206"/>
          </w:tcPr>
          <w:p>
            <w:pPr>
              <w:pStyle w:val="TableText"/>
              <w:keepNext/>
              <w:jc w:val="left"/>
            </w:pPr>
            <w:r>
              <w:rPr>
                <w:rFonts w:ascii="Times New Roman" w:hAnsi="Times New Roman" w:cs="Times New Roman" w:eastAsia="Times New Roman"/>
                <w:sz w:val="20"/>
              </w:rPr>
              <w:t xml:space="preserve">H4 partly supported: fusion helps over either modality alone only in the complementary regime, as hypothesised; the advantage of cross-attention over concatenation or sum is not supported</w:t>
            </w:r>
          </w:p>
        </w:tc>
      </w:tr>
      <w:tr>
        <w:trPr>
          <w:cantSplit/>
        </w:trPr>
        <w:tc>
          <w:tcPr>
            <w:tcW w:type="dxa" w:w="2300"/>
          </w:tcPr>
          <w:p>
            <w:pPr>
              <w:pStyle w:val="TableText"/>
              <w:keepNext/>
              <w:jc w:val="left"/>
            </w:pPr>
            <w:r>
              <w:rPr>
                <w:rFonts w:ascii="Times New Roman" w:hAnsi="Times New Roman" w:cs="Times New Roman" w:eastAsia="Times New Roman"/>
                <w:sz w:val="20"/>
              </w:rPr>
              <w:t xml:space="preserve">RQ6 / H5: generalisation across real cohorts</w:t>
            </w:r>
          </w:p>
        </w:tc>
        <w:tc>
          <w:tcPr>
            <w:tcW w:type="dxa" w:w="3800"/>
          </w:tcPr>
          <w:p>
            <w:pPr>
              <w:pStyle w:val="TableText"/>
              <w:keepNext/>
              <w:jc w:val="left"/>
            </w:pPr>
            <w:r>
              <w:rPr>
                <w:rFonts w:ascii="Times New Roman" w:hAnsi="Times New Roman" w:cs="Times New Roman" w:eastAsia="Times New Roman"/>
                <w:sz w:val="20"/>
              </w:rPr>
              <w:t xml:space="preserve">Classical 5 × 5-fold cross-validation: ROC-AUC 0.52–0.59, only spectrum and band-power logistic regression reach permutation p &lt; 0.05 (only band powers after Bonferroni correction), with bootstrap intervals that include 0.5; leave-one-cohort-out ROC-AUC 0.40–0.63; neural cross-validation: CAFN 0.51, concatenation 0.53, MRI only 0.48, spectrum only 0.62 (0.50–0.72); CAFN pooled and leave-one-cohort-out test accuracy 0.45–0.52 (balanced accuracy 0.46–0.54); cohort identity recoverable from the spectrum with 100% accuracy (Sections 5.11, 5.12)</w:t>
            </w:r>
          </w:p>
        </w:tc>
        <w:tc>
          <w:tcPr>
            <w:tcW w:type="dxa" w:w="2206"/>
          </w:tcPr>
          <w:p>
            <w:pPr>
              <w:pStyle w:val="TableText"/>
              <w:keepNext/>
              <w:jc w:val="left"/>
            </w:pPr>
            <w:r>
              <w:rPr>
                <w:rFonts w:ascii="Times New Roman" w:hAnsi="Times New Roman" w:cs="Times New Roman" w:eastAsia="Times New Roman"/>
                <w:sz w:val="20"/>
              </w:rPr>
              <w:t xml:space="preserve">H5 supported: signal weak at most, no consistent transfer; CAFN and the MRI stream at chance</w:t>
            </w:r>
          </w:p>
        </w:tc>
      </w:tr>
      <w:tr>
        <w:trPr>
          <w:cantSplit/>
        </w:trPr>
        <w:tc>
          <w:tcPr>
            <w:tcW w:type="dxa" w:w="2300"/>
          </w:tcPr>
          <w:p>
            <w:pPr>
              <w:pStyle w:val="TableText"/>
              <w:jc w:val="left"/>
            </w:pPr>
            <w:r>
              <w:rPr>
                <w:rFonts w:ascii="Times New Roman" w:hAnsi="Times New Roman" w:cs="Times New Roman" w:eastAsia="Times New Roman"/>
                <w:sz w:val="20"/>
              </w:rPr>
              <w:t xml:space="preserve">Diagnostic accuracy for glaucoma or optic neuritis</w:t>
            </w:r>
          </w:p>
        </w:tc>
        <w:tc>
          <w:tcPr>
            <w:tcW w:type="dxa" w:w="3800"/>
          </w:tcPr>
          <w:p>
            <w:pPr>
              <w:pStyle w:val="TableText"/>
              <w:jc w:val="left"/>
            </w:pPr>
            <w:r>
              <w:rPr>
                <w:rFonts w:ascii="Times New Roman" w:hAnsi="Times New Roman" w:cs="Times New Roman" w:eastAsia="Times New Roman"/>
                <w:sz w:val="20"/>
              </w:rPr>
              <w:t xml:space="preserve">No labelled eye-disease data; the real cohorts are other disorders</w:t>
            </w:r>
          </w:p>
        </w:tc>
        <w:tc>
          <w:tcPr>
            <w:tcW w:type="dxa" w:w="2206"/>
          </w:tcPr>
          <w:p>
            <w:pPr>
              <w:pStyle w:val="TableText"/>
              <w:jc w:val="left"/>
            </w:pPr>
            <w:r>
              <w:rPr>
                <w:rFonts w:ascii="Times New Roman" w:hAnsi="Times New Roman" w:cs="Times New Roman" w:eastAsia="Times New Roman"/>
                <w:sz w:val="20"/>
              </w:rPr>
              <w:t xml:space="preserve">Not assessed</w:t>
            </w:r>
          </w:p>
        </w:tc>
      </w:tr>
    </w:tbl>
    <w:p>
      <w:pPr>
        <w:spacing w:after="80" w:line="240" w:lineRule="auto"/>
      </w:pPr>
    </w:p>
    <w:p>
      <w:pPr>
        <w:pStyle w:val="BodyJ"/>
      </w:pPr>
      <w:r>
        <w:rPr>
          <w:rFonts w:ascii="Times New Roman" w:hAnsi="Times New Roman" w:cs="Times New Roman" w:eastAsia="Times New Roman"/>
          <w:b/>
        </w:rPr>
        <w:t xml:space="preserve">Verdicts on the hypotheses.</w:t>
      </w:r>
      <w:r>
        <w:rPr>
          <w:rFonts w:ascii="Times New Roman" w:hAnsi="Times New Roman" w:cs="Times New Roman" w:eastAsia="Times New Roman"/>
        </w:rPr>
        <w:t xml:space="preserve"> H1 to H3 are supported at the level described in Table 6.1. H4 is only partly supported. Fusion beat the better single modality by 10.7 percentage points (paired over 5 seeds, </w:t>
      </w:r>
      <w:r>
        <w:rPr>
          <w:rFonts w:ascii="Times New Roman" w:hAnsi="Times New Roman" w:cs="Times New Roman" w:eastAsia="Times New Roman"/>
          <w:i/>
        </w:rPr>
        <w:t xml:space="preserve">p</w:t>
      </w:r>
      <w:r>
        <w:rPr>
          <w:rFonts w:ascii="Times New Roman" w:hAnsi="Times New Roman" w:cs="Times New Roman" w:eastAsia="Times New Roman"/>
        </w:rPr>
        <w:t xml:space="preserve"> &lt; 0.001) when both modalities carried complementary but individually imperfect evidence, and the gain vanished when one modality dominated, as hypothesised. The part of H4 that concerns cross-attention is not supported: CAFN was within seed noise of concatenation (+0.7 points, </w:t>
      </w:r>
      <w:r>
        <w:rPr>
          <w:rFonts w:ascii="Times New Roman" w:hAnsi="Times New Roman" w:cs="Times New Roman" w:eastAsia="Times New Roman"/>
          <w:i/>
        </w:rPr>
        <w:t xml:space="preserve">p</w:t>
      </w:r>
      <w:r>
        <w:rPr>
          <w:rFonts w:ascii="Times New Roman" w:hAnsi="Times New Roman" w:cs="Times New Roman" w:eastAsia="Times New Roman"/>
        </w:rPr>
        <w:t xml:space="preserve"> = 0.63) and element-wise sum (−1.4 points, </w:t>
      </w:r>
      <w:r>
        <w:rPr>
          <w:rFonts w:ascii="Times New Roman" w:hAnsi="Times New Roman" w:cs="Times New Roman" w:eastAsia="Times New Roman"/>
          <w:i/>
        </w:rPr>
        <w:t xml:space="preserve">p</w:t>
      </w:r>
      <w:r>
        <w:rPr>
          <w:rFonts w:ascii="Times New Roman" w:hAnsi="Times New Roman" w:cs="Times New Roman" w:eastAsia="Times New Roman"/>
        </w:rPr>
        <w:t xml:space="preserve"> = 0.47), and none of seven component ablations was reliably different. H5 is supported: on the real cohorts the signal was weak at most and did not transfer between cohorts.</w:t>
      </w:r>
    </w:p>
    <w:p>
      <w:pPr>
        <w:pStyle w:val="Heading2"/>
      </w:pPr>
      <w:r>
        <w:rPr>
          <w:rFonts w:ascii="Times New Roman" w:hAnsi="Times New Roman" w:cs="Times New Roman" w:eastAsia="Times New Roman"/>
          <w:b/>
          <w:sz w:val="28"/>
        </w:rPr>
        <w:t>6.4  DESIGN OBSERVATIONS</w:t>
      </w:r>
    </w:p>
    <w:p>
      <w:pPr>
        <w:pStyle w:val="Heading3"/>
      </w:pPr>
      <w:r>
        <w:rPr>
          <w:rFonts w:ascii="Times New Roman" w:hAnsi="Times New Roman" w:cs="Times New Roman" w:eastAsia="Times New Roman"/>
          <w:b/>
          <w:sz w:val="24"/>
        </w:rPr>
        <w:t>6.4.1  COARSE TEMPORAL TOKENS</w:t>
      </w:r>
    </w:p>
    <w:p>
      <w:pPr>
        <w:pStyle w:val="BodyJ"/>
      </w:pPr>
      <w:r>
        <w:rPr>
          <w:rFonts w:ascii="Times New Roman" w:hAnsi="Times New Roman" w:cs="Times New Roman" w:eastAsia="Times New Roman"/>
        </w:rPr>
        <w:t>With 16 temporal tokens over a 2.0 s record, each token nominally covers 125 ms. The synthetic P100 peaks of the Healthy Control (100 ms) and Glaucoma (108 ms) classes both fall in the first token, while the delayed peak of Optic Neuritis / CVI (140 ms) falls in the second (Figure 4.3). The latency difference between the first two classes (8 ms) is therefore far below the nominal token resolution. This is not necessarily a defect, because the tokens are learned, overlapping features with a large receptive field and not literal time bins, but it means that the temporal tokens should not be read as calibrated time axes, and the attention heatmap cannot be read as pointing at a millisecond (Section 4.7).</w:t>
      </w:r>
    </w:p>
    <w:p>
      <w:pPr>
        <w:pStyle w:val="Heading3"/>
      </w:pPr>
      <w:r>
        <w:rPr>
          <w:rFonts w:ascii="Times New Roman" w:hAnsi="Times New Roman" w:cs="Times New Roman" w:eastAsia="Times New Roman"/>
          <w:b/>
          <w:sz w:val="24"/>
        </w:rPr>
        <w:t>6.4.2  SYNTHETIC SEPARABILITY</w:t>
      </w:r>
    </w:p>
    <w:p>
      <w:pPr>
        <w:pStyle w:val="BodyJ"/>
      </w:pPr>
      <w:r>
        <w:rPr>
          <w:rFonts w:ascii="Times New Roman" w:hAnsi="Times New Roman" w:cs="Times New Roman" w:eastAsia="Times New Roman"/>
        </w:rPr>
        <w:t xml:space="preserve">In the original generator the synthetic classes differ in effects that are large relative to the noise (a 60% intensity reduction, an 80% intensity increase, shifts of up to 40 ms and a 2.4-fold amplitude change). A model that separates them has shown that the pipeline can learn from signals of this type, not that it can resolve the subtle, overlapping and heterogeneous changes present in patients. The same applies to the test thresholds. It is also why the earlier training demonstrations, which used the default generator, could not show that fusion helps: in those runs the VEP alone was almost perfectly separable (the VEP-only head reached 99.0%, the MRI-only head 70.8%), so a fused model could reach a high accuracy simply by following the VEP. That observation motivated the controllable generator and the benchmark of Study A, in which the informativeness of each modality is set so that neither is sufficient alone.</w:t>
      </w:r>
    </w:p>
    <w:p>
      <w:pPr>
        <w:pStyle w:val="Heading3"/>
      </w:pPr>
      <w:r>
        <w:rPr>
          <w:rFonts w:ascii="Times New Roman" w:hAnsi="Times New Roman" w:cs="Times New Roman" w:eastAsia="Times New Roman"/>
          <w:b/>
          <w:sz w:val="24"/>
        </w:rPr>
        <w:t>6.4.3  MULTI-TASK SUPERVISION AND ATTENTION</w:t>
      </w:r>
    </w:p>
    <w:p>
      <w:pPr>
        <w:pStyle w:val="BodyJ"/>
      </w:pPr>
      <w:r>
        <w:rPr>
          <w:rFonts w:ascii="Times New Roman" w:hAnsi="Times New Roman" w:cs="Times New Roman" w:eastAsia="Times New Roman"/>
        </w:rPr>
        <w:t xml:space="preserve">The auxiliary unimodal heads give each encoder its own gradient signal and so guard against the fused head ignoring one modality, a risk that is known for multimodal networks; the ablation without the auxiliary loss in Study A tests whether they help in practice (Section 5.9). Likewise, the cross-attention weights are returned for inspection, but attention weights do not automatically constitute an explanation (Jain &amp; Wallace, 2019; Wiegreffe &amp; Pinter, 2019), and gradient-based maps can look plausible even when insensitive to the model's parameters (Adebayo et al., 2018). The explainability outputs of this project are accordingly presented as inspection aids whose faithfulness has not been tested.</w:t>
      </w:r>
    </w:p>
    <w:p>
      <w:pPr>
        <w:pStyle w:val="Heading3"/>
      </w:pPr>
      <w:r>
        <w:rPr>
          <w:rFonts w:ascii="Times New Roman" w:hAnsi="Times New Roman" w:cs="Times New Roman" w:eastAsia="Times New Roman"/>
          <w:b/>
          <w:sz w:val="24"/>
        </w:rPr>
        <w:t xml:space="preserve">6.4.4  PITFALLS DISCOVERED DURING THE PROJECT</w:t>
      </w:r>
    </w:p>
    <w:p>
      <w:pPr>
        <w:pStyle w:val="ListBullet"/>
      </w:pPr>
      <w:r>
        <w:rPr>
          <w:rFonts w:ascii="Times New Roman" w:hAnsi="Times New Roman" w:cs="Times New Roman" w:eastAsia="Times New Roman"/>
          <w:b/>
        </w:rPr>
        <w:t xml:space="preserve">Checkpoint selection.</w:t>
      </w:r>
      <w:r>
        <w:rPr>
          <w:rFonts w:ascii="Times New Roman" w:hAnsi="Times New Roman" w:cs="Times New Roman" w:eastAsia="Times New Roman"/>
        </w:rPr>
        <w:t xml:space="preserve"> With validation loss as the selection criterion, short runs could restore an untrained first-epoch model whose loss happened to be lowest; the smoke and demonstration runs ended at 33% accuracy for that reason. Selecting the checkpoint on validation balanced accuracy (</w:t>
      </w:r>
      <w:r>
        <w:rPr>
          <w:rFonts w:ascii="Courier New" w:hAnsi="Courier New" w:cs="Courier New" w:eastAsia="Courier New"/>
        </w:rPr>
        <w:t xml:space="preserve">select_metric</w:t>
      </w:r>
      <w:r>
        <w:rPr>
          <w:rFonts w:ascii="Times New Roman" w:hAnsi="Times New Roman" w:cs="Times New Roman" w:eastAsia="Times New Roman"/>
        </w:rPr>
        <w:t xml:space="preserve">) fixes this.</w:t>
      </w:r>
    </w:p>
    <w:p>
      <w:pPr>
        <w:pStyle w:val="ListBullet"/>
      </w:pPr>
      <w:r>
        <w:rPr>
          <w:rFonts w:ascii="Times New Roman" w:hAnsi="Times New Roman" w:cs="Times New Roman" w:eastAsia="Times New Roman"/>
          <w:b/>
        </w:rPr>
        <w:t xml:space="preserve">Centre crop versus whole heads.</w:t>
      </w:r>
      <w:r>
        <w:rPr>
          <w:rFonts w:ascii="Times New Roman" w:hAnsi="Times New Roman" w:cs="Times New Roman" w:eastAsia="Times New Roman"/>
        </w:rPr>
        <w:t xml:space="preserve"> A centre crop to 64³ is adequate for the small synthetic volumes but sees only a sliver of a real head about 170 mm across at 1 mm spacing; bounding-box resizing is needed for real scans.</w:t>
      </w:r>
    </w:p>
    <w:p>
      <w:pPr>
        <w:pStyle w:val="ListBullet"/>
      </w:pPr>
      <w:r>
        <w:rPr>
          <w:rFonts w:ascii="Times New Roman" w:hAnsi="Times New Roman" w:cs="Times New Roman" w:eastAsia="Times New Roman"/>
          <w:b/>
        </w:rPr>
        <w:t xml:space="preserve">Preprocessing can erase the signal.</w:t>
      </w:r>
      <w:r>
        <w:rPr>
          <w:rFonts w:ascii="Times New Roman" w:hAnsi="Times New Roman" w:cs="Times New Roman" w:eastAsia="Times New Roman"/>
        </w:rPr>
        <w:t xml:space="preserve"> In a single-seed diagnostic on the synthetic generator, switching the MRI pipeline from a percentile mask with min–max scaling to an Otsu mask with foreground z-scoring dropped the MRI-only accuracy from 73% to 41%, so Study A uses the original percentile-mask pipeline. The mask and normalisation therefore have to be checked for each data type.</w:t>
      </w:r>
    </w:p>
    <w:p>
      <w:pPr>
        <w:pStyle w:val="ListBullet"/>
      </w:pPr>
      <w:r>
        <w:rPr>
          <w:rFonts w:ascii="Times New Roman" w:hAnsi="Times New Roman" w:cs="Times New Roman" w:eastAsia="Times New Roman"/>
          <w:b/>
        </w:rPr>
        <w:t xml:space="preserve">Cohort identity.</w:t>
      </w:r>
      <w:r>
        <w:rPr>
          <w:rFonts w:ascii="Times New Roman" w:hAnsi="Times New Roman" w:cs="Times New Roman" w:eastAsia="Times New Roman"/>
        </w:rPr>
        <w:t xml:space="preserve"> The log spectrum alone identifies the cohort of a subject with 100% accuracy (majority baseline 50.5%), so a model could use cohort identity as a shortcut whenever the label balance differs between cohorts. Permutation tests that shuffle labels within cohorts and leave-one-cohort-out training are the safeguards used here.</w:t>
      </w:r>
    </w:p>
    <w:p>
      <w:pPr>
        <w:pStyle w:val="ListBullet"/>
      </w:pPr>
      <w:r>
        <w:rPr>
          <w:rFonts w:ascii="Times New Roman" w:hAnsi="Times New Roman" w:cs="Times New Roman" w:eastAsia="Times New Roman"/>
          <w:b/>
        </w:rPr>
        <w:t xml:space="preserve">Instability of the original design.</w:t>
      </w:r>
      <w:r>
        <w:rPr>
          <w:rFonts w:ascii="Times New Roman" w:hAnsi="Times New Roman" w:cs="Times New Roman" w:eastAsia="Times New Roman"/>
        </w:rPr>
        <w:t xml:space="preserve"> In an earlier comparison on 192 synthetic subjects and 30 epochs, the original (v1) and the v2 models both reached 98–100% accuracy once the best checkpoint was restored, but the v1 model was unstable (its validation accuracy ended at 48%), whereas the v2 model stayed at 94–100% (synthetic data).</w:t>
      </w:r>
    </w:p>
    <w:p>
      <w:pPr>
        <w:pStyle w:val="ListBullet"/>
      </w:pPr>
      <w:r>
        <w:rPr>
          <w:rFonts w:ascii="Times New Roman" w:hAnsi="Times New Roman" w:cs="Times New Roman" w:eastAsia="Times New Roman"/>
          <w:b/>
        </w:rPr>
        <w:t xml:space="preserve">Platform-specific defects.</w:t>
      </w:r>
      <w:r>
        <w:rPr>
          <w:rFonts w:ascii="Times New Roman" w:hAnsi="Times New Roman" w:cs="Times New Roman" w:eastAsia="Times New Roman"/>
        </w:rPr>
        <w:t xml:space="preserve"> Three latent defects were visible only on the second platform (Section 4.9).</w:t>
      </w:r>
    </w:p>
    <w:p>
      <w:pPr>
        <w:pStyle w:val="Heading2"/>
      </w:pPr>
      <w:r>
        <w:rPr>
          <w:rFonts w:ascii="Times New Roman" w:hAnsi="Times New Roman" w:cs="Times New Roman" w:eastAsia="Times New Roman"/>
          <w:b/>
          <w:sz w:val="28"/>
        </w:rPr>
        <w:t>6.5  COMPARISON WITH THE LITERATURE</w:t>
      </w:r>
    </w:p>
    <w:p>
      <w:pPr>
        <w:pStyle w:val="BodyJ"/>
      </w:pPr>
      <w:r>
        <w:rPr>
          <w:rFonts w:ascii="Times New Roman" w:hAnsi="Times New Roman" w:cs="Times New Roman" w:eastAsia="Times New Roman"/>
        </w:rPr>
        <w:t xml:space="preserve">The design follows the established practice of intermediate fusion of learned features (Baltrušaitis et al., 2019; Ramachandram &amp; Taylor, 2017) and uses cross-attention in the sense of the multimodal transformer and co-attentional models (Tsai et al., 2019; Lu et al., 2019); in this project each stream queries the other, with learned gates. The closest published studies are CAMF, which fuses structural and functional MRI for schizophrenia and reports that cross-attention beats concatenation and element-wise sum (Zhou et al., 2024), and DRIFA-Net, which applies dual attention to five medical-imaging datasets (Dhar et al., 2025); Table 2.4 summarises them. This project differs from them in the modalities (a volume and a one-dimensional signal), in scale (about 2 million parameters, compared with the large pre-trained models of the multimodal-transformer literature) and, above all, in evidence: those studies report one headline result per task on benchmark or clinical datasets, whereas this project reports a controlled synthetic benchmark and a candid test on two real cohorts that are not eye-disease data. The comparison with concatenation and element-wise sum follows the design of CAMF, which reports that cross-attention beats both by roughly 2 to 4 accuracy points on real schizophrenia data. In the controlled benchmark of this project the paired differences between CAFN and concatenation and element-wise sum are +0.7 and −1.4 points (</w:t>
      </w:r>
      <w:r>
        <w:rPr>
          <w:rFonts w:ascii="Times New Roman" w:hAnsi="Times New Roman" w:cs="Times New Roman" w:eastAsia="Times New Roman"/>
          <w:i/>
        </w:rPr>
        <w:t xml:space="preserve">p</w:t>
      </w:r>
      <w:r>
        <w:rPr>
          <w:rFonts w:ascii="Times New Roman" w:hAnsi="Times New Roman" w:cs="Times New Roman" w:eastAsia="Times New Roman"/>
        </w:rPr>
        <w:t xml:space="preserve"> = 0.63 and 0.47), of the order of the seed-to-seed standard deviation (about 4.3 points), so the finding of CAMF is neither confirmed nor refuted here; at this model and sample size the extra machinery of cross-attention did not buy accuracy. What cross-attention does provide, and concatenation does not, is attention maps in both directions that can be inspected; their faithfulness is not established. No numerical comparison with published classification results is made, since it would not be like-for-like.</w:t>
      </w:r>
    </w:p>
    <w:p>
      <w:pPr>
        <w:pStyle w:val="BodyJ"/>
      </w:pPr>
      <w:r>
        <w:rPr>
          <w:rFonts w:ascii="Times New Roman" w:hAnsi="Times New Roman" w:cs="Times New Roman" w:eastAsia="Times New Roman"/>
        </w:rPr>
        <w:t xml:space="preserve">The preprocessing choices are in line with the recommendations of the VEP standard on the importance of latency (Odom et al., 2016) and with the signal-processing literature on zero-phase filtering (Gustafsson, 1996; Oppenheim &amp; Schafer, 2010). The use of an intensity-percentile mask or of an Otsu threshold with morphological clean-up, by contrast, is below the standard of the neuroimaging literature, where dedicated tools such as HD-BET and SynthStrip are used (Isensee et al., 2019; Hoopes et al., 2022); the project acknowledges this explicitly.</w:t>
      </w:r>
    </w:p>
    <w:p>
      <w:pPr>
        <w:pStyle w:val="Heading2"/>
      </w:pPr>
      <w:r>
        <w:rPr>
          <w:rFonts w:ascii="Times New Roman" w:hAnsi="Times New Roman" w:cs="Times New Roman" w:eastAsia="Times New Roman"/>
          <w:b/>
          <w:sz w:val="28"/>
        </w:rPr>
        <w:t>6.6  CONSTRAINTS AND THREATS TO VALIDITY</w:t>
      </w:r>
    </w:p>
    <w:p>
      <w:pPr>
        <w:pStyle w:val="Caption"/>
        <w:keepNext/>
        <w:spacing w:before="160" w:after="80"/>
      </w:pPr>
      <w:bookmarkStart w:id="1058" w:name="_Ref_Table_6_2"/>
      <w:r>
        <w:rPr>
          <w:rFonts w:ascii="Times New Roman" w:hAnsi="Times New Roman" w:cs="Times New Roman" w:eastAsia="Times New Roman"/>
          <w:b/>
          <w:sz w:val="22"/>
        </w:rPr>
        <w:t xml:space="preserve">Table 6.2: </w:t>
      </w:r>
      <w:r>
        <w:rPr>
          <w:rFonts w:ascii="Times New Roman" w:hAnsi="Times New Roman" w:cs="Times New Roman" w:eastAsia="Times New Roman"/>
          <w:sz w:val="22"/>
        </w:rPr>
        <w:t>Constraints of the study and their consequence for the conclusions.</w:t>
      </w:r>
      <w:bookmarkEnd w:id="1058"/>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000"/>
        <w:gridCol w:w="5306"/>
      </w:tblGrid>
      <w:tr>
        <w:trPr>
          <w:cantSplit/>
          <w:tblHeader/>
        </w:trPr>
        <w:tc>
          <w:tcPr>
            <w:tcW w:type="dxa" w:w="3000"/>
            <w:shd w:val="clear" w:color="auto" w:fill="D9D9D9"/>
          </w:tcPr>
          <w:p>
            <w:pPr>
              <w:pStyle w:val="TableText"/>
              <w:keepNext/>
              <w:jc w:val="left"/>
            </w:pPr>
            <w:r>
              <w:rPr>
                <w:rFonts w:ascii="Times New Roman" w:hAnsi="Times New Roman" w:cs="Times New Roman" w:eastAsia="Times New Roman"/>
                <w:b/>
                <w:sz w:val="20"/>
              </w:rPr>
              <w:t xml:space="preserve">Constraint</w:t>
            </w:r>
          </w:p>
        </w:tc>
        <w:tc>
          <w:tcPr>
            <w:tcW w:type="dxa" w:w="5306"/>
            <w:shd w:val="clear" w:color="auto" w:fill="D9D9D9"/>
          </w:tcPr>
          <w:p>
            <w:pPr>
              <w:pStyle w:val="TableText"/>
              <w:keepNext/>
              <w:jc w:val="left"/>
            </w:pPr>
            <w:r>
              <w:rPr>
                <w:rFonts w:ascii="Times New Roman" w:hAnsi="Times New Roman" w:cs="Times New Roman" w:eastAsia="Times New Roman"/>
                <w:b/>
                <w:sz w:val="20"/>
              </w:rPr>
              <w:t xml:space="preserve">Consequence</w:t>
            </w:r>
          </w:p>
        </w:tc>
      </w:tr>
      <w:tr>
        <w:trPr>
          <w:cantSplit/>
        </w:trPr>
        <w:tc>
          <w:tcPr>
            <w:tcW w:type="dxa" w:w="3000"/>
          </w:tcPr>
          <w:p>
            <w:pPr>
              <w:pStyle w:val="TableText"/>
              <w:keepNext/>
              <w:jc w:val="left"/>
            </w:pPr>
            <w:r>
              <w:rPr>
                <w:rFonts w:ascii="Times New Roman" w:hAnsi="Times New Roman" w:cs="Times New Roman" w:eastAsia="Times New Roman"/>
                <w:sz w:val="20"/>
              </w:rPr>
              <w:t xml:space="preserve">No eye-disease cohort; the three-class experiments are synthetic</w:t>
            </w:r>
          </w:p>
        </w:tc>
        <w:tc>
          <w:tcPr>
            <w:tcW w:type="dxa" w:w="5306"/>
          </w:tcPr>
          <w:p>
            <w:pPr>
              <w:pStyle w:val="TableText"/>
              <w:keepNext/>
              <w:jc w:val="left"/>
            </w:pPr>
            <w:r>
              <w:rPr>
                <w:rFonts w:ascii="Times New Roman" w:hAnsi="Times New Roman" w:cs="Times New Roman" w:eastAsia="Times New Roman"/>
                <w:sz w:val="20"/>
              </w:rPr>
              <w:t xml:space="preserve">No statement about diagnostic accuracy, sensitivity, specificity or generalisation to patients with glaucoma or optic neuritis is possible.</w:t>
            </w:r>
          </w:p>
        </w:tc>
      </w:tr>
      <w:tr>
        <w:trPr>
          <w:cantSplit/>
        </w:trPr>
        <w:tc>
          <w:tcPr>
            <w:tcW w:type="dxa" w:w="3000"/>
          </w:tcPr>
          <w:p>
            <w:pPr>
              <w:pStyle w:val="TableText"/>
              <w:keepNext/>
              <w:jc w:val="left"/>
            </w:pPr>
            <w:r>
              <w:rPr>
                <w:rFonts w:ascii="Times New Roman" w:hAnsi="Times New Roman" w:cs="Times New Roman" w:eastAsia="Times New Roman"/>
                <w:sz w:val="20"/>
              </w:rPr>
              <w:t xml:space="preserve">The real cohorts are other disorders, with a pan-disorder label and a spectrum in place of the VEP</w:t>
            </w:r>
          </w:p>
        </w:tc>
        <w:tc>
          <w:tcPr>
            <w:tcW w:type="dxa" w:w="5306"/>
          </w:tcPr>
          <w:p>
            <w:pPr>
              <w:pStyle w:val="TableText"/>
              <w:keepNext/>
              <w:jc w:val="left"/>
            </w:pPr>
            <w:r>
              <w:rPr>
                <w:rFonts w:ascii="Times New Roman" w:hAnsi="Times New Roman" w:cs="Times New Roman" w:eastAsia="Times New Roman"/>
                <w:sz w:val="20"/>
              </w:rPr>
              <w:t xml:space="preserve">The real-cohort results test the pipeline, not the clinical hypothesis; they say nothing about MRI–VEP fusion in visual-pathway disease.</w:t>
            </w:r>
          </w:p>
        </w:tc>
      </w:tr>
      <w:tr>
        <w:trPr>
          <w:cantSplit/>
        </w:trPr>
        <w:tc>
          <w:tcPr>
            <w:tcW w:type="dxa" w:w="3000"/>
          </w:tcPr>
          <w:p>
            <w:pPr>
              <w:pStyle w:val="TableText"/>
              <w:keepNext/>
              <w:jc w:val="left"/>
            </w:pPr>
            <w:r>
              <w:rPr>
                <w:rFonts w:ascii="Times New Roman" w:hAnsi="Times New Roman" w:cs="Times New Roman" w:eastAsia="Times New Roman"/>
                <w:sz w:val="20"/>
              </w:rPr>
              <w:t xml:space="preserve">Small real sample (95 subjects; per-cohort test splits of about seven)</w:t>
            </w:r>
          </w:p>
        </w:tc>
        <w:tc>
          <w:tcPr>
            <w:tcW w:type="dxa" w:w="5306"/>
          </w:tcPr>
          <w:p>
            <w:pPr>
              <w:pStyle w:val="TableText"/>
              <w:keepNext/>
              <w:jc w:val="left"/>
            </w:pPr>
            <w:r>
              <w:rPr>
                <w:rFonts w:ascii="Times New Roman" w:hAnsi="Times New Roman" w:cs="Times New Roman" w:eastAsia="Times New Roman"/>
                <w:sz w:val="20"/>
              </w:rPr>
              <w:t xml:space="preserve">Single-split metrics are very noisy and bootstrap intervals are wide (for example 0.45–0.68); a weak effect cannot be separated from chance with confidence.</w:t>
            </w:r>
          </w:p>
        </w:tc>
      </w:tr>
      <w:tr>
        <w:trPr>
          <w:cantSplit/>
        </w:trPr>
        <w:tc>
          <w:tcPr>
            <w:tcW w:type="dxa" w:w="3000"/>
          </w:tcPr>
          <w:p>
            <w:pPr>
              <w:pStyle w:val="TableText"/>
              <w:keepNext/>
              <w:jc w:val="left"/>
            </w:pPr>
            <w:r>
              <w:rPr>
                <w:rFonts w:ascii="Times New Roman" w:hAnsi="Times New Roman" w:cs="Times New Roman" w:eastAsia="Times New Roman"/>
                <w:sz w:val="20"/>
              </w:rPr>
              <w:t xml:space="preserve">Cohort identity is recoverable from the spectrum (100% accuracy)</w:t>
            </w:r>
          </w:p>
        </w:tc>
        <w:tc>
          <w:tcPr>
            <w:tcW w:type="dxa" w:w="5306"/>
          </w:tcPr>
          <w:p>
            <w:pPr>
              <w:pStyle w:val="TableText"/>
              <w:keepNext/>
              <w:jc w:val="left"/>
            </w:pPr>
            <w:r>
              <w:rPr>
                <w:rFonts w:ascii="Times New Roman" w:hAnsi="Times New Roman" w:cs="Times New Roman" w:eastAsia="Times New Roman"/>
                <w:sz w:val="20"/>
              </w:rPr>
              <w:t xml:space="preserve">A model could use cohort identity as a shortcut; within-cohort permutation tests and leave-one-cohort-out training limit, but do not remove, this risk.</w:t>
            </w:r>
          </w:p>
        </w:tc>
      </w:tr>
      <w:tr>
        <w:trPr>
          <w:cantSplit/>
        </w:trPr>
        <w:tc>
          <w:tcPr>
            <w:tcW w:type="dxa" w:w="3000"/>
          </w:tcPr>
          <w:p>
            <w:pPr>
              <w:pStyle w:val="TableText"/>
              <w:keepNext/>
              <w:jc w:val="left"/>
            </w:pPr>
            <w:r>
              <w:rPr>
                <w:rFonts w:ascii="Times New Roman" w:hAnsi="Times New Roman" w:cs="Times New Roman" w:eastAsia="Times New Roman"/>
                <w:sz w:val="20"/>
              </w:rPr>
              <w:t xml:space="preserve">The synthetic modalities are independent given the label</w:t>
            </w:r>
          </w:p>
        </w:tc>
        <w:tc>
          <w:tcPr>
            <w:tcW w:type="dxa" w:w="5306"/>
          </w:tcPr>
          <w:p>
            <w:pPr>
              <w:pStyle w:val="TableText"/>
              <w:keepNext/>
              <w:jc w:val="left"/>
            </w:pPr>
            <w:r>
              <w:rPr>
                <w:rFonts w:ascii="Times New Roman" w:hAnsi="Times New Roman" w:cs="Times New Roman" w:eastAsia="Times New Roman"/>
                <w:sz w:val="20"/>
              </w:rPr>
              <w:t xml:space="preserve">The benchmark shows when fusion can help in that setting, not how often real modalities behave that way; one generator and a limited number of seeds were used.</w:t>
            </w:r>
          </w:p>
        </w:tc>
      </w:tr>
      <w:tr>
        <w:trPr>
          <w:cantSplit/>
        </w:trPr>
        <w:tc>
          <w:tcPr>
            <w:tcW w:type="dxa" w:w="3000"/>
          </w:tcPr>
          <w:p>
            <w:pPr>
              <w:pStyle w:val="TableText"/>
              <w:keepNext/>
              <w:jc w:val="left"/>
            </w:pPr>
            <w:r>
              <w:rPr>
                <w:rFonts w:ascii="Times New Roman" w:hAnsi="Times New Roman" w:cs="Times New Roman" w:eastAsia="Times New Roman"/>
                <w:sz w:val="20"/>
              </w:rPr>
              <w:t xml:space="preserve">Analytic complexity counts</w:t>
            </w:r>
          </w:p>
        </w:tc>
        <w:tc>
          <w:tcPr>
            <w:tcW w:type="dxa" w:w="5306"/>
          </w:tcPr>
          <w:p>
            <w:pPr>
              <w:pStyle w:val="TableText"/>
              <w:keepNext/>
              <w:jc w:val="left"/>
            </w:pPr>
            <w:r>
              <w:rPr>
                <w:rFonts w:ascii="Times New Roman" w:hAnsi="Times New Roman" w:cs="Times New Roman" w:eastAsia="Times New Roman"/>
                <w:sz w:val="20"/>
              </w:rPr>
              <w:t xml:space="preserve">Counts of parameters and MACs are derived from the layer definitions, not profiled; memory use and run time were not systematically measured.</w:t>
            </w:r>
          </w:p>
        </w:tc>
      </w:tr>
      <w:tr>
        <w:trPr>
          <w:cantSplit/>
        </w:trPr>
        <w:tc>
          <w:tcPr>
            <w:tcW w:type="dxa" w:w="3000"/>
          </w:tcPr>
          <w:p>
            <w:pPr>
              <w:pStyle w:val="TableText"/>
              <w:keepNext/>
              <w:jc w:val="left"/>
            </w:pPr>
            <w:r>
              <w:rPr>
                <w:rFonts w:ascii="Times New Roman" w:hAnsi="Times New Roman" w:cs="Times New Roman" w:eastAsia="Times New Roman"/>
                <w:sz w:val="20"/>
              </w:rPr>
              <w:t xml:space="preserve">Coverage not re-measured for the current code</w:t>
            </w:r>
          </w:p>
        </w:tc>
        <w:tc>
          <w:tcPr>
            <w:tcW w:type="dxa" w:w="5306"/>
          </w:tcPr>
          <w:p>
            <w:pPr>
              <w:pStyle w:val="TableText"/>
              <w:keepNext/>
              <w:jc w:val="left"/>
            </w:pPr>
            <w:r>
              <w:rPr>
                <w:rFonts w:ascii="Times New Roman" w:hAnsi="Times New Roman" w:cs="Times New Roman" w:eastAsia="Times New Roman"/>
                <w:sz w:val="20"/>
              </w:rPr>
              <w:t xml:space="preserve">The 95.1% figure applies to the original code base; no coverage claim is made for the code added since, and test counts and pass status are reported instead.</w:t>
            </w:r>
          </w:p>
        </w:tc>
      </w:tr>
      <w:tr>
        <w:trPr>
          <w:cantSplit/>
        </w:trPr>
        <w:tc>
          <w:tcPr>
            <w:tcW w:type="dxa" w:w="3000"/>
          </w:tcPr>
          <w:p>
            <w:pPr>
              <w:pStyle w:val="TableText"/>
              <w:jc w:val="left"/>
            </w:pPr>
            <w:r>
              <w:rPr>
                <w:rFonts w:ascii="Times New Roman" w:hAnsi="Times New Roman" w:cs="Times New Roman" w:eastAsia="Times New Roman"/>
                <w:sz w:val="20"/>
              </w:rPr>
              <w:t xml:space="preserve">Placeholder foreground masks</w:t>
            </w:r>
          </w:p>
        </w:tc>
        <w:tc>
          <w:tcPr>
            <w:tcW w:type="dxa" w:w="5306"/>
          </w:tcPr>
          <w:p>
            <w:pPr>
              <w:pStyle w:val="TableText"/>
              <w:jc w:val="left"/>
            </w:pPr>
            <w:r>
              <w:rPr>
                <w:rFonts w:ascii="Times New Roman" w:hAnsi="Times New Roman" w:cs="Times New Roman" w:eastAsia="Times New Roman"/>
                <w:sz w:val="20"/>
              </w:rPr>
              <w:t xml:space="preserve">Conclusions about the spatial encoder depend on the mask and cannot be transferred to skull-stripped real scans.</w:t>
            </w:r>
          </w:p>
        </w:tc>
      </w:tr>
    </w:tbl>
    <w:p>
      <w:pPr>
        <w:spacing w:after="80" w:line="240" w:lineRule="auto"/>
      </w:pPr>
    </w:p>
    <w:p>
      <w:pPr>
        <w:pStyle w:val="Heading1"/>
      </w:pPr>
      <w:r>
        <w:rPr>
          <w:rFonts w:ascii="Times New Roman" w:hAnsi="Times New Roman" w:cs="Times New Roman" w:eastAsia="Times New Roman"/>
          <w:b/>
          <w:sz w:val="24"/>
        </w:rPr>
        <w:t>CHAPTER 7</w:t>
        <w:br/>
      </w:r>
      <w:r>
        <w:rPr>
          <w:rFonts w:ascii="Times New Roman" w:hAnsi="Times New Roman" w:cs="Times New Roman" w:eastAsia="Times New Roman"/>
          <w:b/>
          <w:sz w:val="32"/>
        </w:rPr>
        <w:t>CONCLUSION, RECOMMENDATIONS AND FUTURE WORK</w:t>
      </w:r>
    </w:p>
    <w:p>
      <w:pPr>
        <w:pStyle w:val="Heading2"/>
      </w:pPr>
      <w:r>
        <w:rPr>
          <w:rFonts w:ascii="Times New Roman" w:hAnsi="Times New Roman" w:cs="Times New Roman" w:eastAsia="Times New Roman"/>
          <w:b/>
          <w:sz w:val="28"/>
        </w:rPr>
        <w:t>7.1  CONCLUSION</w:t>
      </w:r>
    </w:p>
    <w:p>
      <w:pPr>
        <w:pStyle w:val="BodyJ"/>
      </w:pPr>
      <w:r>
        <w:rPr>
          <w:rFonts w:ascii="Times New Roman" w:hAnsi="Times New Roman" w:cs="Times New Roman" w:eastAsia="Times New Roman"/>
        </w:rPr>
        <w:t xml:space="preserve">This project designed, implemented and tested a research prototype of a cross-attention fusion network (CAFN) that combines a 3D structural MRI volume with a 1D electrophysiological signal, classifies the pair, and produces 3D Grad-CAM maps and spatial–temporal attention heatmaps for each prediction. The final design fuses 64 spatial and 16 temporal tokens by gated bidirectional cross-attention, with learned attention pooling, positional embeddings, squeeze-and-excitation and multi-scale temporal convolutions (1,955,140 parameters), and is supervised by a fused head and two auxiliary unimodal heads. The pipeline can be exercised from raw NIfTI and CSV files, and from two public OpenNeuro cohorts, through to an optimiser step and the explainability outputs; it is covered by 340 automated tests that pass on two platforms and by a one-command, seeded and resumable reproduction script. Beyond the prototype, the project built what is needed to evaluate the fusion design honestly: fusion baselines (concatenation, element-wise sum, unimodal), a synthetic generator with controllable modality informativeness, and a real-cohort protocol with leave-one-cohort-out training, repeated cross-validation, bootstrap intervals and permutation tests.</w:t>
      </w:r>
    </w:p>
    <w:p>
      <w:pPr>
        <w:pStyle w:val="BodyJ"/>
      </w:pPr>
      <w:r>
        <w:rPr>
          <w:rFonts w:ascii="Times New Roman" w:hAnsi="Times New Roman" w:cs="Times New Roman" w:eastAsia="Times New Roman"/>
        </w:rPr>
        <w:t xml:space="preserve">What the project does not establish is equally important. No public dataset provides paired MRI, VEP and the required diagnosis labels, so the three-class experiments use a synthetic benchmark whose results are a controlled comparison of architectures and not clinical performance. On the two real public cohorts, which are not eye-disease data, the proposed model is at chance level (test accuracy 0.45 to 0.52 in pooled and leave-one-cohort-out runs), a weak spectral signal is detectable (cross-validated ROC-AUC about 0.56 to 0.62, the best being a spectrum-only network), nothing transfers consistently between cohorts, and the spectrum alone identifies the cohort perfectly. The project therefore makes no claim about diagnostic accuracy, detection of glaucoma or optic neuritis, generalisation across cohorts or state-of-the-art performance. Its value is as a transparent, tested and candidly evaluated foundation on which an evaluation with real, labelled data can be built.</w:t>
      </w:r>
    </w:p>
    <w:p>
      <w:pPr>
        <w:pStyle w:val="BodyJ"/>
      </w:pPr>
      <w:r>
        <w:rPr>
          <w:rFonts w:ascii="Times New Roman" w:hAnsi="Times New Roman" w:cs="Times New Roman" w:eastAsia="Times New Roman"/>
        </w:rPr>
        <w:t xml:space="preserve">On when fusion helps, the controlled synthetic benchmark gives a clear but limited answer. Fusion improved test accuracy by about 10.7 percentage points over the better single modality (paired over 5 seeds, </w:t>
      </w:r>
      <w:r>
        <w:rPr>
          <w:rFonts w:ascii="Times New Roman" w:hAnsi="Times New Roman" w:cs="Times New Roman" w:eastAsia="Times New Roman"/>
          <w:i/>
        </w:rPr>
        <w:t xml:space="preserve">p</w:t>
      </w:r>
      <w:r>
        <w:rPr>
          <w:rFonts w:ascii="Times New Roman" w:hAnsi="Times New Roman" w:cs="Times New Roman" w:eastAsia="Times New Roman"/>
        </w:rPr>
        <w:t xml:space="preserve"> &lt; 0.001; chance 33.3%), and the gain was largest at intermediate informativeness and vanished when one modality dominated. However, gated bidirectional cross-attention (78.1%) was statistically indistinguishable from concatenation (77.5%) and element-wise sum (79.6%), and none of seven component ablations produced a reliable change. The project therefore does not show that cross-attention is more accurate than simpler fusion; what it adds is inspectable attention maps in both directions.</w:t>
      </w:r>
    </w:p>
    <w:p>
      <w:pPr>
        <w:pStyle w:val="Heading2"/>
      </w:pPr>
      <w:r>
        <w:rPr>
          <w:rFonts w:ascii="Times New Roman" w:hAnsi="Times New Roman" w:cs="Times New Roman" w:eastAsia="Times New Roman"/>
          <w:b/>
          <w:sz w:val="28"/>
        </w:rPr>
        <w:t>7.2  CONCLUSIONS AGAINST THE OBJECTIVES</w:t>
      </w:r>
    </w:p>
    <w:p>
      <w:pPr>
        <w:pStyle w:val="Caption"/>
        <w:keepNext/>
        <w:spacing w:before="160" w:after="80"/>
      </w:pPr>
      <w:bookmarkStart w:id="1059" w:name="_Ref_Table_7_1"/>
      <w:r>
        <w:rPr>
          <w:rFonts w:ascii="Times New Roman" w:hAnsi="Times New Roman" w:cs="Times New Roman" w:eastAsia="Times New Roman"/>
          <w:b/>
          <w:sz w:val="22"/>
        </w:rPr>
        <w:t xml:space="preserve">Table 7.1: </w:t>
      </w:r>
      <w:r>
        <w:rPr>
          <w:rFonts w:ascii="Times New Roman" w:hAnsi="Times New Roman" w:cs="Times New Roman" w:eastAsia="Times New Roman"/>
          <w:sz w:val="22"/>
        </w:rPr>
        <w:t>Status of each objective.</w:t>
      </w:r>
      <w:bookmarkEnd w:id="1059"/>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2000"/>
        <w:gridCol w:w="2200"/>
        <w:gridCol w:w="4106"/>
      </w:tblGrid>
      <w:tr>
        <w:trPr>
          <w:cantSplit/>
          <w:tblHeader/>
        </w:trPr>
        <w:tc>
          <w:tcPr>
            <w:tcW w:type="dxa" w:w="2000"/>
            <w:shd w:val="clear" w:color="auto" w:fill="D9D9D9"/>
          </w:tcPr>
          <w:p>
            <w:pPr>
              <w:pStyle w:val="TableText"/>
              <w:keepNext/>
              <w:jc w:val="left"/>
            </w:pPr>
            <w:r>
              <w:rPr>
                <w:rFonts w:ascii="Times New Roman" w:hAnsi="Times New Roman" w:cs="Times New Roman" w:eastAsia="Times New Roman"/>
                <w:b/>
                <w:sz w:val="20"/>
              </w:rPr>
              <w:t xml:space="preserve">Objective</w:t>
            </w:r>
          </w:p>
        </w:tc>
        <w:tc>
          <w:tcPr>
            <w:tcW w:type="dxa" w:w="2200"/>
            <w:shd w:val="clear" w:color="auto" w:fill="D9D9D9"/>
          </w:tcPr>
          <w:p>
            <w:pPr>
              <w:pStyle w:val="TableText"/>
              <w:keepNext/>
              <w:jc w:val="left"/>
            </w:pPr>
            <w:r>
              <w:rPr>
                <w:rFonts w:ascii="Times New Roman" w:hAnsi="Times New Roman" w:cs="Times New Roman" w:eastAsia="Times New Roman"/>
                <w:b/>
                <w:sz w:val="20"/>
              </w:rPr>
              <w:t xml:space="preserve">Outcome</w:t>
            </w:r>
          </w:p>
        </w:tc>
        <w:tc>
          <w:tcPr>
            <w:tcW w:type="dxa" w:w="4106"/>
            <w:shd w:val="clear" w:color="auto" w:fill="D9D9D9"/>
          </w:tcPr>
          <w:p>
            <w:pPr>
              <w:pStyle w:val="TableText"/>
              <w:keepNext/>
              <w:jc w:val="left"/>
            </w:pPr>
            <w:r>
              <w:rPr>
                <w:rFonts w:ascii="Times New Roman" w:hAnsi="Times New Roman" w:cs="Times New Roman" w:eastAsia="Times New Roman"/>
                <w:b/>
                <w:sz w:val="20"/>
              </w:rPr>
              <w:t xml:space="preserve">Evidence</w:t>
            </w:r>
          </w:p>
        </w:tc>
      </w:tr>
      <w:tr>
        <w:trPr>
          <w:cantSplit/>
        </w:trPr>
        <w:tc>
          <w:tcPr>
            <w:tcW w:type="dxa" w:w="2000"/>
          </w:tcPr>
          <w:p>
            <w:pPr>
              <w:pStyle w:val="TableText"/>
              <w:keepNext/>
              <w:jc w:val="left"/>
            </w:pPr>
            <w:r>
              <w:rPr>
                <w:rFonts w:ascii="Times New Roman" w:hAnsi="Times New Roman" w:cs="Times New Roman" w:eastAsia="Times New Roman"/>
                <w:sz w:val="20"/>
              </w:rPr>
              <w:t xml:space="preserve">O1  Data interface</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Manifest-driven dataset yielding (1, 64, 64, 64) (or 32³) and (1, 500) tensors from synthetic files and from the two real cohorts; end-to-end tests from raw files (Sections 3.6, 5.5)</w:t>
            </w:r>
          </w:p>
        </w:tc>
      </w:tr>
      <w:tr>
        <w:trPr>
          <w:cantSplit/>
        </w:trPr>
        <w:tc>
          <w:tcPr>
            <w:tcW w:type="dxa" w:w="2000"/>
          </w:tcPr>
          <w:p>
            <w:pPr>
              <w:pStyle w:val="TableText"/>
              <w:keepNext/>
              <w:jc w:val="left"/>
            </w:pPr>
            <w:r>
              <w:rPr>
                <w:rFonts w:ascii="Times New Roman" w:hAnsi="Times New Roman" w:cs="Times New Roman" w:eastAsia="Times New Roman"/>
                <w:sz w:val="20"/>
              </w:rPr>
              <w:t xml:space="preserve">O2  Signal conditioning</w:t>
            </w:r>
          </w:p>
        </w:tc>
        <w:tc>
          <w:tcPr>
            <w:tcW w:type="dxa" w:w="2200"/>
          </w:tcPr>
          <w:p>
            <w:pPr>
              <w:pStyle w:val="TableText"/>
              <w:keepNext/>
              <w:jc w:val="left"/>
            </w:pPr>
            <w:r>
              <w:rPr>
                <w:rFonts w:ascii="Times New Roman" w:hAnsi="Times New Roman" w:cs="Times New Roman" w:eastAsia="Times New Roman"/>
                <w:sz w:val="20"/>
              </w:rPr>
              <w:t xml:space="preserve">Achieved for the VEP and the spectrum; MRI masking is a placeholder</w:t>
            </w:r>
          </w:p>
        </w:tc>
        <w:tc>
          <w:tcPr>
            <w:tcW w:type="dxa" w:w="4106"/>
          </w:tcPr>
          <w:p>
            <w:pPr>
              <w:pStyle w:val="TableText"/>
              <w:keepNext/>
              <w:jc w:val="left"/>
            </w:pPr>
            <w:r>
              <w:rPr>
                <w:rFonts w:ascii="Times New Roman" w:hAnsi="Times New Roman" w:cs="Times New Roman" w:eastAsia="Times New Roman"/>
                <w:sz w:val="20"/>
              </w:rPr>
              <w:t xml:space="preserve">Zero-phase pipeline keeps P100 latency within one sample in 149 of 150 trials; notch −6 dB band 1.65 Hz; percentile and Otsu masks are not skull-stripping (Sections 5.2, 5.3)</w:t>
            </w:r>
          </w:p>
        </w:tc>
      </w:tr>
      <w:tr>
        <w:trPr>
          <w:cantSplit/>
        </w:trPr>
        <w:tc>
          <w:tcPr>
            <w:tcW w:type="dxa" w:w="2000"/>
          </w:tcPr>
          <w:p>
            <w:pPr>
              <w:pStyle w:val="TableText"/>
              <w:keepNext/>
              <w:jc w:val="left"/>
            </w:pPr>
            <w:r>
              <w:rPr>
                <w:rFonts w:ascii="Times New Roman" w:hAnsi="Times New Roman" w:cs="Times New Roman" w:eastAsia="Times New Roman"/>
                <w:sz w:val="20"/>
              </w:rPr>
              <w:t xml:space="preserve">O3  Dual encoders</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3D residual encoder with SE (894,504 parameters) and multi-scale 1D CNN (785,936) produce (B, 64, 128) and (B, 16, 128) tokens (Sections 4.2, 4.3, Table 5.5)</w:t>
            </w:r>
          </w:p>
        </w:tc>
      </w:tr>
      <w:tr>
        <w:trPr>
          <w:cantSplit/>
        </w:trPr>
        <w:tc>
          <w:tcPr>
            <w:tcW w:type="dxa" w:w="2000"/>
          </w:tcPr>
          <w:p>
            <w:pPr>
              <w:pStyle w:val="TableText"/>
              <w:keepNext/>
              <w:jc w:val="left"/>
            </w:pPr>
            <w:r>
              <w:rPr>
                <w:rFonts w:ascii="Times New Roman" w:hAnsi="Times New Roman" w:cs="Times New Roman" w:eastAsia="Times New Roman"/>
                <w:sz w:val="20"/>
              </w:rPr>
              <w:t xml:space="preserve">O4  Cross-attention fusion</w:t>
            </w:r>
          </w:p>
        </w:tc>
        <w:tc>
          <w:tcPr>
            <w:tcW w:type="dxa" w:w="2200"/>
          </w:tcPr>
          <w:p>
            <w:pPr>
              <w:pStyle w:val="TableText"/>
              <w:keepNext/>
              <w:jc w:val="left"/>
            </w:pPr>
            <w:r>
              <w:rPr>
                <w:rFonts w:ascii="Times New Roman" w:hAnsi="Times New Roman" w:cs="Times New Roman" w:eastAsia="Times New Roman"/>
                <w:sz w:val="20"/>
              </w:rPr>
              <w:t xml:space="preserve">Achieved at the implementation level; no accuracy advantage over simpler fusion was found</w:t>
            </w:r>
          </w:p>
        </w:tc>
        <w:tc>
          <w:tcPr>
            <w:tcW w:type="dxa" w:w="4106"/>
          </w:tcPr>
          <w:p>
            <w:pPr>
              <w:pStyle w:val="TableText"/>
              <w:keepNext/>
              <w:jc w:val="left"/>
            </w:pPr>
            <w:r>
              <w:rPr>
                <w:rFonts w:ascii="Times New Roman" w:hAnsi="Times New Roman" w:cs="Times New Roman" w:eastAsia="Times New Roman"/>
                <w:sz w:val="20"/>
              </w:rPr>
              <w:t xml:space="preserve">Gated bidirectional cross-attention, attention pooling, fusion baselines and the multi-task loss implemented and tested; synthetic benchmark: CAFN 78.1% against concatenation 77.5% and element-wise sum 79.6% (indistinguishable); real cohorts at chance (Sections 5.9, 5.12)</w:t>
            </w:r>
          </w:p>
        </w:tc>
      </w:tr>
      <w:tr>
        <w:trPr>
          <w:cantSplit/>
        </w:trPr>
        <w:tc>
          <w:tcPr>
            <w:tcW w:type="dxa" w:w="2000"/>
          </w:tcPr>
          <w:p>
            <w:pPr>
              <w:pStyle w:val="TableText"/>
              <w:keepNext/>
              <w:jc w:val="left"/>
            </w:pPr>
            <w:r>
              <w:rPr>
                <w:rFonts w:ascii="Times New Roman" w:hAnsi="Times New Roman" w:cs="Times New Roman" w:eastAsia="Times New Roman"/>
                <w:sz w:val="20"/>
              </w:rPr>
              <w:t xml:space="preserve">O5  Explainability</w:t>
            </w:r>
          </w:p>
        </w:tc>
        <w:tc>
          <w:tcPr>
            <w:tcW w:type="dxa" w:w="2200"/>
          </w:tcPr>
          <w:p>
            <w:pPr>
              <w:pStyle w:val="TableText"/>
              <w:keepNext/>
              <w:jc w:val="left"/>
            </w:pPr>
            <w:r>
              <w:rPr>
                <w:rFonts w:ascii="Times New Roman" w:hAnsi="Times New Roman" w:cs="Times New Roman" w:eastAsia="Times New Roman"/>
                <w:sz w:val="20"/>
              </w:rPr>
              <w:t xml:space="preserve">Achieved at the implementation level</w:t>
            </w:r>
          </w:p>
        </w:tc>
        <w:tc>
          <w:tcPr>
            <w:tcW w:type="dxa" w:w="4106"/>
          </w:tcPr>
          <w:p>
            <w:pPr>
              <w:pStyle w:val="TableText"/>
              <w:keepNext/>
              <w:jc w:val="left"/>
            </w:pPr>
            <w:r>
              <w:rPr>
                <w:rFonts w:ascii="Times New Roman" w:hAnsi="Times New Roman" w:cs="Times New Roman" w:eastAsia="Times New Roman"/>
                <w:sz w:val="20"/>
              </w:rPr>
              <w:t xml:space="preserve">3D Grad-CAM and Grad-CAM++, attention heatmaps for both directions and per head, P100 estimator; faithfulness not evaluated (Section 4.7)</w:t>
            </w:r>
          </w:p>
        </w:tc>
      </w:tr>
      <w:tr>
        <w:trPr>
          <w:cantSplit/>
        </w:trPr>
        <w:tc>
          <w:tcPr>
            <w:tcW w:type="dxa" w:w="2000"/>
          </w:tcPr>
          <w:p>
            <w:pPr>
              <w:pStyle w:val="TableText"/>
              <w:keepNext/>
              <w:jc w:val="left"/>
            </w:pPr>
            <w:r>
              <w:rPr>
                <w:rFonts w:ascii="Times New Roman" w:hAnsi="Times New Roman" w:cs="Times New Roman" w:eastAsia="Times New Roman"/>
                <w:sz w:val="20"/>
              </w:rPr>
              <w:t xml:space="preserve">O6  Verification</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340 tests passing on macOS and on Ubuntu with CUDA; filter, data and complexity measurements; 95.1% coverage for the original code only (Chapter 5)</w:t>
            </w:r>
          </w:p>
        </w:tc>
      </w:tr>
      <w:tr>
        <w:trPr>
          <w:cantSplit/>
        </w:trPr>
        <w:tc>
          <w:tcPr>
            <w:tcW w:type="dxa" w:w="2000"/>
          </w:tcPr>
          <w:p>
            <w:pPr>
              <w:pStyle w:val="TableText"/>
              <w:keepNext/>
              <w:jc w:val="left"/>
            </w:pPr>
            <w:r>
              <w:rPr>
                <w:rFonts w:ascii="Times New Roman" w:hAnsi="Times New Roman" w:cs="Times New Roman" w:eastAsia="Times New Roman"/>
                <w:sz w:val="20"/>
              </w:rPr>
              <w:t xml:space="preserve">O7  Honest scoping</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Limitations stated in Sections 1.6 and 6.6 and in Chapter 5; synthetic and real results labelled; negative real-cohort findings reported</w:t>
            </w:r>
          </w:p>
        </w:tc>
      </w:tr>
      <w:tr>
        <w:trPr>
          <w:cantSplit/>
        </w:trPr>
        <w:tc>
          <w:tcPr>
            <w:tcW w:type="dxa" w:w="2000"/>
          </w:tcPr>
          <w:p>
            <w:pPr>
              <w:pStyle w:val="TableText"/>
              <w:keepNext/>
              <w:jc w:val="left"/>
            </w:pPr>
            <w:r>
              <w:rPr>
                <w:rFonts w:ascii="Times New Roman" w:hAnsi="Times New Roman" w:cs="Times New Roman" w:eastAsia="Times New Roman"/>
                <w:sz w:val="20"/>
              </w:rPr>
              <w:t xml:space="preserve">O8  Controlled benchmark</w:t>
            </w:r>
          </w:p>
        </w:tc>
        <w:tc>
          <w:tcPr>
            <w:tcW w:type="dxa" w:w="2200"/>
          </w:tcPr>
          <w:p>
            <w:pPr>
              <w:pStyle w:val="TableText"/>
              <w:keepNext/>
              <w:jc w:val="left"/>
            </w:pPr>
            <w:r>
              <w:rPr>
                <w:rFonts w:ascii="Times New Roman" w:hAnsi="Times New Roman" w:cs="Times New Roman" w:eastAsia="Times New Roman"/>
                <w:sz w:val="20"/>
              </w:rPr>
              <w:t xml:space="preserve">Achieved</w:t>
            </w:r>
          </w:p>
        </w:tc>
        <w:tc>
          <w:tcPr>
            <w:tcW w:type="dxa" w:w="4106"/>
          </w:tcPr>
          <w:p>
            <w:pPr>
              <w:pStyle w:val="TableText"/>
              <w:keepNext/>
              <w:jc w:val="left"/>
            </w:pPr>
            <w:r>
              <w:rPr>
                <w:rFonts w:ascii="Times New Roman" w:hAnsi="Times New Roman" w:cs="Times New Roman" w:eastAsia="Times New Roman"/>
                <w:sz w:val="20"/>
              </w:rPr>
              <w:t xml:space="preserve">12 configurations on 4 to 7 seeds and an informativeness sweep: fusion beats the better single modality by 10.7 points; the fusion mechanism and the individual components make no reliable difference (Sections 5.9, 5.10)</w:t>
            </w:r>
          </w:p>
        </w:tc>
      </w:tr>
      <w:tr>
        <w:trPr>
          <w:cantSplit/>
        </w:trPr>
        <w:tc>
          <w:tcPr>
            <w:tcW w:type="dxa" w:w="2000"/>
          </w:tcPr>
          <w:p>
            <w:pPr>
              <w:pStyle w:val="TableText"/>
              <w:jc w:val="left"/>
            </w:pPr>
            <w:r>
              <w:rPr>
                <w:rFonts w:ascii="Times New Roman" w:hAnsi="Times New Roman" w:cs="Times New Roman" w:eastAsia="Times New Roman"/>
                <w:sz w:val="20"/>
              </w:rPr>
              <w:t xml:space="preserve">O9  Real-data protocol</w:t>
            </w:r>
          </w:p>
        </w:tc>
        <w:tc>
          <w:tcPr>
            <w:tcW w:type="dxa" w:w="2200"/>
          </w:tcPr>
          <w:p>
            <w:pPr>
              <w:pStyle w:val="TableText"/>
              <w:jc w:val="left"/>
            </w:pPr>
            <w:r>
              <w:rPr>
                <w:rFonts w:ascii="Times New Roman" w:hAnsi="Times New Roman" w:cs="Times New Roman" w:eastAsia="Times New Roman"/>
                <w:sz w:val="20"/>
              </w:rPr>
              <w:t xml:space="preserve">Achieved; real-cohort results at chance</w:t>
            </w:r>
          </w:p>
        </w:tc>
        <w:tc>
          <w:tcPr>
            <w:tcW w:type="dxa" w:w="4106"/>
          </w:tcPr>
          <w:p>
            <w:pPr>
              <w:pStyle w:val="TableText"/>
              <w:jc w:val="left"/>
            </w:pPr>
            <w:r>
              <w:rPr>
                <w:rFonts w:ascii="Times New Roman" w:hAnsi="Times New Roman" w:cs="Times New Roman" w:eastAsia="Times New Roman"/>
                <w:sz w:val="20"/>
              </w:rPr>
              <w:t xml:space="preserve">One-command pipeline and protocol run on 95 subjects; neural fusion at chance (CAFN ROC-AUC 0.51); weak spectral signal (ROC-AUC 0.56–0.62); no consistent transfer between cohorts (Sections 5.11, 5.12)</w:t>
            </w:r>
          </w:p>
        </w:tc>
      </w:tr>
    </w:tbl>
    <w:p>
      <w:pPr>
        <w:spacing w:after="80" w:line="240" w:lineRule="auto"/>
      </w:pPr>
    </w:p>
    <w:p>
      <w:pPr>
        <w:pStyle w:val="Heading2"/>
      </w:pPr>
      <w:r>
        <w:rPr>
          <w:rFonts w:ascii="Times New Roman" w:hAnsi="Times New Roman" w:cs="Times New Roman" w:eastAsia="Times New Roman"/>
          <w:b/>
          <w:sz w:val="28"/>
        </w:rPr>
        <w:t>7.3  RECOMMENDATIONS</w:t>
      </w:r>
    </w:p>
    <w:p>
      <w:pPr>
        <w:pStyle w:val="BodyJ"/>
      </w:pPr>
      <w:r>
        <w:rPr>
          <w:rFonts w:ascii="Times New Roman" w:hAnsi="Times New Roman" w:cs="Times New Roman" w:eastAsia="Times New Roman"/>
        </w:rPr>
        <w:t>The recommendations below are ordered by priority. Priority 1 items are prerequisites for any claim about the usefulness of the system, Priority 2 items raise the scientific quality of such a claim, and Priority 3 items improve robustness and usability. Effort estimates are indicative for a small research team.</w:t>
      </w:r>
    </w:p>
    <w:p>
      <w:pPr>
        <w:pStyle w:val="Caption"/>
        <w:keepNext/>
        <w:spacing w:before="160" w:after="80"/>
      </w:pPr>
      <w:bookmarkStart w:id="1060" w:name="_Ref_Table_7_2"/>
      <w:r>
        <w:rPr>
          <w:rFonts w:ascii="Times New Roman" w:hAnsi="Times New Roman" w:cs="Times New Roman" w:eastAsia="Times New Roman"/>
          <w:b/>
          <w:sz w:val="22"/>
        </w:rPr>
        <w:t xml:space="preserve">Table 7.2: </w:t>
      </w:r>
      <w:r>
        <w:rPr>
          <w:rFonts w:ascii="Times New Roman" w:hAnsi="Times New Roman" w:cs="Times New Roman" w:eastAsia="Times New Roman"/>
          <w:sz w:val="22"/>
        </w:rPr>
        <w:t>Prioritised recommendations.</w:t>
      </w:r>
      <w:bookmarkEnd w:id="1060"/>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800"/>
        <w:gridCol w:w="3200"/>
        <w:gridCol w:w="2706"/>
        <w:gridCol w:w="1600"/>
      </w:tblGrid>
      <w:tr>
        <w:trPr>
          <w:cantSplit/>
          <w:tblHeader/>
        </w:trPr>
        <w:tc>
          <w:tcPr>
            <w:tcW w:type="dxa" w:w="800"/>
            <w:shd w:val="clear" w:color="auto" w:fill="D9D9D9"/>
          </w:tcPr>
          <w:p>
            <w:pPr>
              <w:pStyle w:val="TableText"/>
              <w:keepNext/>
              <w:jc w:val="left"/>
            </w:pPr>
            <w:r>
              <w:rPr>
                <w:rFonts w:ascii="Times New Roman" w:hAnsi="Times New Roman" w:cs="Times New Roman" w:eastAsia="Times New Roman"/>
                <w:b/>
                <w:sz w:val="20"/>
              </w:rPr>
              <w:t xml:space="preserve">Priority</w:t>
            </w:r>
          </w:p>
        </w:tc>
        <w:tc>
          <w:tcPr>
            <w:tcW w:type="dxa" w:w="3200"/>
            <w:shd w:val="clear" w:color="auto" w:fill="D9D9D9"/>
          </w:tcPr>
          <w:p>
            <w:pPr>
              <w:pStyle w:val="TableText"/>
              <w:keepNext/>
              <w:jc w:val="left"/>
            </w:pPr>
            <w:r>
              <w:rPr>
                <w:rFonts w:ascii="Times New Roman" w:hAnsi="Times New Roman" w:cs="Times New Roman" w:eastAsia="Times New Roman"/>
                <w:b/>
                <w:sz w:val="20"/>
              </w:rPr>
              <w:t xml:space="preserve">Recommendation</w:t>
            </w:r>
          </w:p>
        </w:tc>
        <w:tc>
          <w:tcPr>
            <w:tcW w:type="dxa" w:w="2706"/>
            <w:shd w:val="clear" w:color="auto" w:fill="D9D9D9"/>
          </w:tcPr>
          <w:p>
            <w:pPr>
              <w:pStyle w:val="TableText"/>
              <w:keepNext/>
              <w:jc w:val="left"/>
            </w:pPr>
            <w:r>
              <w:rPr>
                <w:rFonts w:ascii="Times New Roman" w:hAnsi="Times New Roman" w:cs="Times New Roman" w:eastAsia="Times New Roman"/>
                <w:b/>
                <w:sz w:val="20"/>
              </w:rPr>
              <w:t xml:space="preserve">Basis in the findings</w:t>
            </w:r>
          </w:p>
        </w:tc>
        <w:tc>
          <w:tcPr>
            <w:tcW w:type="dxa" w:w="1600"/>
            <w:shd w:val="clear" w:color="auto" w:fill="D9D9D9"/>
          </w:tcPr>
          <w:p>
            <w:pPr>
              <w:pStyle w:val="TableText"/>
              <w:keepNext/>
              <w:jc w:val="left"/>
            </w:pPr>
            <w:r>
              <w:rPr>
                <w:rFonts w:ascii="Times New Roman" w:hAnsi="Times New Roman" w:cs="Times New Roman" w:eastAsia="Times New Roman"/>
                <w:b/>
                <w:sz w:val="20"/>
              </w:rPr>
              <w:t xml:space="preserve">Indicative effort</w:t>
            </w:r>
          </w:p>
        </w:tc>
      </w:tr>
      <w:tr>
        <w:trPr>
          <w:cantSplit/>
        </w:trPr>
        <w:tc>
          <w:tcPr>
            <w:tcW w:type="dxa" w:w="800"/>
          </w:tcPr>
          <w:p>
            <w:pPr>
              <w:pStyle w:val="TableText"/>
              <w:keepNext/>
              <w:jc w:val="left"/>
            </w:pPr>
            <w:r>
              <w:rPr>
                <w:rFonts w:ascii="Times New Roman" w:hAnsi="Times New Roman" w:cs="Times New Roman" w:eastAsia="Times New Roman"/>
                <w:sz w:val="20"/>
              </w:rPr>
              <w:t xml:space="preserve">1</w:t>
            </w:r>
          </w:p>
        </w:tc>
        <w:tc>
          <w:tcPr>
            <w:tcW w:type="dxa" w:w="3200"/>
          </w:tcPr>
          <w:p>
            <w:pPr>
              <w:pStyle w:val="TableText"/>
              <w:keepNext/>
              <w:jc w:val="left"/>
            </w:pPr>
            <w:r>
              <w:rPr>
                <w:rFonts w:ascii="Times New Roman" w:hAnsi="Times New Roman" w:cs="Times New Roman" w:eastAsia="Times New Roman"/>
                <w:sz w:val="20"/>
              </w:rPr>
              <w:t xml:space="preserve">Obtain a labelled, paired MRI–VEP cohort (or a clinical partner to label a subset), with ethics approval, diagnostic criteria and patient-level identifiers</w:t>
            </w:r>
          </w:p>
        </w:tc>
        <w:tc>
          <w:tcPr>
            <w:tcW w:type="dxa" w:w="2706"/>
          </w:tcPr>
          <w:p>
            <w:pPr>
              <w:pStyle w:val="TableText"/>
              <w:keepNext/>
              <w:jc w:val="left"/>
            </w:pPr>
            <w:r>
              <w:rPr>
                <w:rFonts w:ascii="Times New Roman" w:hAnsi="Times New Roman" w:cs="Times New Roman" w:eastAsia="Times New Roman"/>
                <w:sz w:val="20"/>
              </w:rPr>
              <w:t xml:space="preserve">Public data lack the diagnosis labels (Section 2.8); the real cohorts used are other disorders</w:t>
            </w:r>
          </w:p>
        </w:tc>
        <w:tc>
          <w:tcPr>
            <w:tcW w:type="dxa" w:w="1600"/>
          </w:tcPr>
          <w:p>
            <w:pPr>
              <w:pStyle w:val="TableText"/>
              <w:keepNext/>
              <w:jc w:val="left"/>
            </w:pPr>
            <w:r>
              <w:rPr>
                <w:rFonts w:ascii="Times New Roman" w:hAnsi="Times New Roman" w:cs="Times New Roman" w:eastAsia="Times New Roman"/>
                <w:sz w:val="20"/>
              </w:rPr>
              <w:t xml:space="preserve">Months; dependent on partners</w:t>
            </w:r>
          </w:p>
        </w:tc>
      </w:tr>
      <w:tr>
        <w:trPr>
          <w:cantSplit/>
        </w:trPr>
        <w:tc>
          <w:tcPr>
            <w:tcW w:type="dxa" w:w="800"/>
          </w:tcPr>
          <w:p>
            <w:pPr>
              <w:pStyle w:val="TableText"/>
              <w:keepNext/>
              <w:jc w:val="left"/>
            </w:pPr>
            <w:r>
              <w:rPr>
                <w:rFonts w:ascii="Times New Roman" w:hAnsi="Times New Roman" w:cs="Times New Roman" w:eastAsia="Times New Roman"/>
                <w:sz w:val="20"/>
              </w:rPr>
              <w:t xml:space="preserve">1</w:t>
            </w:r>
          </w:p>
        </w:tc>
        <w:tc>
          <w:tcPr>
            <w:tcW w:type="dxa" w:w="3200"/>
          </w:tcPr>
          <w:p>
            <w:pPr>
              <w:pStyle w:val="TableText"/>
              <w:keepNext/>
              <w:jc w:val="left"/>
            </w:pPr>
            <w:r>
              <w:rPr>
                <w:rFonts w:ascii="Times New Roman" w:hAnsi="Times New Roman" w:cs="Times New Roman" w:eastAsia="Times New Roman"/>
                <w:sz w:val="20"/>
              </w:rPr>
              <w:t xml:space="preserve">Replace the pan-disorder label by a disease-specific one and enlarge the real cohort; keep leave-one-cohort-out training and within-cohort permutation tests</w:t>
            </w:r>
          </w:p>
        </w:tc>
        <w:tc>
          <w:tcPr>
            <w:tcW w:type="dxa" w:w="2706"/>
          </w:tcPr>
          <w:p>
            <w:pPr>
              <w:pStyle w:val="TableText"/>
              <w:keepNext/>
              <w:jc w:val="left"/>
            </w:pPr>
            <w:r>
              <w:rPr>
                <w:rFonts w:ascii="Times New Roman" w:hAnsi="Times New Roman" w:cs="Times New Roman" w:eastAsia="Times New Roman"/>
                <w:sz w:val="20"/>
              </w:rPr>
              <w:t xml:space="preserve">Real-cohort results are at chance and 95 subjects give wide intervals (Sections 5.11, 5.12)</w:t>
            </w:r>
          </w:p>
        </w:tc>
        <w:tc>
          <w:tcPr>
            <w:tcW w:type="dxa" w:w="1600"/>
          </w:tcPr>
          <w:p>
            <w:pPr>
              <w:pStyle w:val="TableText"/>
              <w:keepNext/>
              <w:jc w:val="left"/>
            </w:pPr>
            <w:r>
              <w:rPr>
                <w:rFonts w:ascii="Times New Roman" w:hAnsi="Times New Roman" w:cs="Times New Roman" w:eastAsia="Times New Roman"/>
                <w:sz w:val="20"/>
              </w:rPr>
              <w:t xml:space="preserve">Months; dependent on data</w:t>
            </w:r>
          </w:p>
        </w:tc>
      </w:tr>
      <w:tr>
        <w:trPr>
          <w:cantSplit/>
        </w:trPr>
        <w:tc>
          <w:tcPr>
            <w:tcW w:type="dxa" w:w="800"/>
          </w:tcPr>
          <w:p>
            <w:pPr>
              <w:pStyle w:val="TableText"/>
              <w:keepNext/>
              <w:jc w:val="left"/>
            </w:pPr>
            <w:r>
              <w:rPr>
                <w:rFonts w:ascii="Times New Roman" w:hAnsi="Times New Roman" w:cs="Times New Roman" w:eastAsia="Times New Roman"/>
                <w:sz w:val="20"/>
              </w:rPr>
              <w:t xml:space="preserve">1</w:t>
            </w:r>
          </w:p>
        </w:tc>
        <w:tc>
          <w:tcPr>
            <w:tcW w:type="dxa" w:w="3200"/>
          </w:tcPr>
          <w:p>
            <w:pPr>
              <w:pStyle w:val="TableText"/>
              <w:keepNext/>
              <w:jc w:val="left"/>
            </w:pPr>
            <w:r>
              <w:rPr>
                <w:rFonts w:ascii="Times New Roman" w:hAnsi="Times New Roman" w:cs="Times New Roman" w:eastAsia="Times New Roman"/>
                <w:sz w:val="20"/>
              </w:rPr>
              <w:t xml:space="preserve">Guard against cohort-identity shortcuts (cohort-stratified splits, within-cohort permutation tests as here; consider harmonisation)</w:t>
            </w:r>
          </w:p>
        </w:tc>
        <w:tc>
          <w:tcPr>
            <w:tcW w:type="dxa" w:w="2706"/>
          </w:tcPr>
          <w:p>
            <w:pPr>
              <w:pStyle w:val="TableText"/>
              <w:keepNext/>
              <w:jc w:val="left"/>
            </w:pPr>
            <w:r>
              <w:rPr>
                <w:rFonts w:ascii="Times New Roman" w:hAnsi="Times New Roman" w:cs="Times New Roman" w:eastAsia="Times New Roman"/>
                <w:sz w:val="20"/>
              </w:rPr>
              <w:t xml:space="preserve">The spectrum identifies the cohort with 100% accuracy (Section 6.4.4)</w:t>
            </w:r>
          </w:p>
        </w:tc>
        <w:tc>
          <w:tcPr>
            <w:tcW w:type="dxa" w:w="1600"/>
          </w:tcPr>
          <w:p>
            <w:pPr>
              <w:pStyle w:val="TableText"/>
              <w:keepNext/>
              <w:jc w:val="left"/>
            </w:pPr>
            <w:r>
              <w:rPr>
                <w:rFonts w:ascii="Times New Roman" w:hAnsi="Times New Roman" w:cs="Times New Roman" w:eastAsia="Times New Roman"/>
                <w:sz w:val="20"/>
              </w:rPr>
              <w:t xml:space="preserve">1–2 weeks</w:t>
            </w:r>
          </w:p>
        </w:tc>
      </w:tr>
      <w:tr>
        <w:trPr>
          <w:cantSplit/>
        </w:trPr>
        <w:tc>
          <w:tcPr>
            <w:tcW w:type="dxa" w:w="800"/>
          </w:tcPr>
          <w:p>
            <w:pPr>
              <w:pStyle w:val="TableText"/>
              <w:keepNext/>
              <w:jc w:val="left"/>
            </w:pPr>
            <w:r>
              <w:rPr>
                <w:rFonts w:ascii="Times New Roman" w:hAnsi="Times New Roman" w:cs="Times New Roman" w:eastAsia="Times New Roman"/>
                <w:sz w:val="20"/>
              </w:rPr>
              <w:t xml:space="preserve">2</w:t>
            </w:r>
          </w:p>
        </w:tc>
        <w:tc>
          <w:tcPr>
            <w:tcW w:type="dxa" w:w="3200"/>
          </w:tcPr>
          <w:p>
            <w:pPr>
              <w:pStyle w:val="TableText"/>
              <w:keepNext/>
              <w:jc w:val="left"/>
            </w:pPr>
            <w:r>
              <w:rPr>
                <w:rFonts w:ascii="Times New Roman" w:hAnsi="Times New Roman" w:cs="Times New Roman" w:eastAsia="Times New Roman"/>
                <w:sz w:val="20"/>
              </w:rPr>
              <w:t xml:space="preserve">Replace the percentile and Otsu masks with validated skull-stripping (for example HD-BET or SynthStrip) as an optional step, and add registration or quality-control checks</w:t>
            </w:r>
          </w:p>
        </w:tc>
        <w:tc>
          <w:tcPr>
            <w:tcW w:type="dxa" w:w="2706"/>
          </w:tcPr>
          <w:p>
            <w:pPr>
              <w:pStyle w:val="TableText"/>
              <w:keepNext/>
              <w:jc w:val="left"/>
            </w:pPr>
            <w:r>
              <w:rPr>
                <w:rFonts w:ascii="Times New Roman" w:hAnsi="Times New Roman" w:cs="Times New Roman" w:eastAsia="Times New Roman"/>
                <w:sz w:val="20"/>
              </w:rPr>
              <w:t xml:space="preserve">The masks are placeholders; the percentile mask zeroed the atrophy region of the original generator (Section 6.2.2)</w:t>
            </w:r>
          </w:p>
        </w:tc>
        <w:tc>
          <w:tcPr>
            <w:tcW w:type="dxa" w:w="1600"/>
          </w:tcPr>
          <w:p>
            <w:pPr>
              <w:pStyle w:val="TableText"/>
              <w:keepNext/>
              <w:jc w:val="left"/>
            </w:pPr>
            <w:r>
              <w:rPr>
                <w:rFonts w:ascii="Times New Roman" w:hAnsi="Times New Roman" w:cs="Times New Roman" w:eastAsia="Times New Roman"/>
                <w:sz w:val="20"/>
              </w:rPr>
              <w:t xml:space="preserve">1–2 weeks</w:t>
            </w:r>
          </w:p>
        </w:tc>
      </w:tr>
      <w:tr>
        <w:trPr>
          <w:cantSplit/>
        </w:trPr>
        <w:tc>
          <w:tcPr>
            <w:tcW w:type="dxa" w:w="800"/>
          </w:tcPr>
          <w:p>
            <w:pPr>
              <w:pStyle w:val="TableText"/>
              <w:keepNext/>
              <w:jc w:val="left"/>
            </w:pPr>
            <w:r>
              <w:rPr>
                <w:rFonts w:ascii="Times New Roman" w:hAnsi="Times New Roman" w:cs="Times New Roman" w:eastAsia="Times New Roman"/>
                <w:sz w:val="20"/>
              </w:rPr>
              <w:t xml:space="preserve">2</w:t>
            </w:r>
          </w:p>
        </w:tc>
        <w:tc>
          <w:tcPr>
            <w:tcW w:type="dxa" w:w="3200"/>
          </w:tcPr>
          <w:p>
            <w:pPr>
              <w:pStyle w:val="TableText"/>
              <w:keepNext/>
              <w:jc w:val="left"/>
            </w:pPr>
            <w:r>
              <w:rPr>
                <w:rFonts w:ascii="Times New Roman" w:hAnsi="Times New Roman" w:cs="Times New Roman" w:eastAsia="Times New Roman"/>
                <w:sz w:val="20"/>
              </w:rPr>
              <w:t xml:space="preserve">On any clinical cohort, report sensitivity, specificity, calibration and confidence intervals alongside ROC-AUC and balanced accuracy</w:t>
            </w:r>
          </w:p>
        </w:tc>
        <w:tc>
          <w:tcPr>
            <w:tcW w:type="dxa" w:w="2706"/>
          </w:tcPr>
          <w:p>
            <w:pPr>
              <w:pStyle w:val="TableText"/>
              <w:keepNext/>
              <w:jc w:val="left"/>
            </w:pPr>
            <w:r>
              <w:rPr>
                <w:rFonts w:ascii="Times New Roman" w:hAnsi="Times New Roman" w:cs="Times New Roman" w:eastAsia="Times New Roman"/>
                <w:sz w:val="20"/>
              </w:rPr>
              <w:t xml:space="preserve">Only ROC-AUC and balanced accuracy are reported here (Section 3.9.3)</w:t>
            </w:r>
          </w:p>
        </w:tc>
        <w:tc>
          <w:tcPr>
            <w:tcW w:type="dxa" w:w="1600"/>
          </w:tcPr>
          <w:p>
            <w:pPr>
              <w:pStyle w:val="TableText"/>
              <w:keepNext/>
              <w:jc w:val="left"/>
            </w:pPr>
            <w:r>
              <w:rPr>
                <w:rFonts w:ascii="Times New Roman" w:hAnsi="Times New Roman" w:cs="Times New Roman" w:eastAsia="Times New Roman"/>
                <w:sz w:val="20"/>
              </w:rPr>
              <w:t xml:space="preserve">1–2 weeks</w:t>
            </w:r>
          </w:p>
        </w:tc>
      </w:tr>
      <w:tr>
        <w:trPr>
          <w:cantSplit/>
        </w:trPr>
        <w:tc>
          <w:tcPr>
            <w:tcW w:type="dxa" w:w="800"/>
          </w:tcPr>
          <w:p>
            <w:pPr>
              <w:pStyle w:val="TableText"/>
              <w:keepNext/>
              <w:jc w:val="left"/>
            </w:pPr>
            <w:r>
              <w:rPr>
                <w:rFonts w:ascii="Times New Roman" w:hAnsi="Times New Roman" w:cs="Times New Roman" w:eastAsia="Times New Roman"/>
                <w:sz w:val="20"/>
              </w:rPr>
              <w:t xml:space="preserve">2</w:t>
            </w:r>
          </w:p>
        </w:tc>
        <w:tc>
          <w:tcPr>
            <w:tcW w:type="dxa" w:w="3200"/>
          </w:tcPr>
          <w:p>
            <w:pPr>
              <w:pStyle w:val="TableText"/>
              <w:keepNext/>
              <w:jc w:val="left"/>
            </w:pPr>
            <w:r>
              <w:rPr>
                <w:rFonts w:ascii="Times New Roman" w:hAnsi="Times New Roman" w:cs="Times New Roman" w:eastAsia="Times New Roman"/>
                <w:sz w:val="20"/>
              </w:rPr>
              <w:t xml:space="preserve">Test the explanation outputs: parameter-randomisation sanity checks for Grad-CAM, and comparison of the attention and saliency maps with clinician-marked regions</w:t>
            </w:r>
          </w:p>
        </w:tc>
        <w:tc>
          <w:tcPr>
            <w:tcW w:type="dxa" w:w="2706"/>
          </w:tcPr>
          <w:p>
            <w:pPr>
              <w:pStyle w:val="TableText"/>
              <w:keepNext/>
              <w:jc w:val="left"/>
            </w:pPr>
            <w:r>
              <w:rPr>
                <w:rFonts w:ascii="Times New Roman" w:hAnsi="Times New Roman" w:cs="Times New Roman" w:eastAsia="Times New Roman"/>
                <w:sz w:val="20"/>
              </w:rPr>
              <w:t xml:space="preserve">Attention and saliency are not automatically faithful (Section 6.4.3)</w:t>
            </w:r>
          </w:p>
        </w:tc>
        <w:tc>
          <w:tcPr>
            <w:tcW w:type="dxa" w:w="1600"/>
          </w:tcPr>
          <w:p>
            <w:pPr>
              <w:pStyle w:val="TableText"/>
              <w:keepNext/>
              <w:jc w:val="left"/>
            </w:pPr>
            <w:r>
              <w:rPr>
                <w:rFonts w:ascii="Times New Roman" w:hAnsi="Times New Roman" w:cs="Times New Roman" w:eastAsia="Times New Roman"/>
                <w:sz w:val="20"/>
              </w:rPr>
              <w:t xml:space="preserve">2–4 weeks</w:t>
            </w:r>
          </w:p>
        </w:tc>
      </w:tr>
      <w:tr>
        <w:trPr>
          <w:cantSplit/>
        </w:trPr>
        <w:tc>
          <w:tcPr>
            <w:tcW w:type="dxa" w:w="800"/>
          </w:tcPr>
          <w:p>
            <w:pPr>
              <w:pStyle w:val="TableText"/>
              <w:keepNext/>
              <w:jc w:val="left"/>
            </w:pPr>
            <w:r>
              <w:rPr>
                <w:rFonts w:ascii="Times New Roman" w:hAnsi="Times New Roman" w:cs="Times New Roman" w:eastAsia="Times New Roman"/>
                <w:sz w:val="20"/>
              </w:rPr>
              <w:t xml:space="preserve">3</w:t>
            </w:r>
          </w:p>
        </w:tc>
        <w:tc>
          <w:tcPr>
            <w:tcW w:type="dxa" w:w="3200"/>
          </w:tcPr>
          <w:p>
            <w:pPr>
              <w:pStyle w:val="TableText"/>
              <w:keepNext/>
              <w:jc w:val="left"/>
            </w:pPr>
            <w:r>
              <w:rPr>
                <w:rFonts w:ascii="Times New Roman" w:hAnsi="Times New Roman" w:cs="Times New Roman" w:eastAsia="Times New Roman"/>
                <w:sz w:val="20"/>
              </w:rPr>
              <w:t xml:space="preserve">Add handling and evaluation of a missing modality beyond training-time modality dropout, and re-measure statement coverage for the current code</w:t>
            </w:r>
          </w:p>
        </w:tc>
        <w:tc>
          <w:tcPr>
            <w:tcW w:type="dxa" w:w="2706"/>
          </w:tcPr>
          <w:p>
            <w:pPr>
              <w:pStyle w:val="TableText"/>
              <w:keepNext/>
              <w:jc w:val="left"/>
            </w:pPr>
            <w:r>
              <w:rPr>
                <w:rFonts w:ascii="Times New Roman" w:hAnsi="Times New Roman" w:cs="Times New Roman" w:eastAsia="Times New Roman"/>
                <w:sz w:val="20"/>
              </w:rPr>
              <w:t xml:space="preserve">Coverage was measured for the original code only (Section 5.6)</w:t>
            </w:r>
          </w:p>
        </w:tc>
        <w:tc>
          <w:tcPr>
            <w:tcW w:type="dxa" w:w="1600"/>
          </w:tcPr>
          <w:p>
            <w:pPr>
              <w:pStyle w:val="TableText"/>
              <w:keepNext/>
              <w:jc w:val="left"/>
            </w:pPr>
            <w:r>
              <w:rPr>
                <w:rFonts w:ascii="Times New Roman" w:hAnsi="Times New Roman" w:cs="Times New Roman" w:eastAsia="Times New Roman"/>
                <w:sz w:val="20"/>
              </w:rPr>
              <w:t xml:space="preserve">1 week</w:t>
            </w:r>
          </w:p>
        </w:tc>
      </w:tr>
      <w:tr>
        <w:trPr>
          <w:cantSplit/>
        </w:trPr>
        <w:tc>
          <w:tcPr>
            <w:tcW w:type="dxa" w:w="800"/>
          </w:tcPr>
          <w:p>
            <w:pPr>
              <w:pStyle w:val="TableText"/>
              <w:keepNext/>
              <w:jc w:val="left"/>
            </w:pPr>
            <w:r>
              <w:rPr>
                <w:rFonts w:ascii="Times New Roman" w:hAnsi="Times New Roman" w:cs="Times New Roman" w:eastAsia="Times New Roman"/>
                <w:sz w:val="20"/>
              </w:rPr>
              <w:t xml:space="preserve">3</w:t>
            </w:r>
          </w:p>
        </w:tc>
        <w:tc>
          <w:tcPr>
            <w:tcW w:type="dxa" w:w="3200"/>
          </w:tcPr>
          <w:p>
            <w:pPr>
              <w:pStyle w:val="TableText"/>
              <w:keepNext/>
              <w:jc w:val="left"/>
            </w:pPr>
            <w:r>
              <w:rPr>
                <w:rFonts w:ascii="Times New Roman" w:hAnsi="Times New Roman" w:cs="Times New Roman" w:eastAsia="Times New Roman"/>
                <w:sz w:val="20"/>
              </w:rPr>
              <w:t xml:space="preserve">Reduce the cost of the early 3D stages (lower input resolution, mixed precision, gradient checkpointing) if memory or time limits training</w:t>
            </w:r>
          </w:p>
        </w:tc>
        <w:tc>
          <w:tcPr>
            <w:tcW w:type="dxa" w:w="2706"/>
          </w:tcPr>
          <w:p>
            <w:pPr>
              <w:pStyle w:val="TableText"/>
              <w:keepNext/>
              <w:jc w:val="left"/>
            </w:pPr>
            <w:r>
              <w:rPr>
                <w:rFonts w:ascii="Times New Roman" w:hAnsi="Times New Roman" w:cs="Times New Roman" w:eastAsia="Times New Roman"/>
                <w:sz w:val="20"/>
              </w:rPr>
              <w:t xml:space="preserve">97% of the MACs are in the spatial encoder (Table 5.5)</w:t>
            </w:r>
          </w:p>
        </w:tc>
        <w:tc>
          <w:tcPr>
            <w:tcW w:type="dxa" w:w="1600"/>
          </w:tcPr>
          <w:p>
            <w:pPr>
              <w:pStyle w:val="TableText"/>
              <w:keepNext/>
              <w:jc w:val="left"/>
            </w:pPr>
            <w:r>
              <w:rPr>
                <w:rFonts w:ascii="Times New Roman" w:hAnsi="Times New Roman" w:cs="Times New Roman" w:eastAsia="Times New Roman"/>
                <w:sz w:val="20"/>
              </w:rPr>
              <w:t xml:space="preserve">1 week</w:t>
            </w:r>
          </w:p>
        </w:tc>
      </w:tr>
      <w:tr>
        <w:trPr>
          <w:cantSplit/>
        </w:trPr>
        <w:tc>
          <w:tcPr>
            <w:tcW w:type="dxa" w:w="800"/>
          </w:tcPr>
          <w:p>
            <w:pPr>
              <w:pStyle w:val="TableText"/>
              <w:jc w:val="left"/>
            </w:pPr>
            <w:r>
              <w:rPr>
                <w:rFonts w:ascii="Times New Roman" w:hAnsi="Times New Roman" w:cs="Times New Roman" w:eastAsia="Times New Roman"/>
                <w:sz w:val="20"/>
              </w:rPr>
              <w:t xml:space="preserve">3</w:t>
            </w:r>
          </w:p>
        </w:tc>
        <w:tc>
          <w:tcPr>
            <w:tcW w:type="dxa" w:w="3200"/>
          </w:tcPr>
          <w:p>
            <w:pPr>
              <w:pStyle w:val="TableText"/>
              <w:jc w:val="left"/>
            </w:pPr>
            <w:r>
              <w:rPr>
                <w:rFonts w:ascii="Times New Roman" w:hAnsi="Times New Roman" w:cs="Times New Roman" w:eastAsia="Times New Roman"/>
                <w:sz w:val="20"/>
              </w:rPr>
              <w:t xml:space="preserve">Prepare a model card and data statement, and consider regulatory requirements early if clinical use is intended</w:t>
            </w:r>
          </w:p>
        </w:tc>
        <w:tc>
          <w:tcPr>
            <w:tcW w:type="dxa" w:w="2706"/>
          </w:tcPr>
          <w:p>
            <w:pPr>
              <w:pStyle w:val="TableText"/>
              <w:jc w:val="left"/>
            </w:pPr>
            <w:r>
              <w:rPr>
                <w:rFonts w:ascii="Times New Roman" w:hAnsi="Times New Roman" w:cs="Times New Roman" w:eastAsia="Times New Roman"/>
                <w:sz w:val="20"/>
              </w:rPr>
              <w:t xml:space="preserve">The system is a research prototype</w:t>
            </w:r>
          </w:p>
        </w:tc>
        <w:tc>
          <w:tcPr>
            <w:tcW w:type="dxa" w:w="1600"/>
          </w:tcPr>
          <w:p>
            <w:pPr>
              <w:pStyle w:val="TableText"/>
              <w:jc w:val="left"/>
            </w:pPr>
            <w:r>
              <w:rPr>
                <w:rFonts w:ascii="Times New Roman" w:hAnsi="Times New Roman" w:cs="Times New Roman" w:eastAsia="Times New Roman"/>
                <w:sz w:val="20"/>
              </w:rPr>
              <w:t xml:space="preserve">Ongoing</w:t>
            </w:r>
          </w:p>
        </w:tc>
      </w:tr>
    </w:tbl>
    <w:p>
      <w:pPr>
        <w:spacing w:after="80" w:line="240" w:lineRule="auto"/>
      </w:pPr>
    </w:p>
    <w:p>
      <w:pPr>
        <w:pStyle w:val="Heading2"/>
      </w:pPr>
      <w:r>
        <w:rPr>
          <w:rFonts w:ascii="Times New Roman" w:hAnsi="Times New Roman" w:cs="Times New Roman" w:eastAsia="Times New Roman"/>
          <w:b/>
          <w:sz w:val="28"/>
        </w:rPr>
        <w:t>7.4  FUTURE WORK</w:t>
      </w:r>
    </w:p>
    <w:p>
      <w:pPr>
        <w:pStyle w:val="ListBullet"/>
      </w:pPr>
      <w:r>
        <w:rPr>
          <w:rFonts w:ascii="Times New Roman" w:hAnsi="Times New Roman" w:cs="Times New Roman" w:eastAsia="Times New Roman"/>
          <w:b/>
        </w:rPr>
        <w:t xml:space="preserve">Real-data training and external validation.</w:t>
      </w:r>
      <w:r>
        <w:rPr>
          <w:rFonts w:ascii="Times New Roman" w:hAnsi="Times New Roman" w:cs="Times New Roman" w:eastAsia="Times New Roman"/>
        </w:rPr>
        <w:t xml:space="preserve"> Train on a labelled eye-disease cohort, validate on an independent site, and report performance with uncertainty.</w:t>
      </w:r>
    </w:p>
    <w:p>
      <w:pPr>
        <w:pStyle w:val="ListBullet"/>
      </w:pPr>
      <w:r>
        <w:rPr>
          <w:rFonts w:ascii="Times New Roman" w:hAnsi="Times New Roman" w:cs="Times New Roman" w:eastAsia="Times New Roman"/>
          <w:b/>
        </w:rPr>
        <w:t>Anatomically grounded tokens.</w:t>
      </w:r>
      <w:r>
        <w:rPr>
          <w:rFonts w:ascii="Times New Roman" w:hAnsi="Times New Roman" w:cs="Times New Roman" w:eastAsia="Times New Roman"/>
        </w:rPr>
        <w:t xml:space="preserve"> Register spatial features to named structures of the visual pathway (optic nerve, lateral geniculate nucleus, visual cortex) so that attention can be reported against anatomy, and align temporal tokens with the VEP landmarks N75, P100 and N135.</w:t>
      </w:r>
    </w:p>
    <w:p>
      <w:pPr>
        <w:pStyle w:val="ListBullet"/>
      </w:pPr>
      <w:r>
        <w:rPr>
          <w:rFonts w:ascii="Times New Roman" w:hAnsi="Times New Roman" w:cs="Times New Roman" w:eastAsia="Times New Roman"/>
          <w:b/>
        </w:rPr>
        <w:t>Richer electrophysiology.</w:t>
      </w:r>
      <w:r>
        <w:rPr>
          <w:rFonts w:ascii="Times New Roman" w:hAnsi="Times New Roman" w:cs="Times New Roman" w:eastAsia="Times New Roman"/>
        </w:rPr>
        <w:t xml:space="preserve"> Extend the temporal stream to multi-channel VEP, pattern electroretinography or full-field stimuli, which could allow localisation along the pathway.</w:t>
      </w:r>
    </w:p>
    <w:p>
      <w:pPr>
        <w:pStyle w:val="ListBullet"/>
      </w:pPr>
      <w:r>
        <w:rPr>
          <w:rFonts w:ascii="Times New Roman" w:hAnsi="Times New Roman" w:cs="Times New Roman" w:eastAsia="Times New Roman"/>
          <w:b/>
        </w:rPr>
        <w:t>Uncertainty and abstention.</w:t>
      </w:r>
      <w:r>
        <w:rPr>
          <w:rFonts w:ascii="Times New Roman" w:hAnsi="Times New Roman" w:cs="Times New Roman" w:eastAsia="Times New Roman"/>
        </w:rPr>
        <w:t xml:space="preserve"> Add calibrated probabilities and the option to defer ambiguous cases to a clinician.</w:t>
      </w:r>
    </w:p>
    <w:p>
      <w:pPr>
        <w:pStyle w:val="ListBullet"/>
      </w:pPr>
      <w:r>
        <w:rPr>
          <w:rFonts w:ascii="Times New Roman" w:hAnsi="Times New Roman" w:cs="Times New Roman" w:eastAsia="Times New Roman"/>
          <w:b/>
        </w:rPr>
        <w:t>Longitudinal modelling.</w:t>
      </w:r>
      <w:r>
        <w:rPr>
          <w:rFonts w:ascii="Times New Roman" w:hAnsi="Times New Roman" w:cs="Times New Roman" w:eastAsia="Times New Roman"/>
        </w:rPr>
        <w:t xml:space="preserve"> Use repeated MRI and VEP over time to model progression in glaucoma and recovery in optic neuritis.</w:t>
      </w:r>
    </w:p>
    <w:p>
      <w:pPr>
        <w:pStyle w:val="ListBullet"/>
      </w:pPr>
      <w:r>
        <w:rPr>
          <w:rFonts w:ascii="Times New Roman" w:hAnsi="Times New Roman" w:cs="Times New Roman" w:eastAsia="Times New Roman"/>
          <w:b/>
        </w:rPr>
        <w:t xml:space="preserve">Alternative fusion mechanisms.</w:t>
      </w:r>
      <w:r>
        <w:rPr>
          <w:rFonts w:ascii="Times New Roman" w:hAnsi="Times New Roman" w:cs="Times New Roman" w:eastAsia="Times New Roman"/>
        </w:rPr>
        <w:t xml:space="preserve"> Compare cross-attention with bilinear pooling and other gating schemes under the same protocol, now that concatenation, element-wise sum and unimodal baselines are part of the benchmark.</w:t>
      </w:r>
    </w:p>
    <w:p>
      <w:pPr>
        <w:pStyle w:val="Heading2"/>
      </w:pPr>
      <w:r>
        <w:rPr>
          <w:rFonts w:ascii="Times New Roman" w:hAnsi="Times New Roman" w:cs="Times New Roman" w:eastAsia="Times New Roman"/>
          <w:b/>
          <w:sz w:val="28"/>
        </w:rPr>
        <w:t>7.5  CLOSING REMARKS</w:t>
      </w:r>
    </w:p>
    <w:p>
      <w:pPr>
        <w:pStyle w:val="BodyJ"/>
      </w:pPr>
      <w:r>
        <w:rPr>
          <w:rFonts w:ascii="Times New Roman" w:hAnsi="Times New Roman" w:cs="Times New Roman" w:eastAsia="Times New Roman"/>
        </w:rPr>
        <w:t xml:space="preserve">The prototype shows that a clean interface between a volumetric and a one-dimensional modality, a fusion module that makes the interaction explicit, and a testing discipline that reaches from file readers to explanation plots can be assembled in a compact, readable code base, and that it can be evaluated honestly: the controlled benchmark asks when fusion helps, and the real-cohort protocol shows that, on the cohorts available, the proposed model finds no signal beyond chance. The next stage of work is not another architecture but data: with a labelled eye-disease cohort, the protocol, baselines and sanity checks built here would turn this prototype into an experiment whose results can be believed.</w:t>
      </w:r>
    </w:p>
    <w:p>
      <w:pPr>
        <w:pStyle w:val="FrontHeading"/>
        <w:jc w:val="center"/>
      </w:pPr>
      <w:r>
        <w:rPr>
          <w:rFonts w:ascii="Times New Roman" w:hAnsi="Times New Roman" w:cs="Times New Roman" w:eastAsia="Times New Roman"/>
          <w:b/>
          <w:sz w:val="28"/>
          <w:u w:val="none"/>
        </w:rPr>
        <w:t>REFERENCES</w:t>
      </w:r>
    </w:p>
    <w:p>
      <w:pPr>
        <w:pStyle w:val="RefEntry"/>
      </w:pPr>
      <w:r>
        <w:rPr>
          <w:rFonts w:ascii="Times New Roman" w:hAnsi="Times New Roman" w:cs="Times New Roman" w:eastAsia="Times New Roman"/>
          <w:sz w:val="24"/>
        </w:rPr>
        <w:t xml:space="preserve">Adebayo, J., Gilmer, J., Muelly, M., Goodfellow, I., Hardt, M., &amp; Kim, B. (2018). Sanity checks for saliency maps. </w:t>
      </w:r>
      <w:r>
        <w:rPr>
          <w:rFonts w:ascii="Times New Roman" w:hAnsi="Times New Roman" w:cs="Times New Roman" w:eastAsia="Times New Roman"/>
          <w:i/>
          <w:sz w:val="24"/>
        </w:rPr>
        <w:t>Advances in Neural Information Processing Systems, 31</w:t>
      </w:r>
      <w:r>
        <w:rPr>
          <w:rFonts w:ascii="Times New Roman" w:hAnsi="Times New Roman" w:cs="Times New Roman" w:eastAsia="Times New Roman"/>
          <w:sz w:val="24"/>
        </w:rPr>
        <w:t>, 9505–9515.</w:t>
      </w:r>
    </w:p>
    <w:p>
      <w:pPr>
        <w:pStyle w:val="RefEntry"/>
      </w:pPr>
      <w:r>
        <w:rPr>
          <w:rFonts w:ascii="Times New Roman" w:hAnsi="Times New Roman" w:cs="Times New Roman" w:eastAsia="Times New Roman"/>
          <w:sz w:val="24"/>
        </w:rPr>
        <w:t xml:space="preserve">Ba, J. L., Kiros, J. R., &amp; Hinton, G. E. (2016). </w:t>
      </w:r>
      <w:r>
        <w:rPr>
          <w:rFonts w:ascii="Times New Roman" w:hAnsi="Times New Roman" w:cs="Times New Roman" w:eastAsia="Times New Roman"/>
          <w:i/>
          <w:sz w:val="24"/>
        </w:rPr>
        <w:t>Layer normalization</w:t>
      </w:r>
      <w:r>
        <w:rPr>
          <w:rFonts w:ascii="Times New Roman" w:hAnsi="Times New Roman" w:cs="Times New Roman" w:eastAsia="Times New Roman"/>
          <w:sz w:val="24"/>
        </w:rPr>
        <w:t xml:space="preserve"> (arXiv:1607.06450). arXiv. https://arxiv.org/abs/1607.06450</w:t>
      </w:r>
    </w:p>
    <w:p>
      <w:pPr>
        <w:pStyle w:val="RefEntry"/>
      </w:pPr>
      <w:r>
        <w:rPr>
          <w:rFonts w:ascii="Times New Roman" w:hAnsi="Times New Roman" w:cs="Times New Roman" w:eastAsia="Times New Roman"/>
          <w:sz w:val="24"/>
        </w:rPr>
        <w:t xml:space="preserve">Baltrušaitis, T., Ahuja, C., &amp; Morency, L.-P. (2019). Multimodal machine learning: A survey and taxonomy. </w:t>
      </w:r>
      <w:r>
        <w:rPr>
          <w:rFonts w:ascii="Times New Roman" w:hAnsi="Times New Roman" w:cs="Times New Roman" w:eastAsia="Times New Roman"/>
          <w:i/>
          <w:sz w:val="24"/>
        </w:rPr>
        <w:t>IEEE Transactions on Pattern Analysis and Machine Intelligence, 41</w:t>
      </w:r>
      <w:r>
        <w:rPr>
          <w:rFonts w:ascii="Times New Roman" w:hAnsi="Times New Roman" w:cs="Times New Roman" w:eastAsia="Times New Roman"/>
          <w:sz w:val="24"/>
        </w:rPr>
        <w:t>(2), 423–443. https://doi.org/10.1109/TPAMI.2018.2798607</w:t>
      </w:r>
    </w:p>
    <w:p>
      <w:pPr>
        <w:pStyle w:val="RefEntry"/>
      </w:pPr>
      <w:r>
        <w:rPr>
          <w:rFonts w:ascii="Times New Roman" w:hAnsi="Times New Roman" w:cs="Times New Roman" w:eastAsia="Times New Roman"/>
          <w:sz w:val="24"/>
        </w:rPr>
        <w:t xml:space="preserve">Benson, N. C., Jamison, K. W., Arcaro, M. J., Vu, A. T., Glasser, M. F., Coalson, T. S., Van Essen, D. C., Yacoub, E., Ugurbil, K., Winawer, J., &amp; Kay, K. (2018). The Human Connectome Project 7 Tesla retinotopy dataset: Description and population receptive field analysis. </w:t>
      </w:r>
      <w:r>
        <w:rPr>
          <w:rFonts w:ascii="Times New Roman" w:hAnsi="Times New Roman" w:cs="Times New Roman" w:eastAsia="Times New Roman"/>
          <w:i/>
          <w:sz w:val="24"/>
        </w:rPr>
        <w:t>Journal of Vision, 18</w:t>
      </w:r>
      <w:r>
        <w:rPr>
          <w:rFonts w:ascii="Times New Roman" w:hAnsi="Times New Roman" w:cs="Times New Roman" w:eastAsia="Times New Roman"/>
          <w:sz w:val="24"/>
        </w:rPr>
        <w:t>(13), Article 23. https://doi.org/10.1167/18.13.23</w:t>
      </w:r>
    </w:p>
    <w:p>
      <w:pPr>
        <w:pStyle w:val="RefEntry"/>
      </w:pPr>
      <w:r>
        <w:rPr>
          <w:rFonts w:ascii="Times New Roman" w:hAnsi="Times New Roman" w:cs="Times New Roman" w:eastAsia="Times New Roman"/>
          <w:sz w:val="24"/>
        </w:rPr>
        <w:t xml:space="preserve">Butterworth, S. (1930). On the theory of filter amplifiers. </w:t>
      </w:r>
      <w:r>
        <w:rPr>
          <w:rFonts w:ascii="Times New Roman" w:hAnsi="Times New Roman" w:cs="Times New Roman" w:eastAsia="Times New Roman"/>
          <w:i/>
          <w:sz w:val="24"/>
        </w:rPr>
        <w:t>Experimental Wireless and the Wireless Engineer, 7</w:t>
      </w:r>
      <w:r>
        <w:rPr>
          <w:rFonts w:ascii="Times New Roman" w:hAnsi="Times New Roman" w:cs="Times New Roman" w:eastAsia="Times New Roman"/>
          <w:sz w:val="24"/>
        </w:rPr>
        <w:t>, 536–541.</w:t>
      </w:r>
    </w:p>
    <w:p>
      <w:pPr>
        <w:pStyle w:val="RefEntry"/>
      </w:pPr>
      <w:r>
        <w:rPr>
          <w:rFonts w:ascii="Times New Roman" w:hAnsi="Times New Roman" w:cs="Times New Roman" w:eastAsia="Times New Roman"/>
          <w:sz w:val="24"/>
        </w:rPr>
        <w:t xml:space="preserve">Calhoun, V. D., &amp; Sui, J. (2016). Multimodal fusion of brain imaging data: A key to finding the missing link(s) in complex mental illness. </w:t>
      </w:r>
      <w:r>
        <w:rPr>
          <w:rFonts w:ascii="Times New Roman" w:hAnsi="Times New Roman" w:cs="Times New Roman" w:eastAsia="Times New Roman"/>
          <w:i/>
          <w:sz w:val="24"/>
        </w:rPr>
        <w:t>Biological Psychiatry: Cognitive Neuroscience and Neuroimaging, 1</w:t>
      </w:r>
      <w:r>
        <w:rPr>
          <w:rFonts w:ascii="Times New Roman" w:hAnsi="Times New Roman" w:cs="Times New Roman" w:eastAsia="Times New Roman"/>
          <w:sz w:val="24"/>
        </w:rPr>
        <w:t>(3), 230–244. https://doi.org/10.1016/j.bpsc.2015.12.005</w:t>
      </w:r>
    </w:p>
    <w:p>
      <w:pPr>
        <w:pStyle w:val="RefEntry"/>
      </w:pPr>
      <w:r>
        <w:rPr>
          <w:rFonts w:ascii="Times New Roman" w:hAnsi="Times New Roman" w:cs="Times New Roman" w:eastAsia="Times New Roman"/>
          <w:sz w:val="24"/>
        </w:rPr>
        <w:t xml:space="preserve">Cardoso, M. J., Li, W., Brown, R., Ma, N., Kerfoot, E., Wang, Y., Murrey, B., Myronenko, A., Zhao, C., Yang, D., Nath, V., He, Y., Xu, Z., Hatamizadeh, A., Zhu, W., Liu, Y., Zheng, M., Tang, Y., Yang, I., . . . Feng, A. (2022). </w:t>
      </w:r>
      <w:r>
        <w:rPr>
          <w:rFonts w:ascii="Times New Roman" w:hAnsi="Times New Roman" w:cs="Times New Roman" w:eastAsia="Times New Roman"/>
          <w:i/>
          <w:sz w:val="24"/>
        </w:rPr>
        <w:t>MONAI: An open-source framework for deep learning in healthcare</w:t>
      </w:r>
      <w:r>
        <w:rPr>
          <w:rFonts w:ascii="Times New Roman" w:hAnsi="Times New Roman" w:cs="Times New Roman" w:eastAsia="Times New Roman"/>
          <w:sz w:val="24"/>
        </w:rPr>
        <w:t xml:space="preserve"> (arXiv:2211.02701). arXiv. https://arxiv.org/abs/2211.02701</w:t>
      </w:r>
    </w:p>
    <w:p>
      <w:pPr>
        <w:pStyle w:val="RefEntry"/>
      </w:pPr>
      <w:r>
        <w:rPr>
          <w:rFonts w:ascii="Times New Roman" w:hAnsi="Times New Roman" w:cs="Times New Roman" w:eastAsia="Times New Roman"/>
          <w:sz w:val="24"/>
        </w:rPr>
        <w:t xml:space="preserve">Çiçek, Ö., Abdulkadir, A., Lienkamp, S. S., Brox, T., &amp; Ronneberger, O. (2016). 3D U-Net: Learning dense volumetric segmentation from sparse annotation. In S. Ourselin, L. Joskowicz, M. R. Sabuncu, G. Unal, &amp; W. Wells (Eds.), </w:t>
      </w:r>
      <w:r>
        <w:rPr>
          <w:rFonts w:ascii="Times New Roman" w:hAnsi="Times New Roman" w:cs="Times New Roman" w:eastAsia="Times New Roman"/>
          <w:i/>
          <w:sz w:val="24"/>
        </w:rPr>
        <w:t>Medical image computing and computer-assisted intervention – MICCAI 2016</w:t>
      </w:r>
      <w:r>
        <w:rPr>
          <w:rFonts w:ascii="Times New Roman" w:hAnsi="Times New Roman" w:cs="Times New Roman" w:eastAsia="Times New Roman"/>
          <w:sz w:val="24"/>
        </w:rPr>
        <w:t xml:space="preserve"> (pp. 424–432). Springer. https://doi.org/10.1007/978-3-319-46723-8_49</w:t>
      </w:r>
    </w:p>
    <w:p>
      <w:pPr>
        <w:pStyle w:val="RefEntry"/>
      </w:pPr>
      <w:r>
        <w:rPr>
          <w:rFonts w:ascii="Times New Roman" w:hAnsi="Times New Roman" w:cs="Times New Roman" w:eastAsia="Times New Roman"/>
          <w:sz w:val="24"/>
        </w:rPr>
        <w:t xml:space="preserve">Dhar, J., Zaidi, N., Haghighat, M., Roy, S., Goyal, P., Alavi, A., &amp; Kumar, V. (2025). Multimodal fusion learning with dual attention for medical imaging. </w:t>
      </w:r>
      <w:r>
        <w:rPr>
          <w:rFonts w:ascii="Times New Roman" w:hAnsi="Times New Roman" w:cs="Times New Roman" w:eastAsia="Times New Roman"/>
          <w:i/>
          <w:sz w:val="24"/>
        </w:rPr>
        <w:t xml:space="preserve">Proceedings of the IEEE/CVF Winter Conference on Applications of Computer Vision</w:t>
      </w:r>
      <w:r>
        <w:rPr>
          <w:rFonts w:ascii="Times New Roman" w:hAnsi="Times New Roman" w:cs="Times New Roman" w:eastAsia="Times New Roman"/>
          <w:sz w:val="24"/>
        </w:rPr>
        <w:t xml:space="preserve"> (WACV), 4362–4371. https://doi.org/10.1109/WACV61041.2025.00428</w:t>
      </w:r>
    </w:p>
    <w:p>
      <w:pPr>
        <w:pStyle w:val="RefEntry"/>
      </w:pPr>
      <w:r>
        <w:rPr>
          <w:rFonts w:ascii="Times New Roman" w:hAnsi="Times New Roman" w:cs="Times New Roman" w:eastAsia="Times New Roman"/>
          <w:sz w:val="24"/>
        </w:rPr>
        <w:t xml:space="preserve">Dosovitskiy, A., Beyer, L., Kolesnikov, A., Weissenborn, D., Zhai, X., Unterthiner, T., Dehghani, M., Minderer, M., Heigold, G., Gelly, S., Uszkoreit, J., &amp; Houlsby, N. (2021). An image is worth 16×16 words: Transformers for image recognition at scale. </w:t>
      </w:r>
      <w:r>
        <w:rPr>
          <w:rFonts w:ascii="Times New Roman" w:hAnsi="Times New Roman" w:cs="Times New Roman" w:eastAsia="Times New Roman"/>
          <w:i/>
          <w:sz w:val="24"/>
        </w:rPr>
        <w:t>International Conference on Learning Representations</w:t>
      </w:r>
      <w:r>
        <w:rPr>
          <w:rFonts w:ascii="Times New Roman" w:hAnsi="Times New Roman" w:cs="Times New Roman" w:eastAsia="Times New Roman"/>
          <w:sz w:val="24"/>
        </w:rPr>
        <w:t>. https://arxiv.org/abs/2010.11929</w:t>
      </w:r>
    </w:p>
    <w:p>
      <w:pPr>
        <w:pStyle w:val="RefEntry"/>
      </w:pPr>
      <w:r>
        <w:rPr>
          <w:rFonts w:ascii="Times New Roman" w:hAnsi="Times New Roman" w:cs="Times New Roman" w:eastAsia="Times New Roman"/>
          <w:sz w:val="24"/>
        </w:rPr>
        <w:t xml:space="preserve">Goldberger, A. L., Amaral, L. A. N., Glass, L., Hausdorff, J. M., Ivanov, P. C., Mark, R. G., Mietus, J. E., Moody, G. B., Peng, C.-K., &amp; Stanley, H. E. (2000). PhysioBank, PhysioToolkit, and PhysioNet: Components of a new research resource for complex physiologic signals. </w:t>
      </w:r>
      <w:r>
        <w:rPr>
          <w:rFonts w:ascii="Times New Roman" w:hAnsi="Times New Roman" w:cs="Times New Roman" w:eastAsia="Times New Roman"/>
          <w:i/>
          <w:sz w:val="24"/>
        </w:rPr>
        <w:t>Circulation, 101</w:t>
      </w:r>
      <w:r>
        <w:rPr>
          <w:rFonts w:ascii="Times New Roman" w:hAnsi="Times New Roman" w:cs="Times New Roman" w:eastAsia="Times New Roman"/>
          <w:sz w:val="24"/>
        </w:rPr>
        <w:t>(23), e215–e220. https://doi.org/10.1161/01.CIR.101.23.e215</w:t>
      </w:r>
    </w:p>
    <w:p>
      <w:pPr>
        <w:pStyle w:val="RefEntry"/>
      </w:pPr>
      <w:r>
        <w:rPr>
          <w:rFonts w:ascii="Times New Roman" w:hAnsi="Times New Roman" w:cs="Times New Roman" w:eastAsia="Times New Roman"/>
          <w:sz w:val="24"/>
        </w:rPr>
        <w:t xml:space="preserve">Gong, Z., Zhou, M., Dai, Y., Wen, Y., Liu, Y., &amp; Zhen, Z. (2023). </w:t>
      </w:r>
      <w:r>
        <w:rPr>
          <w:rFonts w:ascii="Times New Roman" w:hAnsi="Times New Roman" w:cs="Times New Roman" w:eastAsia="Times New Roman"/>
          <w:i/>
          <w:sz w:val="24"/>
        </w:rPr>
        <w:t xml:space="preserve">A large-scale fMRI dataset for the visual processing of naturalistic scenes</w:t>
      </w:r>
      <w:r>
        <w:rPr>
          <w:rFonts w:ascii="Times New Roman" w:hAnsi="Times New Roman" w:cs="Times New Roman" w:eastAsia="Times New Roman"/>
          <w:sz w:val="24"/>
        </w:rPr>
        <w:t xml:space="preserve"> (Version 2.1.2) [Data set]. OpenNeuro (ds004496). https://doi.org/10.18112/openneuro.ds004496.v2.1.2</w:t>
      </w:r>
    </w:p>
    <w:p>
      <w:pPr>
        <w:pStyle w:val="RefEntry"/>
      </w:pPr>
      <w:r>
        <w:rPr>
          <w:rFonts w:ascii="Times New Roman" w:hAnsi="Times New Roman" w:cs="Times New Roman" w:eastAsia="Times New Roman"/>
          <w:sz w:val="24"/>
        </w:rPr>
        <w:t xml:space="preserve">Gramfort, A., Luessi, M., Larson, E., Engemann, D. A., Strohmeier, D., Brodbeck, C., Goj, R., Jas, M., Brooks, T., Parkkonen, L., &amp; Hämäläinen, M. (2013). MEG and EEG data analysis with MNE-Python. </w:t>
      </w:r>
      <w:r>
        <w:rPr>
          <w:rFonts w:ascii="Times New Roman" w:hAnsi="Times New Roman" w:cs="Times New Roman" w:eastAsia="Times New Roman"/>
          <w:i/>
          <w:sz w:val="24"/>
        </w:rPr>
        <w:t>Frontiers in Neuroscience, 7</w:t>
      </w:r>
      <w:r>
        <w:rPr>
          <w:rFonts w:ascii="Times New Roman" w:hAnsi="Times New Roman" w:cs="Times New Roman" w:eastAsia="Times New Roman"/>
          <w:sz w:val="24"/>
        </w:rPr>
        <w:t>, Article 267. https://doi.org/10.3389/fnins.2013.00267</w:t>
      </w:r>
    </w:p>
    <w:p>
      <w:pPr>
        <w:pStyle w:val="RefEntry"/>
      </w:pPr>
      <w:r>
        <w:rPr>
          <w:rFonts w:ascii="Times New Roman" w:hAnsi="Times New Roman" w:cs="Times New Roman" w:eastAsia="Times New Roman"/>
          <w:sz w:val="24"/>
        </w:rPr>
        <w:t xml:space="preserve">Gupta, N., Ang, L.-C., Noël de Tilly, L., Bidaisee, L., &amp; Yücel, Y. H. (2006). Human glaucoma and neural degeneration in intracranial optic nerve, lateral geniculate nucleus, and visual cortex. </w:t>
      </w:r>
      <w:r>
        <w:rPr>
          <w:rFonts w:ascii="Times New Roman" w:hAnsi="Times New Roman" w:cs="Times New Roman" w:eastAsia="Times New Roman"/>
          <w:i/>
          <w:sz w:val="24"/>
        </w:rPr>
        <w:t>British Journal of Ophthalmology, 90</w:t>
      </w:r>
      <w:r>
        <w:rPr>
          <w:rFonts w:ascii="Times New Roman" w:hAnsi="Times New Roman" w:cs="Times New Roman" w:eastAsia="Times New Roman"/>
          <w:sz w:val="24"/>
        </w:rPr>
        <w:t>(6), 674–678. https://doi.org/10.1136/bjo.2005.086769</w:t>
      </w:r>
    </w:p>
    <w:p>
      <w:pPr>
        <w:pStyle w:val="RefEntry"/>
      </w:pPr>
      <w:r>
        <w:rPr>
          <w:rFonts w:ascii="Times New Roman" w:hAnsi="Times New Roman" w:cs="Times New Roman" w:eastAsia="Times New Roman"/>
          <w:sz w:val="24"/>
        </w:rPr>
        <w:t xml:space="preserve">Gustafsson, F. (1996). Determining the initial states in forward-backward filtering. </w:t>
      </w:r>
      <w:r>
        <w:rPr>
          <w:rFonts w:ascii="Times New Roman" w:hAnsi="Times New Roman" w:cs="Times New Roman" w:eastAsia="Times New Roman"/>
          <w:i/>
          <w:sz w:val="24"/>
        </w:rPr>
        <w:t>IEEE Transactions on Signal Processing, 44</w:t>
      </w:r>
      <w:r>
        <w:rPr>
          <w:rFonts w:ascii="Times New Roman" w:hAnsi="Times New Roman" w:cs="Times New Roman" w:eastAsia="Times New Roman"/>
          <w:sz w:val="24"/>
        </w:rPr>
        <w:t>(4), 988–992. https://doi.org/10.1109/78.492552</w:t>
      </w:r>
    </w:p>
    <w:p>
      <w:pPr>
        <w:pStyle w:val="RefEntry"/>
      </w:pPr>
      <w:r>
        <w:rPr>
          <w:rFonts w:ascii="Times New Roman" w:hAnsi="Times New Roman" w:cs="Times New Roman" w:eastAsia="Times New Roman"/>
          <w:sz w:val="24"/>
        </w:rPr>
        <w:t xml:space="preserve">Halliday, A. M., McDonald, W. I., &amp; Mushin, J. (1972). Delayed visual evoked response in optic neuritis. </w:t>
      </w:r>
      <w:r>
        <w:rPr>
          <w:rFonts w:ascii="Times New Roman" w:hAnsi="Times New Roman" w:cs="Times New Roman" w:eastAsia="Times New Roman"/>
          <w:i/>
          <w:sz w:val="24"/>
        </w:rPr>
        <w:t>The Lancet, 299</w:t>
      </w:r>
      <w:r>
        <w:rPr>
          <w:rFonts w:ascii="Times New Roman" w:hAnsi="Times New Roman" w:cs="Times New Roman" w:eastAsia="Times New Roman"/>
          <w:sz w:val="24"/>
        </w:rPr>
        <w:t>(7758), 982–985. https://doi.org/10.1016/S0140-6736(72)91155-5</w:t>
      </w:r>
    </w:p>
    <w:p>
      <w:pPr>
        <w:pStyle w:val="RefEntry"/>
      </w:pPr>
      <w:r>
        <w:rPr>
          <w:rFonts w:ascii="Times New Roman" w:hAnsi="Times New Roman" w:cs="Times New Roman" w:eastAsia="Times New Roman"/>
          <w:sz w:val="24"/>
        </w:rPr>
        <w:t xml:space="preserve">Harris, C. R., Millman, K. J., van der Walt, S. J., Gommers, R., Virtanen, P., Cournapeau, D., Wieser, E., Taylor, J., Berg, S., Smith, N. J., Kern, R., Picus, M., Hoyer, S., van Kerkwijk, M. H., Brett, M., Haldane, A., del Río, J. F., Wiebe, M., Peterson, P., . . . Oliphant, T. E. (2020). Array programming with NumPy. </w:t>
      </w:r>
      <w:r>
        <w:rPr>
          <w:rFonts w:ascii="Times New Roman" w:hAnsi="Times New Roman" w:cs="Times New Roman" w:eastAsia="Times New Roman"/>
          <w:i/>
          <w:sz w:val="24"/>
        </w:rPr>
        <w:t>Nature, 585</w:t>
      </w:r>
      <w:r>
        <w:rPr>
          <w:rFonts w:ascii="Times New Roman" w:hAnsi="Times New Roman" w:cs="Times New Roman" w:eastAsia="Times New Roman"/>
          <w:sz w:val="24"/>
        </w:rPr>
        <w:t>(7825), 357–362. https://doi.org/10.1038/s41586-020-2649-2</w:t>
      </w:r>
    </w:p>
    <w:p>
      <w:pPr>
        <w:pStyle w:val="RefEntry"/>
      </w:pPr>
      <w:r>
        <w:rPr>
          <w:rFonts w:ascii="Times New Roman" w:hAnsi="Times New Roman" w:cs="Times New Roman" w:eastAsia="Times New Roman"/>
          <w:sz w:val="24"/>
        </w:rPr>
        <w:t xml:space="preserve">He, K., Zhang, X., Ren, S., &amp; Sun, J. (2016). Deep residual learning for image recognition. </w:t>
      </w:r>
      <w:r>
        <w:rPr>
          <w:rFonts w:ascii="Times New Roman" w:hAnsi="Times New Roman" w:cs="Times New Roman" w:eastAsia="Times New Roman"/>
          <w:i/>
          <w:sz w:val="24"/>
        </w:rPr>
        <w:t>Proceedings of the IEEE Conference on Computer Vision and Pattern Recognition</w:t>
      </w:r>
      <w:r>
        <w:rPr>
          <w:rFonts w:ascii="Times New Roman" w:hAnsi="Times New Roman" w:cs="Times New Roman" w:eastAsia="Times New Roman"/>
          <w:sz w:val="24"/>
        </w:rPr>
        <w:t>, 770–778. https://doi.org/10.1109/CVPR.2016.90</w:t>
      </w:r>
    </w:p>
    <w:p>
      <w:pPr>
        <w:pStyle w:val="RefEntry"/>
      </w:pPr>
      <w:r>
        <w:rPr>
          <w:rFonts w:ascii="Times New Roman" w:hAnsi="Times New Roman" w:cs="Times New Roman" w:eastAsia="Times New Roman"/>
          <w:sz w:val="24"/>
        </w:rPr>
        <w:t xml:space="preserve">Himmelberg, M., Kurzawski, J., Benson, N. C., Pelli, D., Carrasco, M., &amp; Winawer, J. (2026). </w:t>
      </w:r>
      <w:r>
        <w:rPr>
          <w:rFonts w:ascii="Times New Roman" w:hAnsi="Times New Roman" w:cs="Times New Roman" w:eastAsia="Times New Roman"/>
          <w:i/>
          <w:sz w:val="24"/>
        </w:rPr>
        <w:t xml:space="preserve">NYU retinotopy dataset</w:t>
      </w:r>
      <w:r>
        <w:rPr>
          <w:rFonts w:ascii="Times New Roman" w:hAnsi="Times New Roman" w:cs="Times New Roman" w:eastAsia="Times New Roman"/>
          <w:sz w:val="24"/>
        </w:rPr>
        <w:t xml:space="preserve"> (Version 1.0.2) [Data set]. OpenNeuro (ds003787). https://doi.org/10.18112/openneuro.ds003787.v1.0.2</w:t>
      </w:r>
    </w:p>
    <w:p>
      <w:pPr>
        <w:pStyle w:val="RefEntry"/>
      </w:pPr>
      <w:r>
        <w:rPr>
          <w:rFonts w:ascii="Times New Roman" w:hAnsi="Times New Roman" w:cs="Times New Roman" w:eastAsia="Times New Roman"/>
          <w:sz w:val="24"/>
        </w:rPr>
        <w:t xml:space="preserve">Hoopes, A., Mora, J. S., Dalca, A. V., Fischl, B., &amp; Hoffmann, M. (2022). SynthStrip: Skull-stripping for any brain image. </w:t>
      </w:r>
      <w:r>
        <w:rPr>
          <w:rFonts w:ascii="Times New Roman" w:hAnsi="Times New Roman" w:cs="Times New Roman" w:eastAsia="Times New Roman"/>
          <w:i/>
          <w:sz w:val="24"/>
        </w:rPr>
        <w:t>NeuroImage, 260</w:t>
      </w:r>
      <w:r>
        <w:rPr>
          <w:rFonts w:ascii="Times New Roman" w:hAnsi="Times New Roman" w:cs="Times New Roman" w:eastAsia="Times New Roman"/>
          <w:sz w:val="24"/>
        </w:rPr>
        <w:t>, Article 119474. https://doi.org/10.1016/j.neuroimage.2022.119474</w:t>
      </w:r>
    </w:p>
    <w:p>
      <w:pPr>
        <w:pStyle w:val="RefEntry"/>
      </w:pPr>
      <w:r>
        <w:rPr>
          <w:rFonts w:ascii="Times New Roman" w:hAnsi="Times New Roman" w:cs="Times New Roman" w:eastAsia="Times New Roman"/>
          <w:sz w:val="24"/>
        </w:rPr>
        <w:t xml:space="preserve">Hu, J., Shen, L., &amp; Sun, G. (2018). Squeeze-and-excitation networks. </w:t>
      </w:r>
      <w:r>
        <w:rPr>
          <w:rFonts w:ascii="Times New Roman" w:hAnsi="Times New Roman" w:cs="Times New Roman" w:eastAsia="Times New Roman"/>
          <w:i/>
          <w:sz w:val="24"/>
        </w:rPr>
        <w:t xml:space="preserve">Proceedings of the IEEE Conference on Computer Vision and Pattern Recognition</w:t>
      </w:r>
      <w:r>
        <w:rPr>
          <w:rFonts w:ascii="Times New Roman" w:hAnsi="Times New Roman" w:cs="Times New Roman" w:eastAsia="Times New Roman"/>
          <w:sz w:val="24"/>
        </w:rPr>
        <w:t xml:space="preserve">, 7132–7141. https://doi.org/10.1109/CVPR.2018.00745</w:t>
      </w:r>
    </w:p>
    <w:p>
      <w:pPr>
        <w:pStyle w:val="RefEntry"/>
      </w:pPr>
      <w:r>
        <w:rPr>
          <w:rFonts w:ascii="Times New Roman" w:hAnsi="Times New Roman" w:cs="Times New Roman" w:eastAsia="Times New Roman"/>
          <w:sz w:val="24"/>
        </w:rPr>
        <w:t xml:space="preserve">Hunter, J. D. (2007). Matplotlib: A 2D graphics environment. </w:t>
      </w:r>
      <w:r>
        <w:rPr>
          <w:rFonts w:ascii="Times New Roman" w:hAnsi="Times New Roman" w:cs="Times New Roman" w:eastAsia="Times New Roman"/>
          <w:i/>
          <w:sz w:val="24"/>
        </w:rPr>
        <w:t>Computing in Science &amp; Engineering, 9</w:t>
      </w:r>
      <w:r>
        <w:rPr>
          <w:rFonts w:ascii="Times New Roman" w:hAnsi="Times New Roman" w:cs="Times New Roman" w:eastAsia="Times New Roman"/>
          <w:sz w:val="24"/>
        </w:rPr>
        <w:t>(3), 90–95. https://doi.org/10.1109/MCSE.2007.55</w:t>
      </w:r>
    </w:p>
    <w:p>
      <w:pPr>
        <w:pStyle w:val="RefEntry"/>
      </w:pPr>
      <w:r>
        <w:rPr>
          <w:rFonts w:ascii="Times New Roman" w:hAnsi="Times New Roman" w:cs="Times New Roman" w:eastAsia="Times New Roman"/>
          <w:sz w:val="24"/>
        </w:rPr>
        <w:t xml:space="preserve">Ioffe, S., &amp; Szegedy, C. (2015). Batch normalization: Accelerating deep network training by reducing internal covariate shift. </w:t>
      </w:r>
      <w:r>
        <w:rPr>
          <w:rFonts w:ascii="Times New Roman" w:hAnsi="Times New Roman" w:cs="Times New Roman" w:eastAsia="Times New Roman"/>
          <w:i/>
          <w:sz w:val="24"/>
        </w:rPr>
        <w:t>Proceedings of the 32nd International Conference on Machine Learning, 37</w:t>
      </w:r>
      <w:r>
        <w:rPr>
          <w:rFonts w:ascii="Times New Roman" w:hAnsi="Times New Roman" w:cs="Times New Roman" w:eastAsia="Times New Roman"/>
          <w:sz w:val="24"/>
        </w:rPr>
        <w:t>, 448–456.</w:t>
      </w:r>
    </w:p>
    <w:p>
      <w:pPr>
        <w:pStyle w:val="RefEntry"/>
      </w:pPr>
      <w:r>
        <w:rPr>
          <w:rFonts w:ascii="Times New Roman" w:hAnsi="Times New Roman" w:cs="Times New Roman" w:eastAsia="Times New Roman"/>
          <w:sz w:val="24"/>
        </w:rPr>
        <w:t xml:space="preserve">Isensee, F., Schell, M., Pflueger, I., Brugnara, G., Bonekamp, D., Neuberger, U., Wick, A., Schlemmer, H.-P., Heiland, S., Wick, W., Bendszus, M., Maier-Hein, K. H., &amp; Kickingereder, P. (2019). Automated brain extraction of multisequence MRI using artificial neural networks. </w:t>
      </w:r>
      <w:r>
        <w:rPr>
          <w:rFonts w:ascii="Times New Roman" w:hAnsi="Times New Roman" w:cs="Times New Roman" w:eastAsia="Times New Roman"/>
          <w:i/>
          <w:sz w:val="24"/>
        </w:rPr>
        <w:t>Human Brain Mapping, 40</w:t>
      </w:r>
      <w:r>
        <w:rPr>
          <w:rFonts w:ascii="Times New Roman" w:hAnsi="Times New Roman" w:cs="Times New Roman" w:eastAsia="Times New Roman"/>
          <w:sz w:val="24"/>
        </w:rPr>
        <w:t>(17), 4952–4964. https://doi.org/10.1002/hbm.24750</w:t>
      </w:r>
    </w:p>
    <w:p>
      <w:pPr>
        <w:pStyle w:val="RefEntry"/>
      </w:pPr>
      <w:r>
        <w:rPr>
          <w:rFonts w:ascii="Times New Roman" w:hAnsi="Times New Roman" w:cs="Times New Roman" w:eastAsia="Times New Roman"/>
          <w:sz w:val="24"/>
        </w:rPr>
        <w:t xml:space="preserve">Jain, S., &amp; Wallace, B. C. (2019). Attention is not explanation. </w:t>
      </w:r>
      <w:r>
        <w:rPr>
          <w:rFonts w:ascii="Times New Roman" w:hAnsi="Times New Roman" w:cs="Times New Roman" w:eastAsia="Times New Roman"/>
          <w:i/>
          <w:sz w:val="24"/>
        </w:rPr>
        <w:t>Proceedings of the 2019 Conference of the North American Chapter of the Association for Computational Linguistics: Human Language Technologies</w:t>
      </w:r>
      <w:r>
        <w:rPr>
          <w:rFonts w:ascii="Times New Roman" w:hAnsi="Times New Roman" w:cs="Times New Roman" w:eastAsia="Times New Roman"/>
          <w:sz w:val="24"/>
        </w:rPr>
        <w:t>, 3543–3556. https://doi.org/10.18653/v1/N19-1357</w:t>
      </w:r>
    </w:p>
    <w:p>
      <w:pPr>
        <w:pStyle w:val="RefEntry"/>
      </w:pPr>
      <w:r>
        <w:rPr>
          <w:rFonts w:ascii="Times New Roman" w:hAnsi="Times New Roman" w:cs="Times New Roman" w:eastAsia="Times New Roman"/>
          <w:sz w:val="24"/>
        </w:rPr>
        <w:t xml:space="preserve">Kamnitsas, K., Ledig, C., Newcombe, V. F. J., Simpson, J. P., Kane, A. D., Menon, D. K., Rueckert, D., &amp; Glocker, B. (2017). Efficient multi-scale 3D CNN with fully connected CRF for accurate brain lesion segmentation. </w:t>
      </w:r>
      <w:r>
        <w:rPr>
          <w:rFonts w:ascii="Times New Roman" w:hAnsi="Times New Roman" w:cs="Times New Roman" w:eastAsia="Times New Roman"/>
          <w:i/>
          <w:sz w:val="24"/>
        </w:rPr>
        <w:t>Medical Image Analysis, 36</w:t>
      </w:r>
      <w:r>
        <w:rPr>
          <w:rFonts w:ascii="Times New Roman" w:hAnsi="Times New Roman" w:cs="Times New Roman" w:eastAsia="Times New Roman"/>
          <w:sz w:val="24"/>
        </w:rPr>
        <w:t>, 61–78. https://doi.org/10.1016/j.media.2016.10.004</w:t>
      </w:r>
    </w:p>
    <w:p>
      <w:pPr>
        <w:pStyle w:val="RefEntry"/>
      </w:pPr>
      <w:r>
        <w:rPr>
          <w:rFonts w:ascii="Times New Roman" w:hAnsi="Times New Roman" w:cs="Times New Roman" w:eastAsia="Times New Roman"/>
          <w:sz w:val="24"/>
        </w:rPr>
        <w:t xml:space="preserve">Kingma, D. P., &amp; Ba, J. (2015). Adam: A method for stochastic optimization. </w:t>
      </w:r>
      <w:r>
        <w:rPr>
          <w:rFonts w:ascii="Times New Roman" w:hAnsi="Times New Roman" w:cs="Times New Roman" w:eastAsia="Times New Roman"/>
          <w:i/>
          <w:sz w:val="24"/>
        </w:rPr>
        <w:t>International Conference on Learning Representations</w:t>
      </w:r>
      <w:r>
        <w:rPr>
          <w:rFonts w:ascii="Times New Roman" w:hAnsi="Times New Roman" w:cs="Times New Roman" w:eastAsia="Times New Roman"/>
          <w:sz w:val="24"/>
        </w:rPr>
        <w:t>. https://arxiv.org/abs/1412.6980</w:t>
      </w:r>
    </w:p>
    <w:p>
      <w:pPr>
        <w:pStyle w:val="RefEntry"/>
      </w:pPr>
      <w:r>
        <w:rPr>
          <w:rFonts w:ascii="Times New Roman" w:hAnsi="Times New Roman" w:cs="Times New Roman" w:eastAsia="Times New Roman"/>
          <w:sz w:val="24"/>
        </w:rPr>
        <w:t xml:space="preserve">LaMontagne, P. J., Benzinger, T. L. S., Morris, J. C., Keefe, S., Hornbeck, R., Xiong, C., Grant, E., Hassenstab, J., Moulder, K., Vlassenko, A. G., Raichle, M. E., Cruchaga, C., &amp; Marcus, D. (2019). </w:t>
      </w:r>
      <w:r>
        <w:rPr>
          <w:rFonts w:ascii="Times New Roman" w:hAnsi="Times New Roman" w:cs="Times New Roman" w:eastAsia="Times New Roman"/>
          <w:i/>
          <w:sz w:val="24"/>
        </w:rPr>
        <w:t>OASIS-3: Longitudinal neuroimaging, clinical, and cognitive dataset for normal aging and Alzheimer disease</w:t>
      </w:r>
      <w:r>
        <w:rPr>
          <w:rFonts w:ascii="Times New Roman" w:hAnsi="Times New Roman" w:cs="Times New Roman" w:eastAsia="Times New Roman"/>
          <w:sz w:val="24"/>
        </w:rPr>
        <w:t xml:space="preserve"> [Preprint]. medRxiv. https://doi.org/10.1101/2019.12.13.19014902</w:t>
      </w:r>
    </w:p>
    <w:p>
      <w:pPr>
        <w:pStyle w:val="RefEntry"/>
      </w:pPr>
      <w:r>
        <w:rPr>
          <w:rFonts w:ascii="Times New Roman" w:hAnsi="Times New Roman" w:cs="Times New Roman" w:eastAsia="Times New Roman"/>
          <w:sz w:val="24"/>
        </w:rPr>
        <w:t xml:space="preserve">Li, L., Han, Q., Bai, H., Zhang, X., Liu, Y., &amp; He, C. (2026). </w:t>
      </w:r>
      <w:r>
        <w:rPr>
          <w:rFonts w:ascii="Times New Roman" w:hAnsi="Times New Roman" w:cs="Times New Roman" w:eastAsia="Times New Roman"/>
          <w:i/>
          <w:sz w:val="24"/>
        </w:rPr>
        <w:t xml:space="preserve">Structural MRI, resting-state fMRI, and PSG/EEG dataset of zoster-associated neuralgia</w:t>
      </w:r>
      <w:r>
        <w:rPr>
          <w:rFonts w:ascii="Times New Roman" w:hAnsi="Times New Roman" w:cs="Times New Roman" w:eastAsia="Times New Roman"/>
          <w:sz w:val="24"/>
        </w:rPr>
        <w:t xml:space="preserve"> (Version 1.0.1) [Data set]. OpenNeuro (ds007181). https://doi.org/10.18112/openneuro.ds007181.v1.0.1</w:t>
      </w:r>
    </w:p>
    <w:p>
      <w:pPr>
        <w:pStyle w:val="RefEntry"/>
      </w:pPr>
      <w:r>
        <w:rPr>
          <w:rFonts w:ascii="Times New Roman" w:hAnsi="Times New Roman" w:cs="Times New Roman" w:eastAsia="Times New Roman"/>
          <w:sz w:val="24"/>
        </w:rPr>
        <w:t xml:space="preserve">Liuzzi, L., Chang, K., Keren, H., Zheng, C., Saha, D., Nielson, D., &amp; Stringaris, A. (2023). </w:t>
      </w:r>
      <w:r>
        <w:rPr>
          <w:rFonts w:ascii="Times New Roman" w:hAnsi="Times New Roman" w:cs="Times New Roman" w:eastAsia="Times New Roman"/>
          <w:i/>
          <w:sz w:val="24"/>
        </w:rPr>
        <w:t xml:space="preserve">Mood induction in MDD and healthy adolescents</w:t>
      </w:r>
      <w:r>
        <w:rPr>
          <w:rFonts w:ascii="Times New Roman" w:hAnsi="Times New Roman" w:cs="Times New Roman" w:eastAsia="Times New Roman"/>
          <w:sz w:val="24"/>
        </w:rPr>
        <w:t xml:space="preserve"> (Version 1.0.4) [Data set]. OpenNeuro (ds003568). https://doi.org/10.18112/openneuro.ds003568.v1.0.4</w:t>
      </w:r>
    </w:p>
    <w:p>
      <w:pPr>
        <w:pStyle w:val="RefEntry"/>
      </w:pPr>
      <w:r>
        <w:rPr>
          <w:rFonts w:ascii="Times New Roman" w:hAnsi="Times New Roman" w:cs="Times New Roman" w:eastAsia="Times New Roman"/>
          <w:sz w:val="24"/>
        </w:rPr>
        <w:t xml:space="preserve">Lu, J., Batra, D., Parikh, D., &amp; Lee, S. (2019). ViLBERT: Pretraining task-agnostic visiolinguistic representations for vision-and-language tasks. </w:t>
      </w:r>
      <w:r>
        <w:rPr>
          <w:rFonts w:ascii="Times New Roman" w:hAnsi="Times New Roman" w:cs="Times New Roman" w:eastAsia="Times New Roman"/>
          <w:i/>
          <w:sz w:val="24"/>
        </w:rPr>
        <w:t>Advances in Neural Information Processing Systems, 32</w:t>
      </w:r>
      <w:r>
        <w:rPr>
          <w:rFonts w:ascii="Times New Roman" w:hAnsi="Times New Roman" w:cs="Times New Roman" w:eastAsia="Times New Roman"/>
          <w:sz w:val="24"/>
        </w:rPr>
        <w:t>, 13–23.</w:t>
      </w:r>
    </w:p>
    <w:p>
      <w:pPr>
        <w:pStyle w:val="RefEntry"/>
      </w:pPr>
      <w:r>
        <w:rPr>
          <w:rFonts w:ascii="Times New Roman" w:hAnsi="Times New Roman" w:cs="Times New Roman" w:eastAsia="Times New Roman"/>
          <w:sz w:val="24"/>
        </w:rPr>
        <w:t xml:space="preserve">NiBabel Developers. (n.d.). </w:t>
      </w:r>
      <w:r>
        <w:rPr>
          <w:rFonts w:ascii="Times New Roman" w:hAnsi="Times New Roman" w:cs="Times New Roman" w:eastAsia="Times New Roman"/>
          <w:i/>
          <w:sz w:val="24"/>
        </w:rPr>
        <w:t>NiBabel: Access a cacophony of neuro-imaging file formats</w:t>
      </w:r>
      <w:r>
        <w:rPr>
          <w:rFonts w:ascii="Times New Roman" w:hAnsi="Times New Roman" w:cs="Times New Roman" w:eastAsia="Times New Roman"/>
          <w:sz w:val="24"/>
        </w:rPr>
        <w:t xml:space="preserve"> [Computer software documentation]. https://nipy.org/nibabel/</w:t>
      </w:r>
    </w:p>
    <w:p>
      <w:pPr>
        <w:pStyle w:val="RefEntry"/>
      </w:pPr>
      <w:r>
        <w:rPr>
          <w:rFonts w:ascii="Times New Roman" w:hAnsi="Times New Roman" w:cs="Times New Roman" w:eastAsia="Times New Roman"/>
          <w:sz w:val="24"/>
        </w:rPr>
        <w:t xml:space="preserve">Odom, J. V., Bach, M., Brigell, M., Holder, G. E., McCulloch, D. L., Mizota, A., &amp; Tormene, A. P. (2016). ISCEV standard for clinical visual evoked potentials: (2016 update). </w:t>
      </w:r>
      <w:r>
        <w:rPr>
          <w:rFonts w:ascii="Times New Roman" w:hAnsi="Times New Roman" w:cs="Times New Roman" w:eastAsia="Times New Roman"/>
          <w:i/>
          <w:sz w:val="24"/>
        </w:rPr>
        <w:t>Documenta Ophthalmologica, 133</w:t>
      </w:r>
      <w:r>
        <w:rPr>
          <w:rFonts w:ascii="Times New Roman" w:hAnsi="Times New Roman" w:cs="Times New Roman" w:eastAsia="Times New Roman"/>
          <w:sz w:val="24"/>
        </w:rPr>
        <w:t>(1), 1–9. https://doi.org/10.1007/s10633-016-9553-y</w:t>
      </w:r>
    </w:p>
    <w:p>
      <w:pPr>
        <w:pStyle w:val="RefEntry"/>
      </w:pPr>
      <w:r>
        <w:rPr>
          <w:rFonts w:ascii="Times New Roman" w:hAnsi="Times New Roman" w:cs="Times New Roman" w:eastAsia="Times New Roman"/>
          <w:sz w:val="24"/>
        </w:rPr>
        <w:t xml:space="preserve">Oppenheim, A. V., &amp; Schafer, R. W. (2010). </w:t>
      </w:r>
      <w:r>
        <w:rPr>
          <w:rFonts w:ascii="Times New Roman" w:hAnsi="Times New Roman" w:cs="Times New Roman" w:eastAsia="Times New Roman"/>
          <w:i/>
          <w:sz w:val="24"/>
        </w:rPr>
        <w:t>Discrete-time signal processing</w:t>
      </w:r>
      <w:r>
        <w:rPr>
          <w:rFonts w:ascii="Times New Roman" w:hAnsi="Times New Roman" w:cs="Times New Roman" w:eastAsia="Times New Roman"/>
          <w:sz w:val="24"/>
        </w:rPr>
        <w:t xml:space="preserve"> (3rd ed.). Pearson.</w:t>
      </w:r>
    </w:p>
    <w:p>
      <w:pPr>
        <w:pStyle w:val="RefEntry"/>
      </w:pPr>
      <w:r>
        <w:rPr>
          <w:rFonts w:ascii="Times New Roman" w:hAnsi="Times New Roman" w:cs="Times New Roman" w:eastAsia="Times New Roman"/>
          <w:sz w:val="24"/>
        </w:rPr>
        <w:t xml:space="preserve">Parisi, V., Miglior, S., Manni, G., Centofanti, M., &amp; Bucci, M. G. (2006). Clinical ability of pattern electroretinograms and visual evoked potentials in detecting visual dysfunction in ocular hypertension and glaucoma. </w:t>
      </w:r>
      <w:r>
        <w:rPr>
          <w:rFonts w:ascii="Times New Roman" w:hAnsi="Times New Roman" w:cs="Times New Roman" w:eastAsia="Times New Roman"/>
          <w:i/>
          <w:sz w:val="24"/>
        </w:rPr>
        <w:t>Ophthalmology, 113</w:t>
      </w:r>
      <w:r>
        <w:rPr>
          <w:rFonts w:ascii="Times New Roman" w:hAnsi="Times New Roman" w:cs="Times New Roman" w:eastAsia="Times New Roman"/>
          <w:sz w:val="24"/>
        </w:rPr>
        <w:t>(2), 216–228. https://doi.org/10.1016/j.ophtha.2005.10.044</w:t>
      </w:r>
    </w:p>
    <w:p>
      <w:pPr>
        <w:pStyle w:val="RefEntry"/>
      </w:pPr>
      <w:r>
        <w:rPr>
          <w:rFonts w:ascii="Times New Roman" w:hAnsi="Times New Roman" w:cs="Times New Roman" w:eastAsia="Times New Roman"/>
          <w:sz w:val="24"/>
        </w:rPr>
        <w:t xml:space="preserve">Paszke, A., Gross, S., Massa, F., Lerer, A., Bradbury, J., Chanan, G., Killeen, T., Lin, Z., Gimelshein, N., Antiga, L., Desmaison, A., Köpf, A., Yang, E., DeVito, Z., Raison, M., Tejani, A., Chilamkurthy, S., Steiner, B., Fang, L., . . . Chintala, S. (2019). PyTorch: An imperative style, high-performance deep learning library. </w:t>
      </w:r>
      <w:r>
        <w:rPr>
          <w:rFonts w:ascii="Times New Roman" w:hAnsi="Times New Roman" w:cs="Times New Roman" w:eastAsia="Times New Roman"/>
          <w:i/>
          <w:sz w:val="24"/>
        </w:rPr>
        <w:t>Advances in Neural Information Processing Systems, 32</w:t>
      </w:r>
      <w:r>
        <w:rPr>
          <w:rFonts w:ascii="Times New Roman" w:hAnsi="Times New Roman" w:cs="Times New Roman" w:eastAsia="Times New Roman"/>
          <w:sz w:val="24"/>
        </w:rPr>
        <w:t>, 8024–8035.</w:t>
      </w:r>
    </w:p>
    <w:p>
      <w:pPr>
        <w:pStyle w:val="RefEntry"/>
      </w:pPr>
      <w:r>
        <w:rPr>
          <w:rFonts w:ascii="Times New Roman" w:hAnsi="Times New Roman" w:cs="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eastAsia="Times New Roman"/>
          <w:i/>
          <w:sz w:val="24"/>
        </w:rPr>
        <w:t>Journal of Machine Learning Research, 12</w:t>
      </w:r>
      <w:r>
        <w:rPr>
          <w:rFonts w:ascii="Times New Roman" w:hAnsi="Times New Roman" w:cs="Times New Roman" w:eastAsia="Times New Roman"/>
          <w:sz w:val="24"/>
        </w:rPr>
        <w:t>, 2825–2830.</w:t>
      </w:r>
    </w:p>
    <w:p>
      <w:pPr>
        <w:pStyle w:val="RefEntry"/>
      </w:pPr>
      <w:r>
        <w:rPr>
          <w:rFonts w:ascii="Times New Roman" w:hAnsi="Times New Roman" w:cs="Times New Roman" w:eastAsia="Times New Roman"/>
          <w:sz w:val="24"/>
        </w:rPr>
        <w:t xml:space="preserve">Ramachandram, D., &amp; Taylor, G. W. (2017). Deep multimodal learning: A survey on recent advances and trends. </w:t>
      </w:r>
      <w:r>
        <w:rPr>
          <w:rFonts w:ascii="Times New Roman" w:hAnsi="Times New Roman" w:cs="Times New Roman" w:eastAsia="Times New Roman"/>
          <w:i/>
          <w:sz w:val="24"/>
        </w:rPr>
        <w:t>IEEE Signal Processing Magazine, 34</w:t>
      </w:r>
      <w:r>
        <w:rPr>
          <w:rFonts w:ascii="Times New Roman" w:hAnsi="Times New Roman" w:cs="Times New Roman" w:eastAsia="Times New Roman"/>
          <w:sz w:val="24"/>
        </w:rPr>
        <w:t>(6), 96–108. https://doi.org/10.1109/MSP.2017.2738401</w:t>
      </w:r>
    </w:p>
    <w:p>
      <w:pPr>
        <w:pStyle w:val="RefEntry"/>
      </w:pPr>
      <w:r>
        <w:rPr>
          <w:rFonts w:ascii="Times New Roman" w:hAnsi="Times New Roman" w:cs="Times New Roman" w:eastAsia="Times New Roman"/>
          <w:sz w:val="24"/>
        </w:rPr>
        <w:t xml:space="preserve">Sakki, H. E. A., Dale, N. J., Sargent, J., Perez-Roche, T., &amp; Bowman, R. (2018). Is there consensus in defining childhood cerebral visual impairment? A systematic review of terminology and definitions. </w:t>
      </w:r>
      <w:r>
        <w:rPr>
          <w:rFonts w:ascii="Times New Roman" w:hAnsi="Times New Roman" w:cs="Times New Roman" w:eastAsia="Times New Roman"/>
          <w:i/>
          <w:sz w:val="24"/>
        </w:rPr>
        <w:t>British Journal of Ophthalmology, 102</w:t>
      </w:r>
      <w:r>
        <w:rPr>
          <w:rFonts w:ascii="Times New Roman" w:hAnsi="Times New Roman" w:cs="Times New Roman" w:eastAsia="Times New Roman"/>
          <w:sz w:val="24"/>
        </w:rPr>
        <w:t>(4), 424–432. https://doi.org/10.1136/bjophthalmol-2017-310694</w:t>
      </w:r>
    </w:p>
    <w:p>
      <w:pPr>
        <w:pStyle w:val="RefEntry"/>
      </w:pPr>
      <w:r>
        <w:rPr>
          <w:rFonts w:ascii="Times New Roman" w:hAnsi="Times New Roman" w:cs="Times New Roman" w:eastAsia="Times New Roman"/>
          <w:sz w:val="24"/>
        </w:rPr>
        <w:t xml:space="preserve">Selvaraju, R. R., Cogswell, M., Das, A., Vedantam, R., Parikh, D., &amp; Batra, D. (2017). Grad-CAM: Visual explanations from deep networks via gradient-based localization. </w:t>
      </w:r>
      <w:r>
        <w:rPr>
          <w:rFonts w:ascii="Times New Roman" w:hAnsi="Times New Roman" w:cs="Times New Roman" w:eastAsia="Times New Roman"/>
          <w:i/>
          <w:sz w:val="24"/>
        </w:rPr>
        <w:t>Proceedings of the IEEE International Conference on Computer Vision</w:t>
      </w:r>
      <w:r>
        <w:rPr>
          <w:rFonts w:ascii="Times New Roman" w:hAnsi="Times New Roman" w:cs="Times New Roman" w:eastAsia="Times New Roman"/>
          <w:sz w:val="24"/>
        </w:rPr>
        <w:t>, 618–626. https://doi.org/10.1109/ICCV.2017.74</w:t>
      </w:r>
    </w:p>
    <w:p>
      <w:pPr>
        <w:pStyle w:val="RefEntry"/>
      </w:pPr>
      <w:r>
        <w:rPr>
          <w:rFonts w:ascii="Times New Roman" w:hAnsi="Times New Roman" w:cs="Times New Roman" w:eastAsia="Times New Roman"/>
          <w:sz w:val="24"/>
        </w:rPr>
        <w:t xml:space="preserve">Tham, Y.-C., Li, X., Wong, T. Y., Quigley, H. A., Aung, T., &amp; Cheng, C.-Y. (2014). Global prevalence of glaucoma and projections of glaucoma burden through 2040: A systematic review and meta-analysis. </w:t>
      </w:r>
      <w:r>
        <w:rPr>
          <w:rFonts w:ascii="Times New Roman" w:hAnsi="Times New Roman" w:cs="Times New Roman" w:eastAsia="Times New Roman"/>
          <w:i/>
          <w:sz w:val="24"/>
        </w:rPr>
        <w:t>Ophthalmology, 121</w:t>
      </w:r>
      <w:r>
        <w:rPr>
          <w:rFonts w:ascii="Times New Roman" w:hAnsi="Times New Roman" w:cs="Times New Roman" w:eastAsia="Times New Roman"/>
          <w:sz w:val="24"/>
        </w:rPr>
        <w:t>(11), 2081–2090. https://doi.org/10.1016/j.ophtha.2014.05.013</w:t>
      </w:r>
    </w:p>
    <w:p>
      <w:pPr>
        <w:pStyle w:val="RefEntry"/>
      </w:pPr>
      <w:r>
        <w:rPr>
          <w:rFonts w:ascii="Times New Roman" w:hAnsi="Times New Roman" w:cs="Times New Roman" w:eastAsia="Times New Roman"/>
          <w:sz w:val="24"/>
        </w:rPr>
        <w:t xml:space="preserve">Tsai, Y.-H. H., Bai, S., Liang, P. P., Kolter, J. Z., Morency, L.-P., &amp; Salakhutdinov, R. (2019). Multimodal transformer for unaligned multimodal language sequences. </w:t>
      </w:r>
      <w:r>
        <w:rPr>
          <w:rFonts w:ascii="Times New Roman" w:hAnsi="Times New Roman" w:cs="Times New Roman" w:eastAsia="Times New Roman"/>
          <w:i/>
          <w:sz w:val="24"/>
        </w:rPr>
        <w:t>Proceedings of the 57th Annual Meeting of the Association for Computational Linguistics</w:t>
      </w:r>
      <w:r>
        <w:rPr>
          <w:rFonts w:ascii="Times New Roman" w:hAnsi="Times New Roman" w:cs="Times New Roman" w:eastAsia="Times New Roman"/>
          <w:sz w:val="24"/>
        </w:rPr>
        <w:t>, 6558–6569. https://doi.org/10.18653/v1/P19-1656</w:t>
      </w:r>
    </w:p>
    <w:p>
      <w:pPr>
        <w:pStyle w:val="RefEntry"/>
      </w:pPr>
      <w:r>
        <w:rPr>
          <w:rFonts w:ascii="Times New Roman" w:hAnsi="Times New Roman" w:cs="Times New Roman" w:eastAsia="Times New Roman"/>
          <w:sz w:val="24"/>
        </w:rPr>
        <w:t xml:space="preserve">Van Essen, D. C., Smith, S. M., Barch, D. M., Behrens, T. E. J., Yacoub, E., &amp; Ugurbil, K. (2013). The WU-Minn Human Connectome Project: An overview. </w:t>
      </w:r>
      <w:r>
        <w:rPr>
          <w:rFonts w:ascii="Times New Roman" w:hAnsi="Times New Roman" w:cs="Times New Roman" w:eastAsia="Times New Roman"/>
          <w:i/>
          <w:sz w:val="24"/>
        </w:rPr>
        <w:t>NeuroImage, 80</w:t>
      </w:r>
      <w:r>
        <w:rPr>
          <w:rFonts w:ascii="Times New Roman" w:hAnsi="Times New Roman" w:cs="Times New Roman" w:eastAsia="Times New Roman"/>
          <w:sz w:val="24"/>
        </w:rPr>
        <w:t>, 62–79. https://doi.org/10.1016/j.neuroimage.2013.05.041</w:t>
      </w:r>
    </w:p>
    <w:p>
      <w:pPr>
        <w:pStyle w:val="RefEntry"/>
      </w:pPr>
      <w:r>
        <w:rPr>
          <w:rFonts w:ascii="Times New Roman" w:hAnsi="Times New Roman" w:cs="Times New Roman" w:eastAsia="Times New Roman"/>
          <w:sz w:val="24"/>
        </w:rPr>
        <w:t xml:space="preserve">Vaswani, A., Shazeer, N., Parmar, N., Uszkoreit, J., Jones, L., Gomez, A. N., Kaiser, Ł., &amp; Polosukhin, I. (2017). Attention is all you need. </w:t>
      </w:r>
      <w:r>
        <w:rPr>
          <w:rFonts w:ascii="Times New Roman" w:hAnsi="Times New Roman" w:cs="Times New Roman" w:eastAsia="Times New Roman"/>
          <w:i/>
          <w:sz w:val="24"/>
        </w:rPr>
        <w:t>Advances in Neural Information Processing Systems, 30</w:t>
      </w:r>
      <w:r>
        <w:rPr>
          <w:rFonts w:ascii="Times New Roman" w:hAnsi="Times New Roman" w:cs="Times New Roman" w:eastAsia="Times New Roman"/>
          <w:sz w:val="24"/>
        </w:rPr>
        <w:t>, 5998–6008.</w:t>
      </w:r>
    </w:p>
    <w:p>
      <w:pPr>
        <w:pStyle w:val="RefEntry"/>
      </w:pPr>
      <w:r>
        <w:rPr>
          <w:rFonts w:ascii="Times New Roman" w:hAnsi="Times New Roman" w:cs="Times New Roman" w:eastAsia="Times New Roman"/>
          <w:sz w:val="24"/>
        </w:rPr>
        <w:t xml:space="preserve">Virtanen, P., Gommers, R., Oliphant, T. E., Haberland, M., Reddy, T., Cournapeau, D., Burovski, E., Peterson, P., Weckesser, W., Bright, J., van der Walt, S. J., Brett, M., Wilson, J., Millman, K. J., Mayorov, N., Nelson, A. R. J., Jones, E., Kern, R., Larson, E., . . . SciPy 1.0 Contributors. (2020). SciPy 1.0: Fundamental algorithms for scientific computing in Python. </w:t>
      </w:r>
      <w:r>
        <w:rPr>
          <w:rFonts w:ascii="Times New Roman" w:hAnsi="Times New Roman" w:cs="Times New Roman" w:eastAsia="Times New Roman"/>
          <w:i/>
          <w:sz w:val="24"/>
        </w:rPr>
        <w:t>Nature Methods, 17</w:t>
      </w:r>
      <w:r>
        <w:rPr>
          <w:rFonts w:ascii="Times New Roman" w:hAnsi="Times New Roman" w:cs="Times New Roman" w:eastAsia="Times New Roman"/>
          <w:sz w:val="24"/>
        </w:rPr>
        <w:t>(3), 261–272. https://doi.org/10.1038/s41592-019-0686-2</w:t>
      </w:r>
    </w:p>
    <w:p>
      <w:pPr>
        <w:pStyle w:val="RefEntry"/>
      </w:pPr>
      <w:r>
        <w:rPr>
          <w:rFonts w:ascii="Times New Roman" w:hAnsi="Times New Roman" w:cs="Times New Roman" w:eastAsia="Times New Roman"/>
          <w:sz w:val="24"/>
        </w:rPr>
        <w:t xml:space="preserve">Wiegreffe, S., &amp; Pinter, Y. (2019). Attention is not not explanation. </w:t>
      </w:r>
      <w:r>
        <w:rPr>
          <w:rFonts w:ascii="Times New Roman" w:hAnsi="Times New Roman" w:cs="Times New Roman" w:eastAsia="Times New Roman"/>
          <w:i/>
          <w:sz w:val="24"/>
        </w:rPr>
        <w:t>Proceedings of the 2019 Conference on Empirical Methods in Natural Language Processing and the 9th International Joint Conference on Natural Language Processing</w:t>
      </w:r>
      <w:r>
        <w:rPr>
          <w:rFonts w:ascii="Times New Roman" w:hAnsi="Times New Roman" w:cs="Times New Roman" w:eastAsia="Times New Roman"/>
          <w:sz w:val="24"/>
        </w:rPr>
        <w:t>, 11–20. https://doi.org/10.18653/v1/D19-1002</w:t>
      </w:r>
    </w:p>
    <w:p>
      <w:pPr>
        <w:pStyle w:val="RefEntry"/>
      </w:pPr>
      <w:r>
        <w:rPr>
          <w:rFonts w:ascii="Times New Roman" w:hAnsi="Times New Roman" w:cs="Times New Roman" w:eastAsia="Times New Roman"/>
          <w:sz w:val="24"/>
        </w:rPr>
        <w:t xml:space="preserve">Zhou, Z., Orlichenko, A., Qu, G., Fu, Z., Calhoun, V. D., Ding, Z., &amp; Wang, Y.-P. (2024). </w:t>
      </w:r>
      <w:r>
        <w:rPr>
          <w:rFonts w:ascii="Times New Roman" w:hAnsi="Times New Roman" w:cs="Times New Roman" w:eastAsia="Times New Roman"/>
          <w:i/>
          <w:sz w:val="24"/>
        </w:rPr>
        <w:t xml:space="preserve">An interpretable cross-attentive multi-modal MRI fusion framework for schizophrenia diagnosis</w:t>
      </w:r>
      <w:r>
        <w:rPr>
          <w:rFonts w:ascii="Times New Roman" w:hAnsi="Times New Roman" w:cs="Times New Roman" w:eastAsia="Times New Roman"/>
          <w:sz w:val="24"/>
        </w:rPr>
        <w:t xml:space="preserve"> (arXiv:2404.00144). arXiv. https://arxiv.org/abs/2404.00144</w:t>
      </w:r>
    </w:p>
    <w:p>
      <w:pPr>
        <w:pStyle w:val="Heading1"/>
      </w:pPr>
      <w:r>
        <w:rPr>
          <w:rFonts w:ascii="Times New Roman" w:hAnsi="Times New Roman" w:cs="Times New Roman" w:eastAsia="Times New Roman"/>
          <w:b/>
          <w:sz w:val="24"/>
        </w:rPr>
        <w:t>APPENDIX 1</w:t>
        <w:br/>
      </w:r>
      <w:r>
        <w:rPr>
          <w:rFonts w:ascii="Times New Roman" w:hAnsi="Times New Roman" w:cs="Times New Roman" w:eastAsia="Times New Roman"/>
          <w:b/>
          <w:sz w:val="32"/>
        </w:rPr>
        <w:t>DEFAULT CONFIGURATION</w:t>
      </w:r>
    </w:p>
    <w:p>
      <w:pPr>
        <w:pStyle w:val="Heading2"/>
      </w:pPr>
      <w:r>
        <w:rPr>
          <w:rFonts w:ascii="Times New Roman" w:hAnsi="Times New Roman" w:cs="Times New Roman" w:eastAsia="Times New Roman"/>
          <w:b/>
          <w:sz w:val="28"/>
        </w:rPr>
        <w:t>A1.1  CONFIGURATION PARAMETERS</w:t>
      </w:r>
    </w:p>
    <w:p>
      <w:pPr>
        <w:pStyle w:val="BodyJ"/>
      </w:pPr>
      <w:r>
        <w:rPr>
          <w:rFonts w:ascii="Times New Roman" w:hAnsi="Times New Roman" w:cs="Times New Roman" w:eastAsia="Times New Roman"/>
        </w:rPr>
        <w:t xml:space="preserve">All shapes and hyperparameters are defined in </w:t>
      </w:r>
      <w:r>
        <w:rPr>
          <w:rFonts w:ascii="Courier New" w:hAnsi="Courier New" w:cs="Courier New" w:eastAsia="Courier New"/>
        </w:rPr>
        <w:t xml:space="preserve">src/config.py</w:t>
      </w:r>
      <w:r>
        <w:rPr>
          <w:rFonts w:ascii="Times New Roman" w:hAnsi="Times New Roman" w:cs="Times New Roman" w:eastAsia="Times New Roman"/>
        </w:rPr>
        <w:t xml:space="preserve">. Table A1.1 summarises the default values of the current version of this file, which are used throughout the report unless a study overrides them (Sections 3.9 and 4.6). Appendix 2 reproduces the original version of the file.</w:t>
      </w:r>
    </w:p>
    <w:p>
      <w:pPr>
        <w:pStyle w:val="Caption"/>
        <w:keepNext/>
        <w:spacing w:before="160" w:after="80"/>
      </w:pPr>
      <w:bookmarkStart w:id="1061" w:name="_Ref_Table_A1_1"/>
      <w:r>
        <w:rPr>
          <w:rFonts w:ascii="Times New Roman" w:hAnsi="Times New Roman" w:cs="Times New Roman" w:eastAsia="Times New Roman"/>
          <w:b/>
          <w:sz w:val="22"/>
        </w:rPr>
        <w:t xml:space="preserve">Table A1.1: </w:t>
      </w:r>
      <w:r>
        <w:rPr>
          <w:rFonts w:ascii="Times New Roman" w:hAnsi="Times New Roman" w:cs="Times New Roman" w:eastAsia="Times New Roman"/>
          <w:sz w:val="22"/>
        </w:rPr>
        <w:t xml:space="preserve">Default configuration values (current </w:t>
      </w:r>
      <w:r>
        <w:rPr>
          <w:rFonts w:ascii="Courier New" w:hAnsi="Courier New" w:cs="Courier New" w:eastAsia="Courier New"/>
          <w:sz w:val="22"/>
        </w:rPr>
        <w:t xml:space="preserve">src/config.py</w:t>
      </w:r>
      <w:r>
        <w:rPr>
          <w:rFonts w:ascii="Times New Roman" w:hAnsi="Times New Roman" w:cs="Times New Roman" w:eastAsia="Times New Roman"/>
          <w:sz w:val="22"/>
        </w:rPr>
        <w:t xml:space="preserve">).</w:t>
      </w:r>
      <w:bookmarkEnd w:id="1061"/>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1247"/>
        <w:gridCol w:w="4139"/>
        <w:gridCol w:w="2920"/>
      </w:tblGrid>
      <w:tr>
        <w:trPr>
          <w:cantSplit/>
          <w:tblHeader/>
        </w:trPr>
        <w:tc>
          <w:tcPr>
            <w:tcW w:type="dxa" w:w="1247"/>
            <w:shd w:val="clear" w:color="auto" w:fill="D9D9D9"/>
          </w:tcPr>
          <w:p>
            <w:pPr>
              <w:pStyle w:val="TableText"/>
              <w:keepNext/>
              <w:jc w:val="left"/>
            </w:pPr>
            <w:r>
              <w:rPr>
                <w:rFonts w:ascii="Times New Roman" w:hAnsi="Times New Roman" w:cs="Times New Roman" w:eastAsia="Times New Roman"/>
                <w:b/>
                <w:sz w:val="20"/>
              </w:rPr>
              <w:t xml:space="preserve">Group</w:t>
            </w:r>
          </w:p>
        </w:tc>
        <w:tc>
          <w:tcPr>
            <w:tcW w:type="dxa" w:w="4139"/>
            <w:shd w:val="clear" w:color="auto" w:fill="D9D9D9"/>
          </w:tcPr>
          <w:p>
            <w:pPr>
              <w:pStyle w:val="TableText"/>
              <w:keepNext/>
              <w:jc w:val="left"/>
            </w:pPr>
            <w:r>
              <w:rPr>
                <w:rFonts w:ascii="Times New Roman" w:hAnsi="Times New Roman" w:cs="Times New Roman" w:eastAsia="Times New Roman"/>
                <w:b/>
                <w:sz w:val="20"/>
              </w:rPr>
              <w:t xml:space="preserve">Parameter</w:t>
            </w:r>
          </w:p>
        </w:tc>
        <w:tc>
          <w:tcPr>
            <w:tcW w:type="dxa" w:w="2920"/>
            <w:shd w:val="clear" w:color="auto" w:fill="D9D9D9"/>
          </w:tcPr>
          <w:p>
            <w:pPr>
              <w:pStyle w:val="TableText"/>
              <w:keepNext/>
              <w:jc w:val="left"/>
            </w:pPr>
            <w:r>
              <w:rPr>
                <w:rFonts w:ascii="Times New Roman" w:hAnsi="Times New Roman" w:cs="Times New Roman" w:eastAsia="Times New Roman"/>
                <w:b/>
                <w:sz w:val="20"/>
              </w:rPr>
              <w:t xml:space="preserve">Default value</w:t>
            </w:r>
          </w:p>
        </w:tc>
      </w:tr>
      <w:tr>
        <w:trPr>
          <w:cantSplit/>
        </w:trPr>
        <w:tc>
          <w:tcPr>
            <w:tcW w:type="dxa" w:w="1247"/>
          </w:tcPr>
          <w:p>
            <w:pPr>
              <w:pStyle w:val="TableText"/>
              <w:keepNext/>
              <w:jc w:val="left"/>
            </w:pPr>
            <w:r>
              <w:rPr>
                <w:rFonts w:ascii="Times New Roman" w:hAnsi="Times New Roman" w:cs="Times New Roman" w:eastAsia="Times New Roman"/>
                <w:sz w:val="20"/>
              </w:rPr>
              <w:t xml:space="preserve">MRI</w:t>
            </w:r>
          </w:p>
        </w:tc>
        <w:tc>
          <w:tcPr>
            <w:tcW w:type="dxa" w:w="4139"/>
          </w:tcPr>
          <w:p>
            <w:pPr>
              <w:pStyle w:val="TableText"/>
              <w:keepNext/>
              <w:jc w:val="left"/>
            </w:pPr>
            <w:r>
              <w:rPr>
                <w:rFonts w:ascii="Times New Roman" w:hAnsi="Times New Roman" w:cs="Times New Roman" w:eastAsia="Times New Roman"/>
                <w:sz w:val="20"/>
              </w:rPr>
              <w:t xml:space="preserve">target_shape / target_spacing / orientation / foreground_percentile</w:t>
            </w:r>
          </w:p>
        </w:tc>
        <w:tc>
          <w:tcPr>
            <w:tcW w:type="dxa" w:w="2920"/>
          </w:tcPr>
          <w:p>
            <w:pPr>
              <w:pStyle w:val="TableText"/>
              <w:keepNext/>
              <w:jc w:val="left"/>
            </w:pPr>
            <w:r>
              <w:rPr>
                <w:rFonts w:ascii="Times New Roman" w:hAnsi="Times New Roman" w:cs="Times New Roman" w:eastAsia="Times New Roman"/>
                <w:sz w:val="20"/>
              </w:rPr>
              <w:t xml:space="preserve">(64, 64, 64) / (1.0, 1.0, 1.0) mm / RAS / 60</w:t>
            </w:r>
          </w:p>
        </w:tc>
      </w:tr>
      <w:tr>
        <w:trPr>
          <w:cantSplit/>
        </w:trPr>
        <w:tc>
          <w:tcPr>
            <w:tcW w:type="dxa" w:w="1247"/>
          </w:tcPr>
          <w:p>
            <w:pPr>
              <w:pStyle w:val="TableText"/>
              <w:keepNext/>
              <w:jc w:val="left"/>
            </w:pPr>
            <w:r>
              <w:rPr>
                <w:rFonts w:ascii="Times New Roman" w:hAnsi="Times New Roman" w:cs="Times New Roman" w:eastAsia="Times New Roman"/>
                <w:sz w:val="20"/>
              </w:rPr>
              <w:t xml:space="preserve">MRI</w:t>
            </w:r>
          </w:p>
        </w:tc>
        <w:tc>
          <w:tcPr>
            <w:tcW w:type="dxa" w:w="4139"/>
          </w:tcPr>
          <w:p>
            <w:pPr>
              <w:pStyle w:val="TableText"/>
              <w:keepNext/>
              <w:jc w:val="left"/>
            </w:pPr>
            <w:r>
              <w:rPr>
                <w:rFonts w:ascii="Times New Roman" w:hAnsi="Times New Roman" w:cs="Times New Roman" w:eastAsia="Times New Roman"/>
                <w:sz w:val="20"/>
              </w:rPr>
              <w:t xml:space="preserve">mask_method / mask_morphology / normalization / fit</w:t>
            </w:r>
          </w:p>
        </w:tc>
        <w:tc>
          <w:tcPr>
            <w:tcW w:type="dxa" w:w="2920"/>
          </w:tcPr>
          <w:p>
            <w:pPr>
              <w:pStyle w:val="TableText"/>
              <w:keepNext/>
              <w:jc w:val="left"/>
            </w:pPr>
            <w:r>
              <w:rPr>
                <w:rFonts w:ascii="Times New Roman" w:hAnsi="Times New Roman" w:cs="Times New Roman" w:eastAsia="Times New Roman"/>
                <w:sz w:val="20"/>
              </w:rPr>
              <w:t xml:space="preserve">"percentile" / True / "minmax" / "crop"</w:t>
            </w:r>
          </w:p>
        </w:tc>
      </w:tr>
      <w:tr>
        <w:trPr>
          <w:cantSplit/>
        </w:trPr>
        <w:tc>
          <w:tcPr>
            <w:tcW w:type="dxa" w:w="1247"/>
          </w:tcPr>
          <w:p>
            <w:pPr>
              <w:pStyle w:val="TableText"/>
              <w:keepNext/>
              <w:jc w:val="left"/>
            </w:pPr>
            <w:r>
              <w:rPr>
                <w:rFonts w:ascii="Times New Roman" w:hAnsi="Times New Roman" w:cs="Times New Roman" w:eastAsia="Times New Roman"/>
                <w:sz w:val="20"/>
              </w:rPr>
              <w:t xml:space="preserve">VEP</w:t>
            </w:r>
          </w:p>
        </w:tc>
        <w:tc>
          <w:tcPr>
            <w:tcW w:type="dxa" w:w="4139"/>
          </w:tcPr>
          <w:p>
            <w:pPr>
              <w:pStyle w:val="TableText"/>
              <w:keepNext/>
              <w:jc w:val="left"/>
            </w:pPr>
            <w:r>
              <w:rPr>
                <w:rFonts w:ascii="Times New Roman" w:hAnsi="Times New Roman" w:cs="Times New Roman" w:eastAsia="Times New Roman"/>
                <w:sz w:val="20"/>
              </w:rPr>
              <w:t xml:space="preserve">length / sample_rate / bandpass / notch_freq / notch_quality</w:t>
            </w:r>
          </w:p>
        </w:tc>
        <w:tc>
          <w:tcPr>
            <w:tcW w:type="dxa" w:w="2920"/>
          </w:tcPr>
          <w:p>
            <w:pPr>
              <w:pStyle w:val="TableText"/>
              <w:keepNext/>
              <w:jc w:val="left"/>
            </w:pPr>
            <w:r>
              <w:rPr>
                <w:rFonts w:ascii="Times New Roman" w:hAnsi="Times New Roman" w:cs="Times New Roman" w:eastAsia="Times New Roman"/>
                <w:sz w:val="20"/>
              </w:rPr>
              <w:t xml:space="preserve">500 / 250 Hz / 1–100 Hz / 50 Hz / 30</w:t>
            </w:r>
          </w:p>
        </w:tc>
      </w:tr>
      <w:tr>
        <w:trPr>
          <w:cantSplit/>
        </w:trPr>
        <w:tc>
          <w:tcPr>
            <w:tcW w:type="dxa" w:w="1247"/>
          </w:tcPr>
          <w:p>
            <w:pPr>
              <w:pStyle w:val="TableText"/>
              <w:keepNext/>
              <w:jc w:val="left"/>
            </w:pPr>
            <w:r>
              <w:rPr>
                <w:rFonts w:ascii="Times New Roman" w:hAnsi="Times New Roman" w:cs="Times New Roman" w:eastAsia="Times New Roman"/>
                <w:sz w:val="20"/>
              </w:rPr>
              <w:t xml:space="preserve">VEP</w:t>
            </w:r>
          </w:p>
        </w:tc>
        <w:tc>
          <w:tcPr>
            <w:tcW w:type="dxa" w:w="4139"/>
          </w:tcPr>
          <w:p>
            <w:pPr>
              <w:pStyle w:val="TableText"/>
              <w:keepNext/>
              <w:jc w:val="left"/>
            </w:pPr>
            <w:r>
              <w:rPr>
                <w:rFonts w:ascii="Times New Roman" w:hAnsi="Times New Roman" w:cs="Times New Roman" w:eastAsia="Times New Roman"/>
                <w:sz w:val="20"/>
              </w:rPr>
              <w:t xml:space="preserve">baseline_window_ms / signal_mode</w:t>
            </w:r>
          </w:p>
        </w:tc>
        <w:tc>
          <w:tcPr>
            <w:tcW w:type="dxa" w:w="2920"/>
          </w:tcPr>
          <w:p>
            <w:pPr>
              <w:pStyle w:val="TableText"/>
              <w:keepNext/>
              <w:jc w:val="left"/>
            </w:pPr>
            <w:r>
              <w:rPr>
                <w:rFonts w:ascii="Times New Roman" w:hAnsi="Times New Roman" w:cs="Times New Roman" w:eastAsia="Times New Roman"/>
                <w:sz w:val="20"/>
              </w:rPr>
              <w:t xml:space="preserve">None / "waveform"</w:t>
            </w:r>
          </w:p>
        </w:tc>
      </w:tr>
      <w:tr>
        <w:trPr>
          <w:cantSplit/>
        </w:trPr>
        <w:tc>
          <w:tcPr>
            <w:tcW w:type="dxa" w:w="1247"/>
          </w:tcPr>
          <w:p>
            <w:pPr>
              <w:pStyle w:val="TableText"/>
              <w:keepNext/>
              <w:jc w:val="left"/>
            </w:pPr>
            <w:r>
              <w:rPr>
                <w:rFonts w:ascii="Times New Roman" w:hAnsi="Times New Roman" w:cs="Times New Roman" w:eastAsia="Times New Roman"/>
                <w:sz w:val="20"/>
              </w:rPr>
              <w:t xml:space="preserve">Model</w:t>
            </w:r>
          </w:p>
        </w:tc>
        <w:tc>
          <w:tcPr>
            <w:tcW w:type="dxa" w:w="4139"/>
          </w:tcPr>
          <w:p>
            <w:pPr>
              <w:pStyle w:val="TableText"/>
              <w:keepNext/>
              <w:jc w:val="left"/>
            </w:pPr>
            <w:r>
              <w:rPr>
                <w:rFonts w:ascii="Times New Roman" w:hAnsi="Times New Roman" w:cs="Times New Roman" w:eastAsia="Times New Roman"/>
                <w:sz w:val="20"/>
              </w:rPr>
              <w:t xml:space="preserve">d_model / num_heads / spatial_tokens / temporal_tokens</w:t>
            </w:r>
          </w:p>
        </w:tc>
        <w:tc>
          <w:tcPr>
            <w:tcW w:type="dxa" w:w="2920"/>
          </w:tcPr>
          <w:p>
            <w:pPr>
              <w:pStyle w:val="TableText"/>
              <w:keepNext/>
              <w:jc w:val="left"/>
            </w:pPr>
            <w:r>
              <w:rPr>
                <w:rFonts w:ascii="Times New Roman" w:hAnsi="Times New Roman" w:cs="Times New Roman" w:eastAsia="Times New Roman"/>
                <w:sz w:val="20"/>
              </w:rPr>
              <w:t xml:space="preserve">128 / 4 / 64 / 16</w:t>
            </w:r>
          </w:p>
        </w:tc>
      </w:tr>
      <w:tr>
        <w:trPr>
          <w:cantSplit/>
        </w:trPr>
        <w:tc>
          <w:tcPr>
            <w:tcW w:type="dxa" w:w="1247"/>
          </w:tcPr>
          <w:p>
            <w:pPr>
              <w:pStyle w:val="TableText"/>
              <w:keepNext/>
              <w:jc w:val="left"/>
            </w:pPr>
            <w:r>
              <w:rPr>
                <w:rFonts w:ascii="Times New Roman" w:hAnsi="Times New Roman" w:cs="Times New Roman" w:eastAsia="Times New Roman"/>
                <w:sz w:val="20"/>
              </w:rPr>
              <w:t xml:space="preserve">Model</w:t>
            </w:r>
          </w:p>
        </w:tc>
        <w:tc>
          <w:tcPr>
            <w:tcW w:type="dxa" w:w="4139"/>
          </w:tcPr>
          <w:p>
            <w:pPr>
              <w:pStyle w:val="TableText"/>
              <w:keepNext/>
              <w:jc w:val="left"/>
            </w:pPr>
            <w:r>
              <w:rPr>
                <w:rFonts w:ascii="Times New Roman" w:hAnsi="Times New Roman" w:cs="Times New Roman" w:eastAsia="Times New Roman"/>
                <w:sz w:val="20"/>
              </w:rPr>
              <w:t xml:space="preserve">ffn_hidden / dropout / num_classes / spatial_pool</w:t>
            </w:r>
          </w:p>
        </w:tc>
        <w:tc>
          <w:tcPr>
            <w:tcW w:type="dxa" w:w="2920"/>
          </w:tcPr>
          <w:p>
            <w:pPr>
              <w:pStyle w:val="TableText"/>
              <w:keepNext/>
              <w:jc w:val="left"/>
            </w:pPr>
            <w:r>
              <w:rPr>
                <w:rFonts w:ascii="Times New Roman" w:hAnsi="Times New Roman" w:cs="Times New Roman" w:eastAsia="Times New Roman"/>
                <w:sz w:val="20"/>
              </w:rPr>
              <w:t xml:space="preserve">256 / 0.1 / 3 / (4, 4, 4)</w:t>
            </w:r>
          </w:p>
        </w:tc>
      </w:tr>
      <w:tr>
        <w:trPr>
          <w:cantSplit/>
        </w:trPr>
        <w:tc>
          <w:tcPr>
            <w:tcW w:type="dxa" w:w="1247"/>
          </w:tcPr>
          <w:p>
            <w:pPr>
              <w:pStyle w:val="TableText"/>
              <w:keepNext/>
              <w:jc w:val="left"/>
            </w:pPr>
            <w:r>
              <w:rPr>
                <w:rFonts w:ascii="Times New Roman" w:hAnsi="Times New Roman" w:cs="Times New Roman" w:eastAsia="Times New Roman"/>
                <w:sz w:val="20"/>
              </w:rPr>
              <w:t xml:space="preserve">Model</w:t>
            </w:r>
          </w:p>
        </w:tc>
        <w:tc>
          <w:tcPr>
            <w:tcW w:type="dxa" w:w="4139"/>
          </w:tcPr>
          <w:p>
            <w:pPr>
              <w:pStyle w:val="TableText"/>
              <w:keepNext/>
              <w:jc w:val="left"/>
            </w:pPr>
            <w:r>
              <w:rPr>
                <w:rFonts w:ascii="Times New Roman" w:hAnsi="Times New Roman" w:cs="Times New Roman" w:eastAsia="Times New Roman"/>
                <w:sz w:val="20"/>
              </w:rPr>
              <w:t xml:space="preserve">fusion / pos_encoding / pooling</w:t>
            </w:r>
          </w:p>
        </w:tc>
        <w:tc>
          <w:tcPr>
            <w:tcW w:type="dxa" w:w="2920"/>
          </w:tcPr>
          <w:p>
            <w:pPr>
              <w:pStyle w:val="TableText"/>
              <w:keepNext/>
              <w:jc w:val="left"/>
            </w:pPr>
            <w:r>
              <w:rPr>
                <w:rFonts w:ascii="Times New Roman" w:hAnsi="Times New Roman" w:cs="Times New Roman" w:eastAsia="Times New Roman"/>
                <w:sz w:val="20"/>
              </w:rPr>
              <w:t xml:space="preserve">"bidirectional" / True / "attn"</w:t>
            </w:r>
          </w:p>
        </w:tc>
      </w:tr>
      <w:tr>
        <w:trPr>
          <w:cantSplit/>
        </w:trPr>
        <w:tc>
          <w:tcPr>
            <w:tcW w:type="dxa" w:w="1247"/>
          </w:tcPr>
          <w:p>
            <w:pPr>
              <w:pStyle w:val="TableText"/>
              <w:keepNext/>
              <w:jc w:val="left"/>
            </w:pPr>
            <w:r>
              <w:rPr>
                <w:rFonts w:ascii="Times New Roman" w:hAnsi="Times New Roman" w:cs="Times New Roman" w:eastAsia="Times New Roman"/>
                <w:sz w:val="20"/>
              </w:rPr>
              <w:t xml:space="preserve">Model</w:t>
            </w:r>
          </w:p>
        </w:tc>
        <w:tc>
          <w:tcPr>
            <w:tcW w:type="dxa" w:w="4139"/>
          </w:tcPr>
          <w:p>
            <w:pPr>
              <w:pStyle w:val="TableText"/>
              <w:keepNext/>
              <w:jc w:val="left"/>
            </w:pPr>
            <w:r>
              <w:rPr>
                <w:rFonts w:ascii="Times New Roman" w:hAnsi="Times New Roman" w:cs="Times New Roman" w:eastAsia="Times New Roman"/>
                <w:sz w:val="20"/>
              </w:rPr>
              <w:t xml:space="preserve">modality_dropout / fusion_blocks / se_reduction</w:t>
            </w:r>
          </w:p>
        </w:tc>
        <w:tc>
          <w:tcPr>
            <w:tcW w:type="dxa" w:w="2920"/>
          </w:tcPr>
          <w:p>
            <w:pPr>
              <w:pStyle w:val="TableText"/>
              <w:keepNext/>
              <w:jc w:val="left"/>
            </w:pPr>
            <w:r>
              <w:rPr>
                <w:rFonts w:ascii="Times New Roman" w:hAnsi="Times New Roman" w:cs="Times New Roman" w:eastAsia="Times New Roman"/>
                <w:sz w:val="20"/>
              </w:rPr>
              <w:t xml:space="preserve">0.0 / 1 / 4</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batch_size / epochs / lr / weight_decay</w:t>
            </w:r>
          </w:p>
        </w:tc>
        <w:tc>
          <w:tcPr>
            <w:tcW w:type="dxa" w:w="2920"/>
          </w:tcPr>
          <w:p>
            <w:pPr>
              <w:pStyle w:val="TableText"/>
              <w:keepNext/>
              <w:jc w:val="left"/>
            </w:pPr>
            <w:r>
              <w:rPr>
                <w:rFonts w:ascii="Times New Roman" w:hAnsi="Times New Roman" w:cs="Times New Roman" w:eastAsia="Times New Roman"/>
                <w:sz w:val="20"/>
              </w:rPr>
              <w:t xml:space="preserve">8 / 20 / 1e-3 / 1e-4</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aux_loss_weight / val_split / seed / checkpoint_dir</w:t>
            </w:r>
          </w:p>
        </w:tc>
        <w:tc>
          <w:tcPr>
            <w:tcW w:type="dxa" w:w="2920"/>
          </w:tcPr>
          <w:p>
            <w:pPr>
              <w:pStyle w:val="TableText"/>
              <w:keepNext/>
              <w:jc w:val="left"/>
            </w:pPr>
            <w:r>
              <w:rPr>
                <w:rFonts w:ascii="Times New Roman" w:hAnsi="Times New Roman" w:cs="Times New Roman" w:eastAsia="Times New Roman"/>
                <w:sz w:val="20"/>
              </w:rPr>
              <w:t xml:space="preserve">0.3 / 0.2 / 42 / checkpoints</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optimizer / scheduler / warmup_fraction / warmup_epochs</w:t>
            </w:r>
          </w:p>
        </w:tc>
        <w:tc>
          <w:tcPr>
            <w:tcW w:type="dxa" w:w="2920"/>
          </w:tcPr>
          <w:p>
            <w:pPr>
              <w:pStyle w:val="TableText"/>
              <w:keepNext/>
              <w:jc w:val="left"/>
            </w:pPr>
            <w:r>
              <w:rPr>
                <w:rFonts w:ascii="Times New Roman" w:hAnsi="Times New Roman" w:cs="Times New Roman" w:eastAsia="Times New Roman"/>
                <w:sz w:val="20"/>
              </w:rPr>
              <w:t xml:space="preserve">"adamw" / "cosine" / 0.1 / None</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max_grad_norm / patience / num_workers / amp</w:t>
            </w:r>
          </w:p>
        </w:tc>
        <w:tc>
          <w:tcPr>
            <w:tcW w:type="dxa" w:w="2920"/>
          </w:tcPr>
          <w:p>
            <w:pPr>
              <w:pStyle w:val="TableText"/>
              <w:keepNext/>
              <w:jc w:val="left"/>
            </w:pPr>
            <w:r>
              <w:rPr>
                <w:rFonts w:ascii="Times New Roman" w:hAnsi="Times New Roman" w:cs="Times New Roman" w:eastAsia="Times New Roman"/>
                <w:sz w:val="20"/>
              </w:rPr>
              <w:t xml:space="preserve">1.0 / None / 0 / False</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balance_classes / class_weights / label_smoothing / deterministic</w:t>
            </w:r>
          </w:p>
        </w:tc>
        <w:tc>
          <w:tcPr>
            <w:tcW w:type="dxa" w:w="2920"/>
          </w:tcPr>
          <w:p>
            <w:pPr>
              <w:pStyle w:val="TableText"/>
              <w:keepNext/>
              <w:jc w:val="left"/>
            </w:pPr>
            <w:r>
              <w:rPr>
                <w:rFonts w:ascii="Times New Roman" w:hAnsi="Times New Roman" w:cs="Times New Roman" w:eastAsia="Times New Roman"/>
                <w:sz w:val="20"/>
              </w:rPr>
              <w:t xml:space="preserve">False / None / 0.0 / False</w:t>
            </w:r>
          </w:p>
        </w:tc>
      </w:tr>
      <w:tr>
        <w:trPr>
          <w:cantSplit/>
        </w:trPr>
        <w:tc>
          <w:tcPr>
            <w:tcW w:type="dxa" w:w="1247"/>
          </w:tcPr>
          <w:p>
            <w:pPr>
              <w:pStyle w:val="TableText"/>
              <w:keepNext/>
              <w:jc w:val="left"/>
            </w:pPr>
            <w:r>
              <w:rPr>
                <w:rFonts w:ascii="Times New Roman" w:hAnsi="Times New Roman" w:cs="Times New Roman" w:eastAsia="Times New Roman"/>
                <w:sz w:val="20"/>
              </w:rPr>
              <w:t xml:space="preserve">Training</w:t>
            </w:r>
          </w:p>
        </w:tc>
        <w:tc>
          <w:tcPr>
            <w:tcW w:type="dxa" w:w="4139"/>
          </w:tcPr>
          <w:p>
            <w:pPr>
              <w:pStyle w:val="TableText"/>
              <w:keepNext/>
              <w:jc w:val="left"/>
            </w:pPr>
            <w:r>
              <w:rPr>
                <w:rFonts w:ascii="Times New Roman" w:hAnsi="Times New Roman" w:cs="Times New Roman" w:eastAsia="Times New Roman"/>
                <w:sz w:val="20"/>
              </w:rPr>
              <w:t xml:space="preserve">select_metric / augment / device</w:t>
            </w:r>
          </w:p>
        </w:tc>
        <w:tc>
          <w:tcPr>
            <w:tcW w:type="dxa" w:w="2920"/>
          </w:tcPr>
          <w:p>
            <w:pPr>
              <w:pStyle w:val="TableText"/>
              <w:keepNext/>
              <w:jc w:val="left"/>
            </w:pPr>
            <w:r>
              <w:rPr>
                <w:rFonts w:ascii="Times New Roman" w:hAnsi="Times New Roman" w:cs="Times New Roman" w:eastAsia="Times New Roman"/>
                <w:sz w:val="20"/>
              </w:rPr>
              <w:t xml:space="preserve">"val_loss" / True / None (automatic)</w:t>
            </w:r>
          </w:p>
        </w:tc>
      </w:tr>
      <w:tr>
        <w:trPr>
          <w:cantSplit/>
        </w:trPr>
        <w:tc>
          <w:tcPr>
            <w:tcW w:type="dxa" w:w="1247"/>
          </w:tcPr>
          <w:p>
            <w:pPr>
              <w:pStyle w:val="TableText"/>
              <w:keepNext/>
              <w:jc w:val="left"/>
            </w:pPr>
            <w:r>
              <w:rPr>
                <w:rFonts w:ascii="Times New Roman" w:hAnsi="Times New Roman" w:cs="Times New Roman" w:eastAsia="Times New Roman"/>
                <w:sz w:val="20"/>
              </w:rPr>
              <w:t xml:space="preserve">Augmentation</w:t>
            </w:r>
          </w:p>
        </w:tc>
        <w:tc>
          <w:tcPr>
            <w:tcW w:type="dxa" w:w="4139"/>
          </w:tcPr>
          <w:p>
            <w:pPr>
              <w:pStyle w:val="TableText"/>
              <w:keepNext/>
              <w:jc w:val="left"/>
            </w:pPr>
            <w:r>
              <w:rPr>
                <w:rFonts w:ascii="Times New Roman" w:hAnsi="Times New Roman" w:cs="Times New Roman" w:eastAsia="Times New Roman"/>
                <w:sz w:val="20"/>
              </w:rPr>
              <w:t xml:space="preserve">enabled / mri_flip_prob / mri_intensity_scale / mri_intensity_shift</w:t>
            </w:r>
          </w:p>
        </w:tc>
        <w:tc>
          <w:tcPr>
            <w:tcW w:type="dxa" w:w="2920"/>
          </w:tcPr>
          <w:p>
            <w:pPr>
              <w:pStyle w:val="TableText"/>
              <w:keepNext/>
              <w:jc w:val="left"/>
            </w:pPr>
            <w:r>
              <w:rPr>
                <w:rFonts w:ascii="Times New Roman" w:hAnsi="Times New Roman" w:cs="Times New Roman" w:eastAsia="Times New Roman"/>
                <w:sz w:val="20"/>
              </w:rPr>
              <w:t xml:space="preserve">True / 0.5 / (0.95, 1.05) / 0.02</w:t>
            </w:r>
          </w:p>
        </w:tc>
      </w:tr>
      <w:tr>
        <w:trPr>
          <w:cantSplit/>
        </w:trPr>
        <w:tc>
          <w:tcPr>
            <w:tcW w:type="dxa" w:w="1247"/>
          </w:tcPr>
          <w:p>
            <w:pPr>
              <w:pStyle w:val="TableText"/>
              <w:jc w:val="left"/>
            </w:pPr>
            <w:r>
              <w:rPr>
                <w:rFonts w:ascii="Times New Roman" w:hAnsi="Times New Roman" w:cs="Times New Roman" w:eastAsia="Times New Roman"/>
                <w:sz w:val="20"/>
              </w:rPr>
              <w:t xml:space="preserve">Augmentation</w:t>
            </w:r>
          </w:p>
        </w:tc>
        <w:tc>
          <w:tcPr>
            <w:tcW w:type="dxa" w:w="4139"/>
          </w:tcPr>
          <w:p>
            <w:pPr>
              <w:pStyle w:val="TableText"/>
              <w:jc w:val="left"/>
            </w:pPr>
            <w:r>
              <w:rPr>
                <w:rFonts w:ascii="Times New Roman" w:hAnsi="Times New Roman" w:cs="Times New Roman" w:eastAsia="Times New Roman"/>
                <w:sz w:val="20"/>
              </w:rPr>
              <w:t xml:space="preserve">mri_noise_std / vep_amplitude_scale / vep_noise_std</w:t>
            </w:r>
          </w:p>
        </w:tc>
        <w:tc>
          <w:tcPr>
            <w:tcW w:type="dxa" w:w="2920"/>
          </w:tcPr>
          <w:p>
            <w:pPr>
              <w:pStyle w:val="TableText"/>
              <w:jc w:val="left"/>
            </w:pPr>
            <w:r>
              <w:rPr>
                <w:rFonts w:ascii="Times New Roman" w:hAnsi="Times New Roman" w:cs="Times New Roman" w:eastAsia="Times New Roman"/>
                <w:sz w:val="20"/>
              </w:rPr>
              <w:t xml:space="preserve">0.01 / (0.9, 1.1) / 0.02</w:t>
            </w:r>
          </w:p>
        </w:tc>
      </w:tr>
    </w:tbl>
    <w:p>
      <w:pPr>
        <w:spacing w:after="80" w:line="240" w:lineRule="auto"/>
      </w:pPr>
    </w:p>
    <w:p>
      <w:pPr>
        <w:pStyle w:val="Heading1"/>
      </w:pPr>
      <w:r>
        <w:rPr>
          <w:rFonts w:ascii="Times New Roman" w:hAnsi="Times New Roman" w:cs="Times New Roman" w:eastAsia="Times New Roman"/>
          <w:b/>
          <w:sz w:val="24"/>
        </w:rPr>
        <w:t>APPENDIX 2</w:t>
        <w:br/>
      </w:r>
      <w:r>
        <w:rPr>
          <w:rFonts w:ascii="Times New Roman" w:hAnsi="Times New Roman" w:cs="Times New Roman" w:eastAsia="Times New Roman"/>
          <w:b/>
          <w:sz w:val="32"/>
        </w:rPr>
        <w:t>SOURCE CODE LISTINGS</w:t>
      </w:r>
    </w:p>
    <w:p>
      <w:pPr>
        <w:pStyle w:val="Heading2"/>
      </w:pPr>
      <w:r>
        <w:rPr>
          <w:rFonts w:ascii="Times New Roman" w:hAnsi="Times New Roman" w:cs="Times New Roman" w:eastAsia="Times New Roman"/>
          <w:b/>
          <w:sz w:val="28"/>
        </w:rPr>
        <w:t>A2.1  OVERVIEW</w:t>
      </w:r>
    </w:p>
    <w:p>
      <w:pPr>
        <w:pStyle w:val="BodyJ"/>
        <w:ind w:firstLine="0"/>
      </w:pPr>
      <w:r>
        <w:rPr>
          <w:rFonts w:ascii="Times New Roman" w:hAnsi="Times New Roman" w:cs="Times New Roman" w:eastAsia="Times New Roman"/>
        </w:rPr>
        <w:t xml:space="preserve">The listings below reproduce the source files of the </w:t>
      </w:r>
      <w:r>
        <w:rPr>
          <w:rFonts w:ascii="Courier New" w:hAnsi="Courier New" w:cs="Courier New" w:eastAsia="Courier New"/>
          <w:i w:val="0"/>
          <w:sz w:val="22"/>
        </w:rPr>
        <w:t>src/</w:t>
      </w:r>
      <w:r>
        <w:rPr>
          <w:rFonts w:ascii="Times New Roman" w:hAnsi="Times New Roman" w:cs="Times New Roman" w:eastAsia="Times New Roman"/>
        </w:rPr>
        <w:t xml:space="preserve"> package verbatim from the repository (commit </w:t>
      </w:r>
      <w:r>
        <w:rPr>
          <w:rFonts w:ascii="Courier New" w:hAnsi="Courier New" w:cs="Courier New" w:eastAsia="Courier New"/>
          <w:i w:val="0"/>
          <w:sz w:val="22"/>
        </w:rPr>
        <w:t>87362ec</w:t>
      </w:r>
      <w:r>
        <w:rPr>
          <w:rFonts w:ascii="Times New Roman" w:hAnsi="Times New Roman" w:cs="Times New Roman" w:eastAsia="Times New Roman"/>
        </w:rPr>
        <w:t xml:space="preserve">). Line wrapping is introduced by the page width. The test suite is available in the repository under </w:t>
      </w:r>
      <w:r>
        <w:rPr>
          <w:rFonts w:ascii="Courier New" w:hAnsi="Courier New" w:cs="Courier New" w:eastAsia="Courier New"/>
          <w:i w:val="0"/>
          <w:sz w:val="22"/>
        </w:rPr>
        <w:t>tests/</w:t>
      </w:r>
      <w:r>
        <w:rPr>
          <w:rFonts w:ascii="Times New Roman" w:hAnsi="Times New Roman" w:cs="Times New Roman" w:eastAsia="Times New Roman"/>
        </w:rPr>
        <w:t>.</w:t>
      </w:r>
      <w:r>
        <w:rPr>
          <w:rFonts w:ascii="Times New Roman" w:hAnsi="Times New Roman" w:cs="Times New Roman" w:eastAsia="Times New Roman"/>
        </w:rPr>
        <w:t xml:space="preserve"> They are the original (v1) versions of the twelve modules, on which the measurements of Sections 5.2 to 5.4 and the coverage figure of Section 5.6 were made. The modules added or changed since (Table 4.6) are not reproduced here; they are available in the repository.</w:t>
      </w:r>
    </w:p>
    <w:p>
      <w:pPr>
        <w:pStyle w:val="Caption"/>
        <w:keepNext/>
        <w:spacing w:before="160" w:after="80"/>
      </w:pPr>
      <w:bookmarkStart w:id="1062" w:name="_Ref_Table_A2_1"/>
      <w:r>
        <w:rPr>
          <w:rFonts w:ascii="Times New Roman" w:hAnsi="Times New Roman" w:cs="Times New Roman" w:eastAsia="Times New Roman"/>
          <w:b/>
          <w:sz w:val="22"/>
        </w:rPr>
        <w:t xml:space="preserve">Table A2.1: </w:t>
      </w:r>
      <w:r>
        <w:rPr>
          <w:rFonts w:ascii="Times New Roman" w:hAnsi="Times New Roman" w:cs="Times New Roman" w:eastAsia="Times New Roman"/>
          <w:sz w:val="22"/>
        </w:rPr>
        <w:t xml:space="preserve">Source files reproduced in this appendix (original versions).</w:t>
      </w:r>
      <w:bookmarkEnd w:id="1062"/>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515"/>
        <w:gridCol w:w="4791"/>
      </w:tblGrid>
      <w:tr>
        <w:trPr>
          <w:cantSplit/>
          <w:tblHeader/>
        </w:trPr>
        <w:tc>
          <w:tcPr>
            <w:tcW w:type="dxa" w:w="3515"/>
            <w:shd w:val="clear" w:color="auto" w:fill="D9D9D9"/>
          </w:tcPr>
          <w:p>
            <w:pPr>
              <w:pStyle w:val="TableText"/>
              <w:keepNext/>
              <w:jc w:val="left"/>
            </w:pPr>
            <w:r>
              <w:rPr>
                <w:rFonts w:ascii="Times New Roman" w:hAnsi="Times New Roman" w:cs="Times New Roman" w:eastAsia="Times New Roman"/>
                <w:b/>
                <w:sz w:val="20"/>
              </w:rPr>
              <w:t>File</w:t>
            </w:r>
          </w:p>
        </w:tc>
        <w:tc>
          <w:tcPr>
            <w:tcW w:type="dxa" w:w="4791"/>
            <w:shd w:val="clear" w:color="auto" w:fill="D9D9D9"/>
          </w:tcPr>
          <w:p>
            <w:pPr>
              <w:pStyle w:val="TableText"/>
              <w:keepNext/>
              <w:jc w:val="left"/>
            </w:pPr>
            <w:r>
              <w:rPr>
                <w:rFonts w:ascii="Times New Roman" w:hAnsi="Times New Roman" w:cs="Times New Roman" w:eastAsia="Times New Roman"/>
                <w:b/>
                <w:sz w:val="20"/>
              </w:rPr>
              <w:t>Purpose</w:t>
            </w:r>
          </w:p>
        </w:tc>
      </w:tr>
      <w:tr>
        <w:trPr>
          <w:cantSplit/>
        </w:trPr>
        <w:tc>
          <w:tcPr>
            <w:tcW w:type="dxa" w:w="3515"/>
          </w:tcPr>
          <w:p>
            <w:pPr>
              <w:pStyle w:val="TableText"/>
              <w:keepNext/>
              <w:jc w:val="left"/>
            </w:pPr>
            <w:r>
              <w:rPr>
                <w:rFonts w:ascii="Courier New" w:hAnsi="Courier New" w:cs="Courier New" w:eastAsia="Courier New"/>
                <w:i w:val="0"/>
                <w:sz w:val="20"/>
              </w:rPr>
              <w:t>src/config.py</w:t>
            </w:r>
          </w:p>
        </w:tc>
        <w:tc>
          <w:tcPr>
            <w:tcW w:type="dxa" w:w="4791"/>
          </w:tcPr>
          <w:p>
            <w:pPr>
              <w:pStyle w:val="TableText"/>
              <w:keepNext/>
              <w:jc w:val="left"/>
            </w:pPr>
            <w:r>
              <w:rPr>
                <w:rFonts w:ascii="Times New Roman" w:hAnsi="Times New Roman" w:cs="Times New Roman" w:eastAsia="Times New Roman"/>
                <w:sz w:val="20"/>
              </w:rPr>
              <w:t>Central configuration (shape contract and hyperparameters).</w:t>
            </w:r>
          </w:p>
        </w:tc>
      </w:tr>
      <w:tr>
        <w:trPr>
          <w:cantSplit/>
        </w:trPr>
        <w:tc>
          <w:tcPr>
            <w:tcW w:type="dxa" w:w="3515"/>
          </w:tcPr>
          <w:p>
            <w:pPr>
              <w:pStyle w:val="TableText"/>
              <w:keepNext/>
              <w:jc w:val="left"/>
            </w:pPr>
            <w:r>
              <w:rPr>
                <w:rFonts w:ascii="Courier New" w:hAnsi="Courier New" w:cs="Courier New" w:eastAsia="Courier New"/>
                <w:i w:val="0"/>
                <w:sz w:val="20"/>
              </w:rPr>
              <w:t>src/data/synthetic.py</w:t>
            </w:r>
          </w:p>
        </w:tc>
        <w:tc>
          <w:tcPr>
            <w:tcW w:type="dxa" w:w="4791"/>
          </w:tcPr>
          <w:p>
            <w:pPr>
              <w:pStyle w:val="TableText"/>
              <w:keepNext/>
              <w:jc w:val="left"/>
            </w:pPr>
            <w:r>
              <w:rPr>
                <w:rFonts w:ascii="Times New Roman" w:hAnsi="Times New Roman" w:cs="Times New Roman" w:eastAsia="Times New Roman"/>
                <w:sz w:val="20"/>
              </w:rPr>
              <w:t>Class-conditioned synthetic MRI and VEP generators.</w:t>
            </w:r>
          </w:p>
        </w:tc>
      </w:tr>
      <w:tr>
        <w:trPr>
          <w:cantSplit/>
        </w:trPr>
        <w:tc>
          <w:tcPr>
            <w:tcW w:type="dxa" w:w="3515"/>
          </w:tcPr>
          <w:p>
            <w:pPr>
              <w:pStyle w:val="TableText"/>
              <w:jc w:val="left"/>
            </w:pPr>
            <w:r>
              <w:rPr>
                <w:rFonts w:ascii="Courier New" w:hAnsi="Courier New" w:cs="Courier New" w:eastAsia="Courier New"/>
                <w:i w:val="0"/>
                <w:sz w:val="20"/>
              </w:rPr>
              <w:t>src/data/dataset.py</w:t>
            </w:r>
          </w:p>
        </w:tc>
        <w:tc>
          <w:tcPr>
            <w:tcW w:type="dxa" w:w="4791"/>
          </w:tcPr>
          <w:p>
            <w:pPr>
              <w:pStyle w:val="TableText"/>
              <w:jc w:val="left"/>
            </w:pPr>
            <w:r>
              <w:rPr>
                <w:rFonts w:ascii="Times New Roman" w:hAnsi="Times New Roman" w:cs="Times New Roman" w:eastAsia="Times New Roman"/>
                <w:sz w:val="20"/>
              </w:rPr>
              <w:t>Manifest-driven and synthetic PyTorch datasets.</w:t>
            </w:r>
          </w:p>
        </w:tc>
      </w:tr>
      <w:tr>
        <w:trPr>
          <w:cantSplit/>
        </w:trPr>
        <w:tc>
          <w:tcPr>
            <w:tcW w:type="dxa" w:w="3515"/>
          </w:tcPr>
          <w:p>
            <w:pPr>
              <w:pStyle w:val="TableText"/>
              <w:jc w:val="left"/>
            </w:pPr>
            <w:r>
              <w:rPr>
                <w:rFonts w:ascii="Courier New" w:hAnsi="Courier New" w:cs="Courier New" w:eastAsia="Courier New"/>
                <w:i w:val="0"/>
                <w:sz w:val="20"/>
              </w:rPr>
              <w:t>src/preprocessing/mri_transforms.py</w:t>
            </w:r>
          </w:p>
        </w:tc>
        <w:tc>
          <w:tcPr>
            <w:tcW w:type="dxa" w:w="4791"/>
          </w:tcPr>
          <w:p>
            <w:pPr>
              <w:pStyle w:val="TableText"/>
              <w:jc w:val="left"/>
            </w:pPr>
            <w:r>
              <w:rPr>
                <w:rFonts w:ascii="Times New Roman" w:hAnsi="Times New Roman" w:cs="Times New Roman" w:eastAsia="Times New Roman"/>
                <w:sz w:val="20"/>
              </w:rPr>
              <w:t>MRI loading, resampling, masking, scaling and padding or cropping.</w:t>
            </w:r>
          </w:p>
        </w:tc>
      </w:tr>
      <w:tr>
        <w:trPr>
          <w:cantSplit/>
        </w:trPr>
        <w:tc>
          <w:tcPr>
            <w:tcW w:type="dxa" w:w="3515"/>
          </w:tcPr>
          <w:p>
            <w:pPr>
              <w:pStyle w:val="TableText"/>
              <w:jc w:val="left"/>
            </w:pPr>
            <w:r>
              <w:rPr>
                <w:rFonts w:ascii="Courier New" w:hAnsi="Courier New" w:cs="Courier New" w:eastAsia="Courier New"/>
                <w:i w:val="0"/>
                <w:sz w:val="20"/>
              </w:rPr>
              <w:t>src/preprocessing/signal_cleaner.py</w:t>
            </w:r>
          </w:p>
        </w:tc>
        <w:tc>
          <w:tcPr>
            <w:tcW w:type="dxa" w:w="4791"/>
          </w:tcPr>
          <w:p>
            <w:pPr>
              <w:pStyle w:val="TableText"/>
              <w:jc w:val="left"/>
            </w:pPr>
            <w:r>
              <w:rPr>
                <w:rFonts w:ascii="Times New Roman" w:hAnsi="Times New Roman" w:cs="Times New Roman" w:eastAsia="Times New Roman"/>
                <w:sz w:val="20"/>
              </w:rPr>
              <w:t>VEP validation, zero-phase filtering, resampling and normalisation.</w:t>
            </w:r>
          </w:p>
        </w:tc>
      </w:tr>
      <w:tr>
        <w:trPr>
          <w:cantSplit/>
        </w:trPr>
        <w:tc>
          <w:tcPr>
            <w:tcW w:type="dxa" w:w="3515"/>
          </w:tcPr>
          <w:p>
            <w:pPr>
              <w:pStyle w:val="TableText"/>
              <w:jc w:val="left"/>
            </w:pPr>
            <w:r>
              <w:rPr>
                <w:rFonts w:ascii="Courier New" w:hAnsi="Courier New" w:cs="Courier New" w:eastAsia="Courier New"/>
                <w:i w:val="0"/>
                <w:sz w:val="20"/>
              </w:rPr>
              <w:t>src/models/spatial_encoder.py</w:t>
            </w:r>
          </w:p>
        </w:tc>
        <w:tc>
          <w:tcPr>
            <w:tcW w:type="dxa" w:w="4791"/>
          </w:tcPr>
          <w:p>
            <w:pPr>
              <w:pStyle w:val="TableText"/>
              <w:jc w:val="left"/>
            </w:pPr>
            <w:r>
              <w:rPr>
                <w:rFonts w:ascii="Times New Roman" w:hAnsi="Times New Roman" w:cs="Times New Roman" w:eastAsia="Times New Roman"/>
                <w:sz w:val="20"/>
              </w:rPr>
              <w:t>3D residual CNN producing spatial tokens.</w:t>
            </w:r>
          </w:p>
        </w:tc>
      </w:tr>
      <w:tr>
        <w:trPr>
          <w:cantSplit/>
        </w:trPr>
        <w:tc>
          <w:tcPr>
            <w:tcW w:type="dxa" w:w="3515"/>
          </w:tcPr>
          <w:p>
            <w:pPr>
              <w:pStyle w:val="TableText"/>
              <w:jc w:val="left"/>
            </w:pPr>
            <w:r>
              <w:rPr>
                <w:rFonts w:ascii="Courier New" w:hAnsi="Courier New" w:cs="Courier New" w:eastAsia="Courier New"/>
                <w:i w:val="0"/>
                <w:sz w:val="20"/>
              </w:rPr>
              <w:t>src/models/temporal_encoder.py</w:t>
            </w:r>
          </w:p>
        </w:tc>
        <w:tc>
          <w:tcPr>
            <w:tcW w:type="dxa" w:w="4791"/>
          </w:tcPr>
          <w:p>
            <w:pPr>
              <w:pStyle w:val="TableText"/>
              <w:jc w:val="left"/>
            </w:pPr>
            <w:r>
              <w:rPr>
                <w:rFonts w:ascii="Times New Roman" w:hAnsi="Times New Roman" w:cs="Times New Roman" w:eastAsia="Times New Roman"/>
                <w:sz w:val="20"/>
              </w:rPr>
              <w:t>1D CNN producing temporal tokens.</w:t>
            </w:r>
          </w:p>
        </w:tc>
      </w:tr>
      <w:tr>
        <w:trPr>
          <w:cantSplit/>
        </w:trPr>
        <w:tc>
          <w:tcPr>
            <w:tcW w:type="dxa" w:w="3515"/>
          </w:tcPr>
          <w:p>
            <w:pPr>
              <w:pStyle w:val="TableText"/>
              <w:jc w:val="left"/>
            </w:pPr>
            <w:r>
              <w:rPr>
                <w:rFonts w:ascii="Courier New" w:hAnsi="Courier New" w:cs="Courier New" w:eastAsia="Courier New"/>
                <w:i w:val="0"/>
                <w:sz w:val="20"/>
              </w:rPr>
              <w:t>src/models/cross_attention.py</w:t>
            </w:r>
          </w:p>
        </w:tc>
        <w:tc>
          <w:tcPr>
            <w:tcW w:type="dxa" w:w="4791"/>
          </w:tcPr>
          <w:p>
            <w:pPr>
              <w:pStyle w:val="TableText"/>
              <w:jc w:val="left"/>
            </w:pPr>
            <w:r>
              <w:rPr>
                <w:rFonts w:ascii="Times New Roman" w:hAnsi="Times New Roman" w:cs="Times New Roman" w:eastAsia="Times New Roman"/>
                <w:sz w:val="20"/>
              </w:rPr>
              <w:t>Multi-head cross-attention fusion module.</w:t>
            </w:r>
          </w:p>
        </w:tc>
      </w:tr>
      <w:tr>
        <w:trPr>
          <w:cantSplit/>
        </w:trPr>
        <w:tc>
          <w:tcPr>
            <w:tcW w:type="dxa" w:w="3515"/>
          </w:tcPr>
          <w:p>
            <w:pPr>
              <w:pStyle w:val="TableText"/>
              <w:jc w:val="left"/>
            </w:pPr>
            <w:r>
              <w:rPr>
                <w:rFonts w:ascii="Courier New" w:hAnsi="Courier New" w:cs="Courier New" w:eastAsia="Courier New"/>
                <w:i w:val="0"/>
                <w:sz w:val="20"/>
              </w:rPr>
              <w:t>src/models/cafn.py</w:t>
            </w:r>
          </w:p>
        </w:tc>
        <w:tc>
          <w:tcPr>
            <w:tcW w:type="dxa" w:w="4791"/>
          </w:tcPr>
          <w:p>
            <w:pPr>
              <w:pStyle w:val="TableText"/>
              <w:jc w:val="left"/>
            </w:pPr>
            <w:r>
              <w:rPr>
                <w:rFonts w:ascii="Times New Roman" w:hAnsi="Times New Roman" w:cs="Times New Roman" w:eastAsia="Times New Roman"/>
                <w:sz w:val="20"/>
              </w:rPr>
              <w:t>The complete CAFN model and the multi-task loss.</w:t>
            </w:r>
          </w:p>
        </w:tc>
      </w:tr>
      <w:tr>
        <w:trPr>
          <w:cantSplit/>
        </w:trPr>
        <w:tc>
          <w:tcPr>
            <w:tcW w:type="dxa" w:w="3515"/>
          </w:tcPr>
          <w:p>
            <w:pPr>
              <w:pStyle w:val="TableText"/>
              <w:jc w:val="left"/>
            </w:pPr>
            <w:r>
              <w:rPr>
                <w:rFonts w:ascii="Courier New" w:hAnsi="Courier New" w:cs="Courier New" w:eastAsia="Courier New"/>
                <w:i w:val="0"/>
                <w:sz w:val="20"/>
              </w:rPr>
              <w:t>src/train.py</w:t>
            </w:r>
          </w:p>
        </w:tc>
        <w:tc>
          <w:tcPr>
            <w:tcW w:type="dxa" w:w="4791"/>
          </w:tcPr>
          <w:p>
            <w:pPr>
              <w:pStyle w:val="TableText"/>
              <w:jc w:val="left"/>
            </w:pPr>
            <w:r>
              <w:rPr>
                <w:rFonts w:ascii="Times New Roman" w:hAnsi="Times New Roman" w:cs="Times New Roman" w:eastAsia="Times New Roman"/>
                <w:sz w:val="20"/>
              </w:rPr>
              <w:t>Training loop, evaluation, checkpointing and command-line entry point.</w:t>
            </w:r>
          </w:p>
        </w:tc>
      </w:tr>
      <w:tr>
        <w:trPr>
          <w:cantSplit/>
        </w:trPr>
        <w:tc>
          <w:tcPr>
            <w:tcW w:type="dxa" w:w="3515"/>
          </w:tcPr>
          <w:p>
            <w:pPr>
              <w:pStyle w:val="TableText"/>
              <w:jc w:val="left"/>
            </w:pPr>
            <w:r>
              <w:rPr>
                <w:rFonts w:ascii="Courier New" w:hAnsi="Courier New" w:cs="Courier New" w:eastAsia="Courier New"/>
                <w:i w:val="0"/>
                <w:sz w:val="20"/>
              </w:rPr>
              <w:t>src/explainability/grad_cam_3d.py</w:t>
            </w:r>
          </w:p>
        </w:tc>
        <w:tc>
          <w:tcPr>
            <w:tcW w:type="dxa" w:w="4791"/>
          </w:tcPr>
          <w:p>
            <w:pPr>
              <w:pStyle w:val="TableText"/>
              <w:jc w:val="left"/>
            </w:pPr>
            <w:r>
              <w:rPr>
                <w:rFonts w:ascii="Times New Roman" w:hAnsi="Times New Roman" w:cs="Times New Roman" w:eastAsia="Times New Roman"/>
                <w:sz w:val="20"/>
              </w:rPr>
              <w:t>3D Grad-CAM on the fused logit.</w:t>
            </w:r>
          </w:p>
        </w:tc>
      </w:tr>
      <w:tr>
        <w:trPr>
          <w:cantSplit/>
        </w:trPr>
        <w:tc>
          <w:tcPr>
            <w:tcW w:type="dxa" w:w="3515"/>
          </w:tcPr>
          <w:p>
            <w:pPr>
              <w:pStyle w:val="TableText"/>
              <w:jc w:val="left"/>
            </w:pPr>
            <w:r>
              <w:rPr>
                <w:rFonts w:ascii="Courier New" w:hAnsi="Courier New" w:cs="Courier New" w:eastAsia="Courier New"/>
                <w:i w:val="0"/>
                <w:sz w:val="20"/>
              </w:rPr>
              <w:t>src/explainability/plot_attention.py</w:t>
            </w:r>
          </w:p>
        </w:tc>
        <w:tc>
          <w:tcPr>
            <w:tcW w:type="dxa" w:w="4791"/>
          </w:tcPr>
          <w:p>
            <w:pPr>
              <w:pStyle w:val="TableText"/>
              <w:jc w:val="left"/>
            </w:pPr>
            <w:r>
              <w:rPr>
                <w:rFonts w:ascii="Times New Roman" w:hAnsi="Times New Roman" w:cs="Times New Roman" w:eastAsia="Times New Roman"/>
                <w:sz w:val="20"/>
              </w:rPr>
              <w:t>Spatial–temporal attention heatmap.</w:t>
            </w:r>
          </w:p>
        </w:tc>
      </w:tr>
    </w:tbl>
    <w:p>
      <w:pPr>
        <w:spacing w:after="80" w:line="240" w:lineRule="auto"/>
      </w:pPr>
    </w:p>
    <w:p>
      <w:pPr>
        <w:pStyle w:val="Heading2"/>
      </w:pPr>
      <w:r>
        <w:rPr>
          <w:rFonts w:ascii="Times New Roman" w:hAnsi="Times New Roman" w:cs="Times New Roman" w:eastAsia="Times New Roman"/>
          <w:b/>
          <w:sz w:val="28"/>
        </w:rPr>
        <w:t>A2.2  LISTINGS</w:t>
      </w:r>
    </w:p>
    <w:p>
      <w:pPr>
        <w:keepNext/>
        <w:spacing w:before="160" w:after="60" w:line="240" w:lineRule="auto"/>
        <w:jc w:val="left"/>
      </w:pPr>
      <w:r>
        <w:rPr>
          <w:rFonts w:ascii="Times New Roman" w:hAnsi="Times New Roman" w:cs="Times New Roman" w:eastAsia="Times New Roman"/>
          <w:b/>
          <w:sz w:val="22"/>
        </w:rPr>
        <w:t>Listing A2.1: src/config.py</w:t>
      </w:r>
    </w:p>
    <w:p>
      <w:pPr>
        <w:pStyle w:val="CodeListing"/>
      </w:pPr>
      <w:r>
        <w:rPr>
          <w:rFonts w:ascii="Courier New" w:hAnsi="Courier New" w:cs="Courier New" w:eastAsia="Courier New"/>
          <w:sz w:val="16"/>
        </w:rPr>
        <w:t>"""Central configuration for shapes, hyperparameters, and class labels.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Keeping these in one place guarantees the preprocessing stream, both</w:t>
      </w:r>
    </w:p>
    <w:p>
      <w:pPr>
        <w:pStyle w:val="CodeListing"/>
      </w:pPr>
      <w:r>
        <w:rPr>
          <w:rFonts w:ascii="Courier New" w:hAnsi="Courier New" w:cs="Courier New" w:eastAsia="Courier New"/>
          <w:sz w:val="16"/>
        </w:rPr>
        <w:t>encoders, the fusion module, and the training loop all agree on tensor</w:t>
      </w:r>
    </w:p>
    <w:p>
      <w:pPr>
        <w:pStyle w:val="CodeListing"/>
      </w:pPr>
      <w:r>
        <w:rPr>
          <w:rFonts w:ascii="Courier New" w:hAnsi="Courier New" w:cs="Courier New" w:eastAsia="Courier New"/>
          <w:sz w:val="16"/>
        </w:rPr>
        <w:t>shapes without hardcoding magic numbers in multiple files.</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dataclasses import dataclass, field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CLASS_NAMES = ("Healthy Control", "Glaucoma", "Optic Neuritis / CVI")</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MRIConfig:</w:t>
      </w:r>
    </w:p>
    <w:p>
      <w:pPr>
        <w:pStyle w:val="CodeListing"/>
      </w:pPr>
      <w:r>
        <w:rPr>
          <w:rFonts w:ascii="Courier New" w:hAnsi="Courier New" w:cs="Courier New" w:eastAsia="Courier New"/>
          <w:sz w:val="16"/>
        </w:rPr>
        <w:t xml:space="preserve">    target_shape: tuple[int, int, int] = (64, 64, 64)</w:t>
      </w:r>
    </w:p>
    <w:p>
      <w:pPr>
        <w:pStyle w:val="CodeListing"/>
      </w:pPr>
      <w:r>
        <w:rPr>
          <w:rFonts w:ascii="Courier New" w:hAnsi="Courier New" w:cs="Courier New" w:eastAsia="Courier New"/>
          <w:sz w:val="16"/>
        </w:rPr>
        <w:t xml:space="preserve">    target_spacing: tuple[float, float, float] = (1.0, 1.0, 1.0)</w:t>
      </w:r>
    </w:p>
    <w:p>
      <w:pPr>
        <w:pStyle w:val="CodeListing"/>
      </w:pPr>
      <w:r>
        <w:rPr>
          <w:rFonts w:ascii="Courier New" w:hAnsi="Courier New" w:cs="Courier New" w:eastAsia="Courier New"/>
          <w:sz w:val="16"/>
        </w:rPr>
        <w:t xml:space="preserve">    orientation: str = "RAS"</w:t>
      </w:r>
    </w:p>
    <w:p>
      <w:pPr>
        <w:pStyle w:val="CodeListing"/>
      </w:pPr>
      <w:r>
        <w:rPr>
          <w:rFonts w:ascii="Courier New" w:hAnsi="Courier New" w:cs="Courier New" w:eastAsia="Courier New"/>
          <w:sz w:val="16"/>
        </w:rPr>
        <w:t xml:space="preserve">    foreground_percentile: float = 60.0  # intensity-threshold skull-strip approx</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VEPConfig:</w:t>
      </w:r>
    </w:p>
    <w:p>
      <w:pPr>
        <w:pStyle w:val="CodeListing"/>
      </w:pPr>
      <w:r>
        <w:rPr>
          <w:rFonts w:ascii="Courier New" w:hAnsi="Courier New" w:cs="Courier New" w:eastAsia="Courier New"/>
          <w:sz w:val="16"/>
        </w:rPr>
        <w:t xml:space="preserve">    length: int = 500</w:t>
      </w:r>
    </w:p>
    <w:p>
      <w:pPr>
        <w:pStyle w:val="CodeListing"/>
      </w:pPr>
      <w:r>
        <w:rPr>
          <w:rFonts w:ascii="Courier New" w:hAnsi="Courier New" w:cs="Courier New" w:eastAsia="Courier New"/>
          <w:sz w:val="16"/>
        </w:rPr>
        <w:t xml:space="preserve">    sample_rate: float = 250.0  # Hz -&gt; 500 samples spans 2.0s per ISCEV sweep</w:t>
      </w:r>
    </w:p>
    <w:p>
      <w:pPr>
        <w:pStyle w:val="CodeListing"/>
      </w:pPr>
      <w:r>
        <w:rPr>
          <w:rFonts w:ascii="Courier New" w:hAnsi="Courier New" w:cs="Courier New" w:eastAsia="Courier New"/>
          <w:sz w:val="16"/>
        </w:rPr>
        <w:t xml:space="preserve">    bandpass_low: float = 1.0</w:t>
      </w:r>
    </w:p>
    <w:p>
      <w:pPr>
        <w:pStyle w:val="CodeListing"/>
      </w:pPr>
      <w:r>
        <w:rPr>
          <w:rFonts w:ascii="Courier New" w:hAnsi="Courier New" w:cs="Courier New" w:eastAsia="Courier New"/>
          <w:sz w:val="16"/>
        </w:rPr>
        <w:t xml:space="preserve">    bandpass_high: float = 100.0</w:t>
      </w:r>
    </w:p>
    <w:p>
      <w:pPr>
        <w:pStyle w:val="CodeListing"/>
      </w:pPr>
      <w:r>
        <w:rPr>
          <w:rFonts w:ascii="Courier New" w:hAnsi="Courier New" w:cs="Courier New" w:eastAsia="Courier New"/>
          <w:sz w:val="16"/>
        </w:rPr>
        <w:t xml:space="preserve">    notch_freq: float = 50.0</w:t>
      </w:r>
    </w:p>
    <w:p>
      <w:pPr>
        <w:pStyle w:val="CodeListing"/>
      </w:pPr>
      <w:r>
        <w:rPr>
          <w:rFonts w:ascii="Courier New" w:hAnsi="Courier New" w:cs="Courier New" w:eastAsia="Courier New"/>
          <w:sz w:val="16"/>
        </w:rPr>
        <w:t xml:space="preserve">    notch_quality: float = 30.0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ModelConfig:</w:t>
      </w:r>
    </w:p>
    <w:p>
      <w:pPr>
        <w:pStyle w:val="CodeListing"/>
      </w:pPr>
      <w:r>
        <w:rPr>
          <w:rFonts w:ascii="Courier New" w:hAnsi="Courier New" w:cs="Courier New" w:eastAsia="Courier New"/>
          <w:sz w:val="16"/>
        </w:rPr>
        <w:t xml:space="preserve">    d_model: int = 128</w:t>
      </w:r>
    </w:p>
    <w:p>
      <w:pPr>
        <w:pStyle w:val="CodeListing"/>
      </w:pPr>
      <w:r>
        <w:rPr>
          <w:rFonts w:ascii="Courier New" w:hAnsi="Courier New" w:cs="Courier New" w:eastAsia="Courier New"/>
          <w:sz w:val="16"/>
        </w:rPr>
        <w:t xml:space="preserve">    num_heads: int = 4</w:t>
      </w:r>
    </w:p>
    <w:p>
      <w:pPr>
        <w:pStyle w:val="CodeListing"/>
      </w:pPr>
      <w:r>
        <w:rPr>
          <w:rFonts w:ascii="Courier New" w:hAnsi="Courier New" w:cs="Courier New" w:eastAsia="Courier New"/>
          <w:sz w:val="16"/>
        </w:rPr>
        <w:t xml:space="preserve">    spatial_tokens: int = 64   # 4x4x4 adaptive pool</w:t>
      </w:r>
    </w:p>
    <w:p>
      <w:pPr>
        <w:pStyle w:val="CodeListing"/>
      </w:pPr>
      <w:r>
        <w:rPr>
          <w:rFonts w:ascii="Courier New" w:hAnsi="Courier New" w:cs="Courier New" w:eastAsia="Courier New"/>
          <w:sz w:val="16"/>
        </w:rPr>
        <w:t xml:space="preserve">    temporal_tokens: int = 16</w:t>
      </w:r>
    </w:p>
    <w:p>
      <w:pPr>
        <w:pStyle w:val="CodeListing"/>
      </w:pPr>
      <w:r>
        <w:rPr>
          <w:rFonts w:ascii="Courier New" w:hAnsi="Courier New" w:cs="Courier New" w:eastAsia="Courier New"/>
          <w:sz w:val="16"/>
        </w:rPr>
        <w:t xml:space="preserve">    spatial_pool: tuple[int, int, int] = (4, 4, 4)</w:t>
      </w:r>
    </w:p>
    <w:p>
      <w:pPr>
        <w:pStyle w:val="CodeListing"/>
      </w:pPr>
      <w:r>
        <w:rPr>
          <w:rFonts w:ascii="Courier New" w:hAnsi="Courier New" w:cs="Courier New" w:eastAsia="Courier New"/>
          <w:sz w:val="16"/>
        </w:rPr>
        <w:t xml:space="preserve">    ffn_hidden: int = 256</w:t>
      </w:r>
    </w:p>
    <w:p>
      <w:pPr>
        <w:pStyle w:val="CodeListing"/>
      </w:pPr>
      <w:r>
        <w:rPr>
          <w:rFonts w:ascii="Courier New" w:hAnsi="Courier New" w:cs="Courier New" w:eastAsia="Courier New"/>
          <w:sz w:val="16"/>
        </w:rPr>
        <w:t xml:space="preserve">    dropout: float = 0.1</w:t>
      </w:r>
    </w:p>
    <w:p>
      <w:pPr>
        <w:pStyle w:val="CodeListing"/>
      </w:pPr>
      <w:r>
        <w:rPr>
          <w:rFonts w:ascii="Courier New" w:hAnsi="Courier New" w:cs="Courier New" w:eastAsia="Courier New"/>
          <w:sz w:val="16"/>
        </w:rPr>
        <w:t xml:space="preserve">    num_classes: int = len(CLASS_NAMES)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TrainConfig:</w:t>
      </w:r>
    </w:p>
    <w:p>
      <w:pPr>
        <w:pStyle w:val="CodeListing"/>
      </w:pPr>
      <w:r>
        <w:rPr>
          <w:rFonts w:ascii="Courier New" w:hAnsi="Courier New" w:cs="Courier New" w:eastAsia="Courier New"/>
          <w:sz w:val="16"/>
        </w:rPr>
        <w:t xml:space="preserve">    batch_size: int = 8</w:t>
      </w:r>
    </w:p>
    <w:p>
      <w:pPr>
        <w:pStyle w:val="CodeListing"/>
      </w:pPr>
      <w:r>
        <w:rPr>
          <w:rFonts w:ascii="Courier New" w:hAnsi="Courier New" w:cs="Courier New" w:eastAsia="Courier New"/>
          <w:sz w:val="16"/>
        </w:rPr>
        <w:t xml:space="preserve">    epochs: int = 20</w:t>
      </w:r>
    </w:p>
    <w:p>
      <w:pPr>
        <w:pStyle w:val="CodeListing"/>
      </w:pPr>
      <w:r>
        <w:rPr>
          <w:rFonts w:ascii="Courier New" w:hAnsi="Courier New" w:cs="Courier New" w:eastAsia="Courier New"/>
          <w:sz w:val="16"/>
        </w:rPr>
        <w:t xml:space="preserve">    lr: float = 1e-3</w:t>
      </w:r>
    </w:p>
    <w:p>
      <w:pPr>
        <w:pStyle w:val="CodeListing"/>
      </w:pPr>
      <w:r>
        <w:rPr>
          <w:rFonts w:ascii="Courier New" w:hAnsi="Courier New" w:cs="Courier New" w:eastAsia="Courier New"/>
          <w:sz w:val="16"/>
        </w:rPr>
        <w:t xml:space="preserve">    weight_decay: float = 1e-4</w:t>
      </w:r>
    </w:p>
    <w:p>
      <w:pPr>
        <w:pStyle w:val="CodeListing"/>
      </w:pPr>
      <w:r>
        <w:rPr>
          <w:rFonts w:ascii="Courier New" w:hAnsi="Courier New" w:cs="Courier New" w:eastAsia="Courier New"/>
          <w:sz w:val="16"/>
        </w:rPr>
        <w:t xml:space="preserve">    aux_loss_weight: float = 0.3</w:t>
      </w:r>
    </w:p>
    <w:p>
      <w:pPr>
        <w:pStyle w:val="CodeListing"/>
      </w:pPr>
      <w:r>
        <w:rPr>
          <w:rFonts w:ascii="Courier New" w:hAnsi="Courier New" w:cs="Courier New" w:eastAsia="Courier New"/>
          <w:sz w:val="16"/>
        </w:rPr>
        <w:t xml:space="preserve">    val_split: float = 0.2</w:t>
      </w:r>
    </w:p>
    <w:p>
      <w:pPr>
        <w:pStyle w:val="CodeListing"/>
      </w:pPr>
      <w:r>
        <w:rPr>
          <w:rFonts w:ascii="Courier New" w:hAnsi="Courier New" w:cs="Courier New" w:eastAsia="Courier New"/>
          <w:sz w:val="16"/>
        </w:rPr>
        <w:t xml:space="preserve">    seed: int = 42</w:t>
      </w:r>
    </w:p>
    <w:p>
      <w:pPr>
        <w:pStyle w:val="CodeListing"/>
      </w:pPr>
      <w:r>
        <w:rPr>
          <w:rFonts w:ascii="Courier New" w:hAnsi="Courier New" w:cs="Courier New" w:eastAsia="Courier New"/>
          <w:sz w:val="16"/>
        </w:rPr>
        <w:t xml:space="preserve">    checkpoint_dir: str = "checkpoints"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@dataclass(frozen=True)</w:t>
      </w:r>
    </w:p>
    <w:p>
      <w:pPr>
        <w:pStyle w:val="CodeListing"/>
      </w:pPr>
      <w:r>
        <w:rPr>
          <w:rFonts w:ascii="Courier New" w:hAnsi="Courier New" w:cs="Courier New" w:eastAsia="Courier New"/>
          <w:sz w:val="16"/>
        </w:rPr>
        <w:t>class Config:</w:t>
      </w:r>
    </w:p>
    <w:p>
      <w:pPr>
        <w:pStyle w:val="CodeListing"/>
      </w:pPr>
      <w:r>
        <w:rPr>
          <w:rFonts w:ascii="Courier New" w:hAnsi="Courier New" w:cs="Courier New" w:eastAsia="Courier New"/>
          <w:sz w:val="16"/>
        </w:rPr>
        <w:t xml:space="preserve">    mri: MRIConfig = field(default_factory=MRIConfig)</w:t>
      </w:r>
    </w:p>
    <w:p>
      <w:pPr>
        <w:pStyle w:val="CodeListing"/>
      </w:pPr>
      <w:r>
        <w:rPr>
          <w:rFonts w:ascii="Courier New" w:hAnsi="Courier New" w:cs="Courier New" w:eastAsia="Courier New"/>
          <w:sz w:val="16"/>
        </w:rPr>
        <w:t xml:space="preserve">    vep: VEPConfig = field(default_factory=VEPConfig)</w:t>
      </w:r>
    </w:p>
    <w:p>
      <w:pPr>
        <w:pStyle w:val="CodeListing"/>
      </w:pPr>
      <w:r>
        <w:rPr>
          <w:rFonts w:ascii="Courier New" w:hAnsi="Courier New" w:cs="Courier New" w:eastAsia="Courier New"/>
          <w:sz w:val="16"/>
        </w:rPr>
        <w:t xml:space="preserve">    model: ModelConfig = field(default_factory=ModelConfig)</w:t>
      </w:r>
    </w:p>
    <w:p>
      <w:pPr>
        <w:pStyle w:val="CodeListing"/>
      </w:pPr>
      <w:r>
        <w:rPr>
          <w:rFonts w:ascii="Courier New" w:hAnsi="Courier New" w:cs="Courier New" w:eastAsia="Courier New"/>
          <w:sz w:val="16"/>
        </w:rPr>
        <w:t xml:space="preserve">    train: TrainConfig = field(default_factory=TrainConfig)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DEFAULT_CONFIG = Config()</w:t>
      </w:r>
    </w:p>
    <w:p>
      <w:pPr>
        <w:keepNext/>
        <w:spacing w:before="160" w:after="60" w:line="240" w:lineRule="auto"/>
        <w:jc w:val="left"/>
      </w:pPr>
      <w:r>
        <w:rPr>
          <w:rFonts w:ascii="Times New Roman" w:hAnsi="Times New Roman" w:cs="Times New Roman" w:eastAsia="Times New Roman"/>
          <w:b/>
          <w:sz w:val="22"/>
        </w:rPr>
        <w:t>Listing A2.2: src/data/synthetic.py</w:t>
      </w:r>
    </w:p>
    <w:p>
      <w:pPr>
        <w:pStyle w:val="CodeListing"/>
      </w:pPr>
      <w:r>
        <w:rPr>
          <w:rFonts w:ascii="Courier New" w:hAnsi="Courier New" w:cs="Courier New" w:eastAsia="Courier New"/>
          <w:sz w:val="16"/>
        </w:rPr>
        <w:t>"""Synthetic MRI + VEP generators.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The datasets named in Project.md (OpenNeuro, HCP Retinotopy, OASIS, MNE</w:t>
      </w:r>
    </w:p>
    <w:p>
      <w:pPr>
        <w:pStyle w:val="CodeListing"/>
      </w:pPr>
      <w:r>
        <w:rPr>
          <w:rFonts w:ascii="Courier New" w:hAnsi="Courier New" w:cs="Courier New" w:eastAsia="Courier New"/>
          <w:sz w:val="16"/>
        </w:rPr>
        <w:t>sample, PhysioNet) provide structural/functional scans and generic</w:t>
      </w:r>
    </w:p>
    <w:p>
      <w:pPr>
        <w:pStyle w:val="CodeListing"/>
      </w:pPr>
      <w:r>
        <w:rPr>
          <w:rFonts w:ascii="Courier New" w:hAnsi="Courier New" w:cs="Courier New" w:eastAsia="Courier New"/>
          <w:sz w:val="16"/>
        </w:rPr>
        <w:t>electrophysiology, but none carry the clinical Healthy/Glaucoma/Optic</w:t>
      </w:r>
    </w:p>
    <w:p>
      <w:pPr>
        <w:pStyle w:val="CodeListing"/>
      </w:pPr>
      <w:r>
        <w:rPr>
          <w:rFonts w:ascii="Courier New" w:hAnsi="Courier New" w:cs="Courier New" w:eastAsia="Courier New"/>
          <w:sz w:val="16"/>
        </w:rPr>
        <w:t>Neuritis-CVI labels this model targets -- that requires a curated clinical</w:t>
      </w:r>
    </w:p>
    <w:p>
      <w:pPr>
        <w:pStyle w:val="CodeListing"/>
      </w:pPr>
      <w:r>
        <w:rPr>
          <w:rFonts w:ascii="Courier New" w:hAnsi="Courier New" w:cs="Courier New" w:eastAsia="Courier New"/>
          <w:sz w:val="16"/>
        </w:rPr>
        <w:t>cohort. This module generates class-conditioned synthetic MRI volumes and</w:t>
      </w:r>
    </w:p>
    <w:p>
      <w:pPr>
        <w:pStyle w:val="CodeListing"/>
      </w:pPr>
      <w:r>
        <w:rPr>
          <w:rFonts w:ascii="Courier New" w:hAnsi="Courier New" w:cs="Courier New" w:eastAsia="Courier New"/>
          <w:sz w:val="16"/>
        </w:rPr>
        <w:t>VEP waveforms with the same interface real data would have, so the rest of</w:t>
      </w:r>
    </w:p>
    <w:p>
      <w:pPr>
        <w:pStyle w:val="CodeListing"/>
      </w:pPr>
      <w:r>
        <w:rPr>
          <w:rFonts w:ascii="Courier New" w:hAnsi="Courier New" w:cs="Courier New" w:eastAsia="Courier New"/>
          <w:sz w:val="16"/>
        </w:rPr>
        <w:t>the system (preprocessing, model, training, explainability) can be built,</w:t>
      </w:r>
    </w:p>
    <w:p>
      <w:pPr>
        <w:pStyle w:val="CodeListing"/>
      </w:pPr>
      <w:r>
        <w:rPr>
          <w:rFonts w:ascii="Courier New" w:hAnsi="Courier New" w:cs="Courier New" w:eastAsia="Courier New"/>
          <w:sz w:val="16"/>
        </w:rPr>
        <w:t>exercised, and tested end-to-end while a labeled cohort is sourced</w:t>
      </w:r>
    </w:p>
    <w:p>
      <w:pPr>
        <w:pStyle w:val="CodeListing"/>
      </w:pPr>
      <w:r>
        <w:rPr>
          <w:rFonts w:ascii="Courier New" w:hAnsi="Courier New" w:cs="Courier New" w:eastAsia="Courier New"/>
          <w:sz w:val="16"/>
        </w:rPr>
        <w:t>separately.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Class-conditioning is deliberately simplistic but structured so a model can</w:t>
      </w:r>
    </w:p>
    <w:p>
      <w:pPr>
        <w:pStyle w:val="CodeListing"/>
      </w:pPr>
      <w:r>
        <w:rPr>
          <w:rFonts w:ascii="Courier New" w:hAnsi="Courier New" w:cs="Courier New" w:eastAsia="Courier New"/>
          <w:sz w:val="16"/>
        </w:rPr>
        <w:t>learn from it: label 0 (Healthy) is unstructured background; label 1</w:t>
      </w:r>
    </w:p>
    <w:p>
      <w:pPr>
        <w:pStyle w:val="CodeListing"/>
      </w:pPr>
      <w:r>
        <w:rPr>
          <w:rFonts w:ascii="Courier New" w:hAnsi="Courier New" w:cs="Courier New" w:eastAsia="Courier New"/>
          <w:sz w:val="16"/>
        </w:rPr>
        <w:t>(Glaucoma) has focal MRI intensity loss (atrophy proxy) and reduced VEP</w:t>
      </w:r>
    </w:p>
    <w:p>
      <w:pPr>
        <w:pStyle w:val="CodeListing"/>
      </w:pPr>
      <w:r>
        <w:rPr>
          <w:rFonts w:ascii="Courier New" w:hAnsi="Courier New" w:cs="Courier New" w:eastAsia="Courier New"/>
          <w:sz w:val="16"/>
        </w:rPr>
        <w:t>amplitude; label 2 (Optic Neuritis / CVI) has focal MRI hyperintensity</w:t>
      </w:r>
    </w:p>
    <w:p>
      <w:pPr>
        <w:pStyle w:val="CodeListing"/>
      </w:pPr>
      <w:r>
        <w:rPr>
          <w:rFonts w:ascii="Courier New" w:hAnsi="Courier New" w:cs="Courier New" w:eastAsia="Courier New"/>
          <w:sz w:val="16"/>
        </w:rPr>
        <w:t>(lesion proxy) and delayed VEP P100 latency (the clinical hallmark of optic</w:t>
      </w:r>
    </w:p>
    <w:p>
      <w:pPr>
        <w:pStyle w:val="CodeListing"/>
      </w:pPr>
      <w:r>
        <w:rPr>
          <w:rFonts w:ascii="Courier New" w:hAnsi="Courier New" w:cs="Courier New" w:eastAsia="Courier New"/>
          <w:sz w:val="16"/>
        </w:rPr>
        <w:t>neuritis).</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csv</w:t>
      </w:r>
    </w:p>
    <w:p>
      <w:pPr>
        <w:pStyle w:val="CodeListing"/>
      </w:pPr>
      <w:r>
        <w:rPr>
          <w:rFonts w:ascii="Courier New" w:hAnsi="Courier New" w:cs="Courier New" w:eastAsia="Courier New"/>
          <w:sz w:val="16"/>
        </w:rPr>
        <w:t>import os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nibabel as nib</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NUM_CLASSES = DEFAULT_CONFIG.model.num_classes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synthetic_mri_volume(</w:t>
      </w:r>
    </w:p>
    <w:p>
      <w:pPr>
        <w:pStyle w:val="CodeListing"/>
      </w:pPr>
      <w:r>
        <w:rPr>
          <w:rFonts w:ascii="Courier New" w:hAnsi="Courier New" w:cs="Courier New" w:eastAsia="Courier New"/>
          <w:sz w:val="16"/>
        </w:rPr>
        <w:t xml:space="preserve">    label: int, shape: tuple[int, int, int] = (80, 96, 64), rng: np.random.Generator | None = None</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"""Generate a class-conditioned synthetic 3D MRI-like volume."""</w:t>
      </w:r>
    </w:p>
    <w:p>
      <w:pPr>
        <w:pStyle w:val="CodeListing"/>
      </w:pPr>
      <w:r>
        <w:rPr>
          <w:rFonts w:ascii="Courier New" w:hAnsi="Courier New" w:cs="Courier New" w:eastAsia="Courier New"/>
          <w:sz w:val="16"/>
        </w:rPr>
        <w:t xml:space="preserve">    rng = rng or np.random.default_rng()</w:t>
      </w:r>
    </w:p>
    <w:p>
      <w:pPr>
        <w:pStyle w:val="CodeListing"/>
      </w:pPr>
      <w:r>
        <w:rPr>
          <w:rFonts w:ascii="Courier New" w:hAnsi="Courier New" w:cs="Courier New" w:eastAsia="Courier New"/>
          <w:sz w:val="16"/>
        </w:rPr>
        <w:t xml:space="preserve">    volume = rng.normal(loc=100.0, scale=15.0, size=shape).clip(min=0)</w:t>
      </w:r>
    </w:p>
    <w:p>
      <w:pPr>
        <w:pStyle w:val="CodeListing"/>
      </w:pPr>
      <w:r>
        <w:rPr>
          <w:rFonts w:ascii="Courier New" w:hAnsi="Courier New" w:cs="Courier New" w:eastAsia="Courier New"/>
          <w:sz w:val="16"/>
        </w:rPr>
        <w:t xml:space="preserve">    d, h, w = shape</w:t>
      </w:r>
    </w:p>
    <w:p>
      <w:pPr>
        <w:pStyle w:val="CodeListing"/>
      </w:pPr>
      <w:r>
        <w:rPr>
          <w:rFonts w:ascii="Courier New" w:hAnsi="Courier New" w:cs="Courier New" w:eastAsia="Courier New"/>
          <w:sz w:val="16"/>
        </w:rPr>
        <w:t xml:space="preserve">    if label == 1:  # Glaucoma: focal atrophy (intensity loss)</w:t>
      </w:r>
    </w:p>
    <w:p>
      <w:pPr>
        <w:pStyle w:val="CodeListing"/>
      </w:pPr>
      <w:r>
        <w:rPr>
          <w:rFonts w:ascii="Courier New" w:hAnsi="Courier New" w:cs="Courier New" w:eastAsia="Courier New"/>
          <w:sz w:val="16"/>
        </w:rPr>
        <w:t xml:space="preserve">        volume[d // 2 :, : h // 2, : w // 2] *= 0.4</w:t>
      </w:r>
    </w:p>
    <w:p>
      <w:pPr>
        <w:pStyle w:val="CodeListing"/>
      </w:pPr>
      <w:r>
        <w:rPr>
          <w:rFonts w:ascii="Courier New" w:hAnsi="Courier New" w:cs="Courier New" w:eastAsia="Courier New"/>
          <w:sz w:val="16"/>
        </w:rPr>
        <w:t xml:space="preserve">    elif label == 2:  # Optic Neuritis / CVI: focal lesion (hyperintensity)</w:t>
      </w:r>
    </w:p>
    <w:p>
      <w:pPr>
        <w:pStyle w:val="CodeListing"/>
      </w:pPr>
      <w:r>
        <w:rPr>
          <w:rFonts w:ascii="Courier New" w:hAnsi="Courier New" w:cs="Courier New" w:eastAsia="Courier New"/>
          <w:sz w:val="16"/>
        </w:rPr>
        <w:t xml:space="preserve">        volume[: d // 2, h // 2 :, w // 2 :] *= 1.8</w:t>
      </w:r>
    </w:p>
    <w:p>
      <w:pPr>
        <w:pStyle w:val="CodeListing"/>
      </w:pPr>
      <w:r>
        <w:rPr>
          <w:rFonts w:ascii="Courier New" w:hAnsi="Courier New" w:cs="Courier New" w:eastAsia="Courier New"/>
          <w:sz w:val="16"/>
        </w:rPr>
        <w:t xml:space="preserve">    return volume.astype(np.float32)</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synthetic_vep_signal(</w:t>
      </w:r>
    </w:p>
    <w:p>
      <w:pPr>
        <w:pStyle w:val="CodeListing"/>
      </w:pPr>
      <w:r>
        <w:rPr>
          <w:rFonts w:ascii="Courier New" w:hAnsi="Courier New" w:cs="Courier New" w:eastAsia="Courier New"/>
          <w:sz w:val="16"/>
        </w:rPr>
        <w:t xml:space="preserve">    label: int, fs: float = 250.0, duration_s: float = 2.0, rng: np.random.Generator | None = None</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"""Generate a class-conditioned synthetic VEP waveform (N75-P100-N145)."""</w:t>
      </w:r>
    </w:p>
    <w:p>
      <w:pPr>
        <w:pStyle w:val="CodeListing"/>
      </w:pPr>
      <w:r>
        <w:rPr>
          <w:rFonts w:ascii="Courier New" w:hAnsi="Courier New" w:cs="Courier New" w:eastAsia="Courier New"/>
          <w:sz w:val="16"/>
        </w:rPr>
        <w:t xml:space="preserve">    rng = rng or np.random.default_rng()</w:t>
      </w:r>
    </w:p>
    <w:p>
      <w:pPr>
        <w:pStyle w:val="CodeListing"/>
      </w:pPr>
      <w:r>
        <w:rPr>
          <w:rFonts w:ascii="Courier New" w:hAnsi="Courier New" w:cs="Courier New" w:eastAsia="Courier New"/>
          <w:sz w:val="16"/>
        </w:rPr>
        <w:t xml:space="preserve">    t = np.arange(0.0, duration_s, 1.0 / fs)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label == 0:  # Healthy</w:t>
      </w:r>
    </w:p>
    <w:p>
      <w:pPr>
        <w:pStyle w:val="CodeListing"/>
      </w:pPr>
      <w:r>
        <w:rPr>
          <w:rFonts w:ascii="Courier New" w:hAnsi="Courier New" w:cs="Courier New" w:eastAsia="Courier New"/>
          <w:sz w:val="16"/>
        </w:rPr>
        <w:t xml:space="preserve">        latency, amplitude = 0.100, 6.0</w:t>
      </w:r>
    </w:p>
    <w:p>
      <w:pPr>
        <w:pStyle w:val="CodeListing"/>
      </w:pPr>
      <w:r>
        <w:rPr>
          <w:rFonts w:ascii="Courier New" w:hAnsi="Courier New" w:cs="Courier New" w:eastAsia="Courier New"/>
          <w:sz w:val="16"/>
        </w:rPr>
        <w:t xml:space="preserve">    elif label == 1:  # Glaucoma: reduced amplitude, near-normal latency</w:t>
      </w:r>
    </w:p>
    <w:p>
      <w:pPr>
        <w:pStyle w:val="CodeListing"/>
      </w:pPr>
      <w:r>
        <w:rPr>
          <w:rFonts w:ascii="Courier New" w:hAnsi="Courier New" w:cs="Courier New" w:eastAsia="Courier New"/>
          <w:sz w:val="16"/>
        </w:rPr>
        <w:t xml:space="preserve">        latency, amplitude = 0.108, 2.5</w:t>
      </w:r>
    </w:p>
    <w:p>
      <w:pPr>
        <w:pStyle w:val="CodeListing"/>
      </w:pPr>
      <w:r>
        <w:rPr>
          <w:rFonts w:ascii="Courier New" w:hAnsi="Courier New" w:cs="Courier New" w:eastAsia="Courier New"/>
          <w:sz w:val="16"/>
        </w:rPr>
        <w:t xml:space="preserve">    else:  # Optic Neuritis / CVI: delayed P100 latency</w:t>
      </w:r>
    </w:p>
    <w:p>
      <w:pPr>
        <w:pStyle w:val="CodeListing"/>
      </w:pPr>
      <w:r>
        <w:rPr>
          <w:rFonts w:ascii="Courier New" w:hAnsi="Courier New" w:cs="Courier New" w:eastAsia="Courier New"/>
          <w:sz w:val="16"/>
        </w:rPr>
        <w:t xml:space="preserve">        latency, amplitude = 0.140, 4.0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p100 = amplitude * np.exp(-((t - latency) ** 2) / (2 * 0.012**2))</w:t>
      </w:r>
    </w:p>
    <w:p>
      <w:pPr>
        <w:pStyle w:val="CodeListing"/>
      </w:pPr>
      <w:r>
        <w:rPr>
          <w:rFonts w:ascii="Courier New" w:hAnsi="Courier New" w:cs="Courier New" w:eastAsia="Courier New"/>
          <w:sz w:val="16"/>
        </w:rPr>
        <w:t xml:space="preserve">    n75 = -0.5 * amplitude * np.exp(-((t - (latency - 0.025)) ** 2) / (2 * 0.010**2))</w:t>
      </w:r>
    </w:p>
    <w:p>
      <w:pPr>
        <w:pStyle w:val="CodeListing"/>
      </w:pPr>
      <w:r>
        <w:rPr>
          <w:rFonts w:ascii="Courier New" w:hAnsi="Courier New" w:cs="Courier New" w:eastAsia="Courier New"/>
          <w:sz w:val="16"/>
        </w:rPr>
        <w:t xml:space="preserve">    n145 = -0.4 * amplitude * np.exp(-((t - (latency + 0.045)) ** 2) / (2 * 0.015**2))</w:t>
      </w:r>
    </w:p>
    <w:p>
      <w:pPr>
        <w:pStyle w:val="CodeListing"/>
      </w:pPr>
      <w:r>
        <w:rPr>
          <w:rFonts w:ascii="Courier New" w:hAnsi="Courier New" w:cs="Courier New" w:eastAsia="Courier New"/>
          <w:sz w:val="16"/>
        </w:rPr>
        <w:t xml:space="preserve">    waveform = p100 + n75 + n145</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drift = 0.3 * np.sin(2 * np.pi * 0.3 * t)</w:t>
      </w:r>
    </w:p>
    <w:p>
      <w:pPr>
        <w:pStyle w:val="CodeListing"/>
      </w:pPr>
      <w:r>
        <w:rPr>
          <w:rFonts w:ascii="Courier New" w:hAnsi="Courier New" w:cs="Courier New" w:eastAsia="Courier New"/>
          <w:sz w:val="16"/>
        </w:rPr>
        <w:t xml:space="preserve">    mains = 0.15 * np.sin(2 * np.pi * 50.0 * t)</w:t>
      </w:r>
    </w:p>
    <w:p>
      <w:pPr>
        <w:pStyle w:val="CodeListing"/>
      </w:pPr>
      <w:r>
        <w:rPr>
          <w:rFonts w:ascii="Courier New" w:hAnsi="Courier New" w:cs="Courier New" w:eastAsia="Courier New"/>
          <w:sz w:val="16"/>
        </w:rPr>
        <w:t xml:space="preserve">    emg_noise = rng.normal(0.0, 0.3, size=t.shape)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(waveform + drift + mains + emg_noise).astype(np.float64)</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write_synthetic_dataset(</w:t>
      </w:r>
    </w:p>
    <w:p>
      <w:pPr>
        <w:pStyle w:val="CodeListing"/>
      </w:pPr>
      <w:r>
        <w:rPr>
          <w:rFonts w:ascii="Courier New" w:hAnsi="Courier New" w:cs="Courier New" w:eastAsia="Courier New"/>
          <w:sz w:val="16"/>
        </w:rPr>
        <w:t xml:space="preserve">    root: str,</w:t>
      </w:r>
    </w:p>
    <w:p>
      <w:pPr>
        <w:pStyle w:val="CodeListing"/>
      </w:pPr>
      <w:r>
        <w:rPr>
          <w:rFonts w:ascii="Courier New" w:hAnsi="Courier New" w:cs="Courier New" w:eastAsia="Courier New"/>
          <w:sz w:val="16"/>
        </w:rPr>
        <w:t xml:space="preserve">    samples_per_class: int = 4,</w:t>
      </w:r>
    </w:p>
    <w:p>
      <w:pPr>
        <w:pStyle w:val="CodeListing"/>
      </w:pPr>
      <w:r>
        <w:rPr>
          <w:rFonts w:ascii="Courier New" w:hAnsi="Courier New" w:cs="Courier New" w:eastAsia="Courier New"/>
          <w:sz w:val="16"/>
        </w:rPr>
        <w:t xml:space="preserve">    cfg: Config = DEFAULT_CONFIG,</w:t>
      </w:r>
    </w:p>
    <w:p>
      <w:pPr>
        <w:pStyle w:val="CodeListing"/>
      </w:pPr>
      <w:r>
        <w:rPr>
          <w:rFonts w:ascii="Courier New" w:hAnsi="Courier New" w:cs="Courier New" w:eastAsia="Courier New"/>
          <w:sz w:val="16"/>
        </w:rPr>
        <w:t xml:space="preserve">    seed: int = 0,</w:t>
      </w:r>
    </w:p>
    <w:p>
      <w:pPr>
        <w:pStyle w:val="CodeListing"/>
      </w:pPr>
      <w:r>
        <w:rPr>
          <w:rFonts w:ascii="Courier New" w:hAnsi="Courier New" w:cs="Courier New" w:eastAsia="Courier New"/>
          <w:sz w:val="16"/>
        </w:rPr>
        <w:t>) -&gt; str:</w:t>
      </w:r>
    </w:p>
    <w:p>
      <w:pPr>
        <w:pStyle w:val="CodeListing"/>
      </w:pPr>
      <w:r>
        <w:rPr>
          <w:rFonts w:ascii="Courier New" w:hAnsi="Courier New" w:cs="Courier New" w:eastAsia="Courier New"/>
          <w:sz w:val="16"/>
        </w:rPr>
        <w:t xml:space="preserve">    """Write synthetic NIfTI + VEP CSV files and a manifest.csv under `root`.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Mirrors the data/raw/{mri,vep} layout described in Project.md. Returns</w:t>
      </w:r>
    </w:p>
    <w:p>
      <w:pPr>
        <w:pStyle w:val="CodeListing"/>
      </w:pPr>
      <w:r>
        <w:rPr>
          <w:rFonts w:ascii="Courier New" w:hAnsi="Courier New" w:cs="Courier New" w:eastAsia="Courier New"/>
          <w:sz w:val="16"/>
        </w:rPr>
        <w:t xml:space="preserve">    the manifest CSV path, with columns: subject_id, mri_path, vep_path, fs, label.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rng = np.random.default_rng(seed)</w:t>
      </w:r>
    </w:p>
    <w:p>
      <w:pPr>
        <w:pStyle w:val="CodeListing"/>
      </w:pPr>
      <w:r>
        <w:rPr>
          <w:rFonts w:ascii="Courier New" w:hAnsi="Courier New" w:cs="Courier New" w:eastAsia="Courier New"/>
          <w:sz w:val="16"/>
        </w:rPr>
        <w:t xml:space="preserve">    mri_dir = os.path.join(root, "mri")</w:t>
      </w:r>
    </w:p>
    <w:p>
      <w:pPr>
        <w:pStyle w:val="CodeListing"/>
      </w:pPr>
      <w:r>
        <w:rPr>
          <w:rFonts w:ascii="Courier New" w:hAnsi="Courier New" w:cs="Courier New" w:eastAsia="Courier New"/>
          <w:sz w:val="16"/>
        </w:rPr>
        <w:t xml:space="preserve">    vep_dir = os.path.join(root, "vep")</w:t>
      </w:r>
    </w:p>
    <w:p>
      <w:pPr>
        <w:pStyle w:val="CodeListing"/>
      </w:pPr>
      <w:r>
        <w:rPr>
          <w:rFonts w:ascii="Courier New" w:hAnsi="Courier New" w:cs="Courier New" w:eastAsia="Courier New"/>
          <w:sz w:val="16"/>
        </w:rPr>
        <w:t xml:space="preserve">    os.makedirs(mri_dir, exist_ok=True)</w:t>
      </w:r>
    </w:p>
    <w:p>
      <w:pPr>
        <w:pStyle w:val="CodeListing"/>
      </w:pPr>
      <w:r>
        <w:rPr>
          <w:rFonts w:ascii="Courier New" w:hAnsi="Courier New" w:cs="Courier New" w:eastAsia="Courier New"/>
          <w:sz w:val="16"/>
        </w:rPr>
        <w:t xml:space="preserve">    os.makedirs(vep_dir, exist_ok=True)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manifest_path = os.path.join(root, "manifest.csv")</w:t>
      </w:r>
    </w:p>
    <w:p>
      <w:pPr>
        <w:pStyle w:val="CodeListing"/>
      </w:pPr>
      <w:r>
        <w:rPr>
          <w:rFonts w:ascii="Courier New" w:hAnsi="Courier New" w:cs="Courier New" w:eastAsia="Courier New"/>
          <w:sz w:val="16"/>
        </w:rPr>
        <w:t xml:space="preserve">    rows = []</w:t>
      </w:r>
    </w:p>
    <w:p>
      <w:pPr>
        <w:pStyle w:val="CodeListing"/>
      </w:pPr>
      <w:r>
        <w:rPr>
          <w:rFonts w:ascii="Courier New" w:hAnsi="Courier New" w:cs="Courier New" w:eastAsia="Courier New"/>
          <w:sz w:val="16"/>
        </w:rPr>
        <w:t xml:space="preserve">    subject_idx = 0</w:t>
      </w:r>
    </w:p>
    <w:p>
      <w:pPr>
        <w:pStyle w:val="CodeListing"/>
      </w:pPr>
      <w:r>
        <w:rPr>
          <w:rFonts w:ascii="Courier New" w:hAnsi="Courier New" w:cs="Courier New" w:eastAsia="Courier New"/>
          <w:sz w:val="16"/>
        </w:rPr>
        <w:t xml:space="preserve">    for label in range(NUM_CLASSES):</w:t>
      </w:r>
    </w:p>
    <w:p>
      <w:pPr>
        <w:pStyle w:val="CodeListing"/>
      </w:pPr>
      <w:r>
        <w:rPr>
          <w:rFonts w:ascii="Courier New" w:hAnsi="Courier New" w:cs="Courier New" w:eastAsia="Courier New"/>
          <w:sz w:val="16"/>
        </w:rPr>
        <w:t xml:space="preserve">        for _ in range(samples_per_class):</w:t>
      </w:r>
    </w:p>
    <w:p>
      <w:pPr>
        <w:pStyle w:val="CodeListing"/>
      </w:pPr>
      <w:r>
        <w:rPr>
          <w:rFonts w:ascii="Courier New" w:hAnsi="Courier New" w:cs="Courier New" w:eastAsia="Courier New"/>
          <w:sz w:val="16"/>
        </w:rPr>
        <w:t xml:space="preserve">            subject_id = f"sub-{subject_idx:04d}"</w:t>
      </w:r>
    </w:p>
    <w:p>
      <w:pPr>
        <w:pStyle w:val="CodeListing"/>
      </w:pPr>
      <w:r>
        <w:rPr>
          <w:rFonts w:ascii="Courier New" w:hAnsi="Courier New" w:cs="Courier New" w:eastAsia="Courier New"/>
          <w:sz w:val="16"/>
        </w:rPr>
        <w:t xml:space="preserve">            volume = synthetic_mri_volume(label, rng=rng)</w:t>
      </w:r>
    </w:p>
    <w:p>
      <w:pPr>
        <w:pStyle w:val="CodeListing"/>
      </w:pPr>
      <w:r>
        <w:rPr>
          <w:rFonts w:ascii="Courier New" w:hAnsi="Courier New" w:cs="Courier New" w:eastAsia="Courier New"/>
          <w:sz w:val="16"/>
        </w:rPr>
        <w:t xml:space="preserve">            affine = np.diag([1.0, 1.0, 1.0, 1.0])</w:t>
      </w:r>
    </w:p>
    <w:p>
      <w:pPr>
        <w:pStyle w:val="CodeListing"/>
      </w:pPr>
      <w:r>
        <w:rPr>
          <w:rFonts w:ascii="Courier New" w:hAnsi="Courier New" w:cs="Courier New" w:eastAsia="Courier New"/>
          <w:sz w:val="16"/>
        </w:rPr>
        <w:t xml:space="preserve">            img = nib.Nifti1Image(volume, affine)</w:t>
      </w:r>
    </w:p>
    <w:p>
      <w:pPr>
        <w:pStyle w:val="CodeListing"/>
      </w:pPr>
      <w:r>
        <w:rPr>
          <w:rFonts w:ascii="Courier New" w:hAnsi="Courier New" w:cs="Courier New" w:eastAsia="Courier New"/>
          <w:sz w:val="16"/>
        </w:rPr>
        <w:t xml:space="preserve">            mri_path = os.path.join(mri_dir, f"{subject_id}_mri.nii.gz")</w:t>
      </w:r>
    </w:p>
    <w:p>
      <w:pPr>
        <w:pStyle w:val="CodeListing"/>
      </w:pPr>
      <w:r>
        <w:rPr>
          <w:rFonts w:ascii="Courier New" w:hAnsi="Courier New" w:cs="Courier New" w:eastAsia="Courier New"/>
          <w:sz w:val="16"/>
        </w:rPr>
        <w:t xml:space="preserve">            nib.save(img, mri_path)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signal = synthetic_vep_signal(label, fs=cfg.vep.sample_rate, rng=rng)</w:t>
      </w:r>
    </w:p>
    <w:p>
      <w:pPr>
        <w:pStyle w:val="CodeListing"/>
      </w:pPr>
      <w:r>
        <w:rPr>
          <w:rFonts w:ascii="Courier New" w:hAnsi="Courier New" w:cs="Courier New" w:eastAsia="Courier New"/>
          <w:sz w:val="16"/>
        </w:rPr>
        <w:t xml:space="preserve">            vep_path = os.path.join(vep_dir, f"{subject_id}_vep.csv")</w:t>
      </w:r>
    </w:p>
    <w:p>
      <w:pPr>
        <w:pStyle w:val="CodeListing"/>
      </w:pPr>
      <w:r>
        <w:rPr>
          <w:rFonts w:ascii="Courier New" w:hAnsi="Courier New" w:cs="Courier New" w:eastAsia="Courier New"/>
          <w:sz w:val="16"/>
        </w:rPr>
        <w:t xml:space="preserve">            with open(vep_path, "w", newline="") as f:</w:t>
      </w:r>
    </w:p>
    <w:p>
      <w:pPr>
        <w:pStyle w:val="CodeListing"/>
      </w:pPr>
      <w:r>
        <w:rPr>
          <w:rFonts w:ascii="Courier New" w:hAnsi="Courier New" w:cs="Courier New" w:eastAsia="Courier New"/>
          <w:sz w:val="16"/>
        </w:rPr>
        <w:t xml:space="preserve">                writer = csv.writer(f)</w:t>
      </w:r>
    </w:p>
    <w:p>
      <w:pPr>
        <w:pStyle w:val="CodeListing"/>
      </w:pPr>
      <w:r>
        <w:rPr>
          <w:rFonts w:ascii="Courier New" w:hAnsi="Courier New" w:cs="Courier New" w:eastAsia="Courier New"/>
          <w:sz w:val="16"/>
        </w:rPr>
        <w:t xml:space="preserve">                writer.writerow(["amplitude"])</w:t>
      </w:r>
    </w:p>
    <w:p>
      <w:pPr>
        <w:pStyle w:val="CodeListing"/>
      </w:pPr>
      <w:r>
        <w:rPr>
          <w:rFonts w:ascii="Courier New" w:hAnsi="Courier New" w:cs="Courier New" w:eastAsia="Courier New"/>
          <w:sz w:val="16"/>
        </w:rPr>
        <w:t xml:space="preserve">                for value in signal:</w:t>
      </w:r>
    </w:p>
    <w:p>
      <w:pPr>
        <w:pStyle w:val="CodeListing"/>
      </w:pPr>
      <w:r>
        <w:rPr>
          <w:rFonts w:ascii="Courier New" w:hAnsi="Courier New" w:cs="Courier New" w:eastAsia="Courier New"/>
          <w:sz w:val="16"/>
        </w:rPr>
        <w:t xml:space="preserve">                    writer.writerow([value])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rows.append(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"subject_id": subject_id,</w:t>
      </w:r>
    </w:p>
    <w:p>
      <w:pPr>
        <w:pStyle w:val="CodeListing"/>
      </w:pPr>
      <w:r>
        <w:rPr>
          <w:rFonts w:ascii="Courier New" w:hAnsi="Courier New" w:cs="Courier New" w:eastAsia="Courier New"/>
          <w:sz w:val="16"/>
        </w:rPr>
        <w:t xml:space="preserve">                    "mri_path": mri_path,</w:t>
      </w:r>
    </w:p>
    <w:p>
      <w:pPr>
        <w:pStyle w:val="CodeListing"/>
      </w:pPr>
      <w:r>
        <w:rPr>
          <w:rFonts w:ascii="Courier New" w:hAnsi="Courier New" w:cs="Courier New" w:eastAsia="Courier New"/>
          <w:sz w:val="16"/>
        </w:rPr>
        <w:t xml:space="preserve">                    "vep_path": vep_path,</w:t>
      </w:r>
    </w:p>
    <w:p>
      <w:pPr>
        <w:pStyle w:val="CodeListing"/>
      </w:pPr>
      <w:r>
        <w:rPr>
          <w:rFonts w:ascii="Courier New" w:hAnsi="Courier New" w:cs="Courier New" w:eastAsia="Courier New"/>
          <w:sz w:val="16"/>
        </w:rPr>
        <w:t xml:space="preserve">                    "fs": cfg.vep.sample_rate,</w:t>
      </w:r>
    </w:p>
    <w:p>
      <w:pPr>
        <w:pStyle w:val="CodeListing"/>
      </w:pPr>
      <w:r>
        <w:rPr>
          <w:rFonts w:ascii="Courier New" w:hAnsi="Courier New" w:cs="Courier New" w:eastAsia="Courier New"/>
          <w:sz w:val="16"/>
        </w:rPr>
        <w:t xml:space="preserve">                    "label": label,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subject_idx += 1</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with open(manifest_path, "w", newline="") as f:</w:t>
      </w:r>
    </w:p>
    <w:p>
      <w:pPr>
        <w:pStyle w:val="CodeListing"/>
      </w:pPr>
      <w:r>
        <w:rPr>
          <w:rFonts w:ascii="Courier New" w:hAnsi="Courier New" w:cs="Courier New" w:eastAsia="Courier New"/>
          <w:sz w:val="16"/>
        </w:rPr>
        <w:t xml:space="preserve">        writer = csv.DictWriter(f, fieldnames=["subject_id", "mri_path", "vep_path", "fs", "label"])</w:t>
      </w:r>
    </w:p>
    <w:p>
      <w:pPr>
        <w:pStyle w:val="CodeListing"/>
      </w:pPr>
      <w:r>
        <w:rPr>
          <w:rFonts w:ascii="Courier New" w:hAnsi="Courier New" w:cs="Courier New" w:eastAsia="Courier New"/>
          <w:sz w:val="16"/>
        </w:rPr>
        <w:t xml:space="preserve">        writer.writeheader()</w:t>
      </w:r>
    </w:p>
    <w:p>
      <w:pPr>
        <w:pStyle w:val="CodeListing"/>
      </w:pPr>
      <w:r>
        <w:rPr>
          <w:rFonts w:ascii="Courier New" w:hAnsi="Courier New" w:cs="Courier New" w:eastAsia="Courier New"/>
          <w:sz w:val="16"/>
        </w:rPr>
        <w:t xml:space="preserve">        writer.writerows(rows)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manifest_path</w:t>
      </w:r>
    </w:p>
    <w:p>
      <w:pPr>
        <w:keepNext/>
        <w:spacing w:before="160" w:after="60" w:line="240" w:lineRule="auto"/>
        <w:jc w:val="left"/>
      </w:pPr>
      <w:r>
        <w:rPr>
          <w:rFonts w:ascii="Times New Roman" w:hAnsi="Times New Roman" w:cs="Times New Roman" w:eastAsia="Times New Roman"/>
          <w:b/>
          <w:sz w:val="22"/>
        </w:rPr>
        <w:t>Listing A2.3: src/data/dataset.py</w:t>
      </w:r>
    </w:p>
    <w:p>
      <w:pPr>
        <w:pStyle w:val="CodeListing"/>
      </w:pPr>
      <w:r>
        <w:rPr>
          <w:rFonts w:ascii="Courier New" w:hAnsi="Courier New" w:cs="Courier New" w:eastAsia="Courier New"/>
          <w:sz w:val="16"/>
        </w:rPr>
        <w:t>"""PyTorch Dataset classes for paired MRI + VEP samples.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`PairedNeuroDataset` reads a manifest CSV (subject_id, mri_path, vep_path,</w:t>
      </w:r>
    </w:p>
    <w:p>
      <w:pPr>
        <w:pStyle w:val="CodeListing"/>
      </w:pPr>
      <w:r>
        <w:rPr>
          <w:rFonts w:ascii="Courier New" w:hAnsi="Courier New" w:cs="Courier New" w:eastAsia="Courier New"/>
          <w:sz w:val="16"/>
        </w:rPr>
        <w:t>fs, label) and applies the real preprocessing pipeline -- this is what a</w:t>
      </w:r>
    </w:p>
    <w:p>
      <w:pPr>
        <w:pStyle w:val="CodeListing"/>
      </w:pPr>
      <w:r>
        <w:rPr>
          <w:rFonts w:ascii="Courier New" w:hAnsi="Courier New" w:cs="Courier New" w:eastAsia="Courier New"/>
          <w:sz w:val="16"/>
        </w:rPr>
        <w:t>labeled clinical cohort would plug into. `SyntheticNeuroDataset` generates</w:t>
      </w:r>
    </w:p>
    <w:p>
      <w:pPr>
        <w:pStyle w:val="CodeListing"/>
      </w:pPr>
      <w:r>
        <w:rPr>
          <w:rFonts w:ascii="Courier New" w:hAnsi="Courier New" w:cs="Courier New" w:eastAsia="Courier New"/>
          <w:sz w:val="16"/>
        </w:rPr>
        <w:t>class-conditioned synthetic samples in-memory (no disk I/O) through the same</w:t>
      </w:r>
    </w:p>
    <w:p>
      <w:pPr>
        <w:pStyle w:val="CodeListing"/>
      </w:pPr>
      <w:r>
        <w:rPr>
          <w:rFonts w:ascii="Courier New" w:hAnsi="Courier New" w:cs="Courier New" w:eastAsia="Courier New"/>
          <w:sz w:val="16"/>
        </w:rPr>
        <w:t>preprocessing pipeline, used for fast unit tests, integration tests, and</w:t>
      </w:r>
    </w:p>
    <w:p>
      <w:pPr>
        <w:pStyle w:val="CodeListing"/>
      </w:pPr>
      <w:r>
        <w:rPr>
          <w:rFonts w:ascii="Courier New" w:hAnsi="Courier New" w:cs="Courier New" w:eastAsia="Courier New"/>
          <w:sz w:val="16"/>
        </w:rPr>
        <w:t>development/training-loop validation ahead of real labeled data.</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csv</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from torch.utils.data import Dataset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Config, DEFAULT_CONFIG</w:t>
      </w:r>
    </w:p>
    <w:p>
      <w:pPr>
        <w:pStyle w:val="CodeListing"/>
      </w:pPr>
      <w:r>
        <w:rPr>
          <w:rFonts w:ascii="Courier New" w:hAnsi="Courier New" w:cs="Courier New" w:eastAsia="Courier New"/>
          <w:sz w:val="16"/>
        </w:rPr>
        <w:t>from src.data.synthetic import synthetic_mri_volume, synthetic_vep_signal</w:t>
      </w:r>
    </w:p>
    <w:p>
      <w:pPr>
        <w:pStyle w:val="CodeListing"/>
      </w:pPr>
      <w:r>
        <w:rPr>
          <w:rFonts w:ascii="Courier New" w:hAnsi="Courier New" w:cs="Courier New" w:eastAsia="Courier New"/>
          <w:sz w:val="16"/>
        </w:rPr>
        <w:t>from src.preprocessing.mri_transforms import preprocess_mri_file, preprocess_mri_volume</w:t>
      </w:r>
    </w:p>
    <w:p>
      <w:pPr>
        <w:pStyle w:val="CodeListing"/>
      </w:pPr>
      <w:r>
        <w:rPr>
          <w:rFonts w:ascii="Courier New" w:hAnsi="Courier New" w:cs="Courier New" w:eastAsia="Courier New"/>
          <w:sz w:val="16"/>
        </w:rPr>
        <w:t>from src.preprocessing.signal_cleaner import clean_vep_signal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PairedNeuroDataset(Dataset):</w:t>
      </w:r>
    </w:p>
    <w:p>
      <w:pPr>
        <w:pStyle w:val="CodeListing"/>
      </w:pPr>
      <w:r>
        <w:rPr>
          <w:rFonts w:ascii="Courier New" w:hAnsi="Courier New" w:cs="Courier New" w:eastAsia="Courier New"/>
          <w:sz w:val="16"/>
        </w:rPr>
        <w:t xml:space="preserve">    """Loads (MRI volume, VEP signal, label) triples from a manifest CSV."""</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manifest_path: str, cfg: Config = DEFAULT_CONFIG):</w:t>
      </w:r>
    </w:p>
    <w:p>
      <w:pPr>
        <w:pStyle w:val="CodeListing"/>
      </w:pPr>
      <w:r>
        <w:rPr>
          <w:rFonts w:ascii="Courier New" w:hAnsi="Courier New" w:cs="Courier New" w:eastAsia="Courier New"/>
          <w:sz w:val="16"/>
        </w:rPr>
        <w:t xml:space="preserve">        self.cfg = cfg</w:t>
      </w:r>
    </w:p>
    <w:p>
      <w:pPr>
        <w:pStyle w:val="CodeListing"/>
      </w:pPr>
      <w:r>
        <w:rPr>
          <w:rFonts w:ascii="Courier New" w:hAnsi="Courier New" w:cs="Courier New" w:eastAsia="Courier New"/>
          <w:sz w:val="16"/>
        </w:rPr>
        <w:t xml:space="preserve">        with open(manifest_path, newline="") as f:</w:t>
      </w:r>
    </w:p>
    <w:p>
      <w:pPr>
        <w:pStyle w:val="CodeListing"/>
      </w:pPr>
      <w:r>
        <w:rPr>
          <w:rFonts w:ascii="Courier New" w:hAnsi="Courier New" w:cs="Courier New" w:eastAsia="Courier New"/>
          <w:sz w:val="16"/>
        </w:rPr>
        <w:t xml:space="preserve">            self.rows = list(csv.DictReader(f))</w:t>
      </w:r>
    </w:p>
    <w:p>
      <w:pPr>
        <w:pStyle w:val="CodeListing"/>
      </w:pPr>
      <w:r>
        <w:rPr>
          <w:rFonts w:ascii="Courier New" w:hAnsi="Courier New" w:cs="Courier New" w:eastAsia="Courier New"/>
          <w:sz w:val="16"/>
        </w:rPr>
        <w:t xml:space="preserve">        if not self.rows:</w:t>
      </w:r>
    </w:p>
    <w:p>
      <w:pPr>
        <w:pStyle w:val="CodeListing"/>
      </w:pPr>
      <w:r>
        <w:rPr>
          <w:rFonts w:ascii="Courier New" w:hAnsi="Courier New" w:cs="Courier New" w:eastAsia="Courier New"/>
          <w:sz w:val="16"/>
        </w:rPr>
        <w:t xml:space="preserve">            raise ValueError(f"Manifest at {manifest_path} has no rows")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__len__(self) -&gt; int:</w:t>
      </w:r>
    </w:p>
    <w:p>
      <w:pPr>
        <w:pStyle w:val="CodeListing"/>
      </w:pPr>
      <w:r>
        <w:rPr>
          <w:rFonts w:ascii="Courier New" w:hAnsi="Courier New" w:cs="Courier New" w:eastAsia="Courier New"/>
          <w:sz w:val="16"/>
        </w:rPr>
        <w:t xml:space="preserve">        return len(self.rows)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__getitem__(self, idx: int) -&gt; dict:</w:t>
      </w:r>
    </w:p>
    <w:p>
      <w:pPr>
        <w:pStyle w:val="CodeListing"/>
      </w:pPr>
      <w:r>
        <w:rPr>
          <w:rFonts w:ascii="Courier New" w:hAnsi="Courier New" w:cs="Courier New" w:eastAsia="Courier New"/>
          <w:sz w:val="16"/>
        </w:rPr>
        <w:t xml:space="preserve">        row = self.rows[idx]</w:t>
      </w:r>
    </w:p>
    <w:p>
      <w:pPr>
        <w:pStyle w:val="CodeListing"/>
      </w:pPr>
      <w:r>
        <w:rPr>
          <w:rFonts w:ascii="Courier New" w:hAnsi="Courier New" w:cs="Courier New" w:eastAsia="Courier New"/>
          <w:sz w:val="16"/>
        </w:rPr>
        <w:t xml:space="preserve">        mri = preprocess_mri_file(row["mri_path"], self.cfg.mri)</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raw_signal = np.loadtxt(row["vep_path"], delimiter=",", skiprows=1)</w:t>
      </w:r>
    </w:p>
    <w:p>
      <w:pPr>
        <w:pStyle w:val="CodeListing"/>
      </w:pPr>
      <w:r>
        <w:rPr>
          <w:rFonts w:ascii="Courier New" w:hAnsi="Courier New" w:cs="Courier New" w:eastAsia="Courier New"/>
          <w:sz w:val="16"/>
        </w:rPr>
        <w:t xml:space="preserve">        fs = float(row.get("fs") or self.cfg.vep.sample_rate)</w:t>
      </w:r>
    </w:p>
    <w:p>
      <w:pPr>
        <w:pStyle w:val="CodeListing"/>
      </w:pPr>
      <w:r>
        <w:rPr>
          <w:rFonts w:ascii="Courier New" w:hAnsi="Courier New" w:cs="Courier New" w:eastAsia="Courier New"/>
          <w:sz w:val="16"/>
        </w:rPr>
        <w:t xml:space="preserve">        vep = clean_vep_signal(raw_signal, fs, self.cfg.vep)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t>
      </w:r>
    </w:p>
    <w:p>
      <w:pPr>
        <w:pStyle w:val="CodeListing"/>
      </w:pPr>
      <w:r>
        <w:rPr>
          <w:rFonts w:ascii="Courier New" w:hAnsi="Courier New" w:cs="Courier New" w:eastAsia="Courier New"/>
          <w:sz w:val="16"/>
        </w:rPr>
        <w:t xml:space="preserve">            "mri": torch.from_numpy(mri),</w:t>
      </w:r>
    </w:p>
    <w:p>
      <w:pPr>
        <w:pStyle w:val="CodeListing"/>
      </w:pPr>
      <w:r>
        <w:rPr>
          <w:rFonts w:ascii="Courier New" w:hAnsi="Courier New" w:cs="Courier New" w:eastAsia="Courier New"/>
          <w:sz w:val="16"/>
        </w:rPr>
        <w:t xml:space="preserve">            "vep": torch.from_numpy(vep).unsqueeze(0),</w:t>
      </w:r>
    </w:p>
    <w:p>
      <w:pPr>
        <w:pStyle w:val="CodeListing"/>
      </w:pPr>
      <w:r>
        <w:rPr>
          <w:rFonts w:ascii="Courier New" w:hAnsi="Courier New" w:cs="Courier New" w:eastAsia="Courier New"/>
          <w:sz w:val="16"/>
        </w:rPr>
        <w:t xml:space="preserve">            "label": torch.tensor(int(row["label"]), dtype=torch.long),</w:t>
      </w:r>
    </w:p>
    <w:p>
      <w:pPr>
        <w:pStyle w:val="CodeListing"/>
      </w:pPr>
      <w:r>
        <w:rPr>
          <w:rFonts w:ascii="Courier New" w:hAnsi="Courier New" w:cs="Courier New" w:eastAsia="Courier New"/>
          <w:sz w:val="16"/>
        </w:rPr>
        <w:t xml:space="preserve">            "subject_id": row["subject_id"],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SyntheticNeuroDataset(Dataset):</w:t>
      </w:r>
    </w:p>
    <w:p>
      <w:pPr>
        <w:pStyle w:val="CodeListing"/>
      </w:pPr>
      <w:r>
        <w:rPr>
          <w:rFonts w:ascii="Courier New" w:hAnsi="Courier New" w:cs="Courier New" w:eastAsia="Courier New"/>
          <w:sz w:val="16"/>
        </w:rPr>
        <w:t xml:space="preserve">    """In-memory class-conditioned synthetic dataset, real preprocessing applied."""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w:t>
      </w:r>
    </w:p>
    <w:p>
      <w:pPr>
        <w:pStyle w:val="CodeListing"/>
      </w:pPr>
      <w:r>
        <w:rPr>
          <w:rFonts w:ascii="Courier New" w:hAnsi="Courier New" w:cs="Courier New" w:eastAsia="Courier New"/>
          <w:sz w:val="16"/>
        </w:rPr>
        <w:t xml:space="preserve">        self,</w:t>
      </w:r>
    </w:p>
    <w:p>
      <w:pPr>
        <w:pStyle w:val="CodeListing"/>
      </w:pPr>
      <w:r>
        <w:rPr>
          <w:rFonts w:ascii="Courier New" w:hAnsi="Courier New" w:cs="Courier New" w:eastAsia="Courier New"/>
          <w:sz w:val="16"/>
        </w:rPr>
        <w:t xml:space="preserve">        num_samples: int,</w:t>
      </w:r>
    </w:p>
    <w:p>
      <w:pPr>
        <w:pStyle w:val="CodeListing"/>
      </w:pPr>
      <w:r>
        <w:rPr>
          <w:rFonts w:ascii="Courier New" w:hAnsi="Courier New" w:cs="Courier New" w:eastAsia="Courier New"/>
          <w:sz w:val="16"/>
        </w:rPr>
        <w:t xml:space="preserve">        cfg: Config = DEFAULT_CONFIG,</w:t>
      </w:r>
    </w:p>
    <w:p>
      <w:pPr>
        <w:pStyle w:val="CodeListing"/>
      </w:pPr>
      <w:r>
        <w:rPr>
          <w:rFonts w:ascii="Courier New" w:hAnsi="Courier New" w:cs="Courier New" w:eastAsia="Courier New"/>
          <w:sz w:val="16"/>
        </w:rPr>
        <w:t xml:space="preserve">        seed: int = 0,</w:t>
      </w:r>
    </w:p>
    <w:p>
      <w:pPr>
        <w:pStyle w:val="CodeListing"/>
      </w:pPr>
      <w:r>
        <w:rPr>
          <w:rFonts w:ascii="Courier New" w:hAnsi="Courier New" w:cs="Courier New" w:eastAsia="Courier New"/>
          <w:sz w:val="16"/>
        </w:rPr>
        <w:t xml:space="preserve">        raw_mri_shape: tuple[int, int, int] = (80, 96, 64),</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self.cfg = cfg</w:t>
      </w:r>
    </w:p>
    <w:p>
      <w:pPr>
        <w:pStyle w:val="CodeListing"/>
      </w:pPr>
      <w:r>
        <w:rPr>
          <w:rFonts w:ascii="Courier New" w:hAnsi="Courier New" w:cs="Courier New" w:eastAsia="Courier New"/>
          <w:sz w:val="16"/>
        </w:rPr>
        <w:t xml:space="preserve">        self.num_samples = num_samples</w:t>
      </w:r>
    </w:p>
    <w:p>
      <w:pPr>
        <w:pStyle w:val="CodeListing"/>
      </w:pPr>
      <w:r>
        <w:rPr>
          <w:rFonts w:ascii="Courier New" w:hAnsi="Courier New" w:cs="Courier New" w:eastAsia="Courier New"/>
          <w:sz w:val="16"/>
        </w:rPr>
        <w:t xml:space="preserve">        self.raw_mri_shape = raw_mri_shape</w:t>
      </w:r>
    </w:p>
    <w:p>
      <w:pPr>
        <w:pStyle w:val="CodeListing"/>
      </w:pPr>
      <w:r>
        <w:rPr>
          <w:rFonts w:ascii="Courier New" w:hAnsi="Courier New" w:cs="Courier New" w:eastAsia="Courier New"/>
          <w:sz w:val="16"/>
        </w:rPr>
        <w:t xml:space="preserve">        self.rng = np.random.default_rng(seed)</w:t>
      </w:r>
    </w:p>
    <w:p>
      <w:pPr>
        <w:pStyle w:val="CodeListing"/>
      </w:pPr>
      <w:r>
        <w:rPr>
          <w:rFonts w:ascii="Courier New" w:hAnsi="Courier New" w:cs="Courier New" w:eastAsia="Courier New"/>
          <w:sz w:val="16"/>
        </w:rPr>
        <w:t xml:space="preserve">        num_classes = cfg.model.num_classes</w:t>
      </w:r>
    </w:p>
    <w:p>
      <w:pPr>
        <w:pStyle w:val="CodeListing"/>
      </w:pPr>
      <w:r>
        <w:rPr>
          <w:rFonts w:ascii="Courier New" w:hAnsi="Courier New" w:cs="Courier New" w:eastAsia="Courier New"/>
          <w:sz w:val="16"/>
        </w:rPr>
        <w:t xml:space="preserve">        # Balanced labels, deterministically shuffled.</w:t>
      </w:r>
    </w:p>
    <w:p>
      <w:pPr>
        <w:pStyle w:val="CodeListing"/>
      </w:pPr>
      <w:r>
        <w:rPr>
          <w:rFonts w:ascii="Courier New" w:hAnsi="Courier New" w:cs="Courier New" w:eastAsia="Courier New"/>
          <w:sz w:val="16"/>
        </w:rPr>
        <w:t xml:space="preserve">        base_labels = [i % num_classes for i in range(num_samples)]</w:t>
      </w:r>
    </w:p>
    <w:p>
      <w:pPr>
        <w:pStyle w:val="CodeListing"/>
      </w:pPr>
      <w:r>
        <w:rPr>
          <w:rFonts w:ascii="Courier New" w:hAnsi="Courier New" w:cs="Courier New" w:eastAsia="Courier New"/>
          <w:sz w:val="16"/>
        </w:rPr>
        <w:t xml:space="preserve">        self.rng.shuffle(base_labels)</w:t>
      </w:r>
    </w:p>
    <w:p>
      <w:pPr>
        <w:pStyle w:val="CodeListing"/>
      </w:pPr>
      <w:r>
        <w:rPr>
          <w:rFonts w:ascii="Courier New" w:hAnsi="Courier New" w:cs="Courier New" w:eastAsia="Courier New"/>
          <w:sz w:val="16"/>
        </w:rPr>
        <w:t xml:space="preserve">        self.labels = base_labels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__len__(self) -&gt; int:</w:t>
      </w:r>
    </w:p>
    <w:p>
      <w:pPr>
        <w:pStyle w:val="CodeListing"/>
      </w:pPr>
      <w:r>
        <w:rPr>
          <w:rFonts w:ascii="Courier New" w:hAnsi="Courier New" w:cs="Courier New" w:eastAsia="Courier New"/>
          <w:sz w:val="16"/>
        </w:rPr>
        <w:t xml:space="preserve">        return self.num_samples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__getitem__(self, idx: int) -&gt; dict:</w:t>
      </w:r>
    </w:p>
    <w:p>
      <w:pPr>
        <w:pStyle w:val="CodeListing"/>
      </w:pPr>
      <w:r>
        <w:rPr>
          <w:rFonts w:ascii="Courier New" w:hAnsi="Courier New" w:cs="Courier New" w:eastAsia="Courier New"/>
          <w:sz w:val="16"/>
        </w:rPr>
        <w:t xml:space="preserve">        label = self.labels[idx]</w:t>
      </w:r>
    </w:p>
    <w:p>
      <w:pPr>
        <w:pStyle w:val="CodeListing"/>
      </w:pPr>
      <w:r>
        <w:rPr>
          <w:rFonts w:ascii="Courier New" w:hAnsi="Courier New" w:cs="Courier New" w:eastAsia="Courier New"/>
          <w:sz w:val="16"/>
        </w:rPr>
        <w:t xml:space="preserve">        raw_volume = synthetic_mri_volume(label, shape=self.raw_mri_shape, rng=self.rng)</w:t>
      </w:r>
    </w:p>
    <w:p>
      <w:pPr>
        <w:pStyle w:val="CodeListing"/>
      </w:pPr>
      <w:r>
        <w:rPr>
          <w:rFonts w:ascii="Courier New" w:hAnsi="Courier New" w:cs="Courier New" w:eastAsia="Courier New"/>
          <w:sz w:val="16"/>
        </w:rPr>
        <w:t xml:space="preserve">        mri = preprocess_mri_volume(raw_volume, zooms=(1.0, 1.0, 1.0), cfg=self.cfg.mri)</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raw_signal = synthetic_vep_signal(label, fs=self.cfg.vep.sample_rate, rng=self.rng)</w:t>
      </w:r>
    </w:p>
    <w:p>
      <w:pPr>
        <w:pStyle w:val="CodeListing"/>
      </w:pPr>
      <w:r>
        <w:rPr>
          <w:rFonts w:ascii="Courier New" w:hAnsi="Courier New" w:cs="Courier New" w:eastAsia="Courier New"/>
          <w:sz w:val="16"/>
        </w:rPr>
        <w:t xml:space="preserve">        vep = clean_vep_signal(raw_signal, self.cfg.vep.sample_rate, self.cfg.vep)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t>
      </w:r>
    </w:p>
    <w:p>
      <w:pPr>
        <w:pStyle w:val="CodeListing"/>
      </w:pPr>
      <w:r>
        <w:rPr>
          <w:rFonts w:ascii="Courier New" w:hAnsi="Courier New" w:cs="Courier New" w:eastAsia="Courier New"/>
          <w:sz w:val="16"/>
        </w:rPr>
        <w:t xml:space="preserve">            "mri": torch.from_numpy(mri),</w:t>
      </w:r>
    </w:p>
    <w:p>
      <w:pPr>
        <w:pStyle w:val="CodeListing"/>
      </w:pPr>
      <w:r>
        <w:rPr>
          <w:rFonts w:ascii="Courier New" w:hAnsi="Courier New" w:cs="Courier New" w:eastAsia="Courier New"/>
          <w:sz w:val="16"/>
        </w:rPr>
        <w:t xml:space="preserve">            "vep": torch.from_numpy(vep).unsqueeze(0),</w:t>
      </w:r>
    </w:p>
    <w:p>
      <w:pPr>
        <w:pStyle w:val="CodeListing"/>
      </w:pPr>
      <w:r>
        <w:rPr>
          <w:rFonts w:ascii="Courier New" w:hAnsi="Courier New" w:cs="Courier New" w:eastAsia="Courier New"/>
          <w:sz w:val="16"/>
        </w:rPr>
        <w:t xml:space="preserve">            "label": torch.tensor(label, dtype=torch.long),</w:t>
      </w:r>
    </w:p>
    <w:p>
      <w:pPr>
        <w:pStyle w:val="CodeListing"/>
      </w:pPr>
      <w:r>
        <w:rPr>
          <w:rFonts w:ascii="Courier New" w:hAnsi="Courier New" w:cs="Courier New" w:eastAsia="Courier New"/>
          <w:sz w:val="16"/>
        </w:rPr>
        <w:t xml:space="preserve">            "subject_id": f"synthetic-{idx:04d}",</w:t>
      </w:r>
    </w:p>
    <w:p>
      <w:pPr>
        <w:pStyle w:val="CodeListing"/>
      </w:pPr>
      <w:r>
        <w:rPr>
          <w:rFonts w:ascii="Courier New" w:hAnsi="Courier New" w:cs="Courier New" w:eastAsia="Courier New"/>
          <w:sz w:val="16"/>
        </w:rPr>
        <w:t xml:space="preserve">        }</w:t>
      </w:r>
    </w:p>
    <w:p>
      <w:pPr>
        <w:keepNext/>
        <w:spacing w:before="160" w:after="60" w:line="240" w:lineRule="auto"/>
        <w:jc w:val="left"/>
      </w:pPr>
      <w:r>
        <w:rPr>
          <w:rFonts w:ascii="Times New Roman" w:hAnsi="Times New Roman" w:cs="Times New Roman" w:eastAsia="Times New Roman"/>
          <w:b/>
          <w:sz w:val="22"/>
        </w:rPr>
        <w:t>Listing A2.4: src/preprocessing/mri_transforms.py</w:t>
      </w:r>
    </w:p>
    <w:p>
      <w:pPr>
        <w:pStyle w:val="CodeListing"/>
      </w:pPr>
      <w:r>
        <w:rPr>
          <w:rFonts w:ascii="Courier New" w:hAnsi="Courier New" w:cs="Courier New" w:eastAsia="Courier New"/>
          <w:sz w:val="16"/>
        </w:rPr>
        <w:t>"""3D sMRI spatial standardization: RAS reorientation, 1mm isotropic</w:t>
      </w:r>
    </w:p>
    <w:p>
      <w:pPr>
        <w:pStyle w:val="CodeListing"/>
      </w:pPr>
      <w:r>
        <w:rPr>
          <w:rFonts w:ascii="Courier New" w:hAnsi="Courier New" w:cs="Courier New" w:eastAsia="Courier New"/>
          <w:sz w:val="16"/>
        </w:rPr>
        <w:t>resampling, intensity-threshold foreground masking, and normalization.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Note on skull-stripping: true skull-stripping (FSL BET / HD-BET / SynthStrip)</w:t>
      </w:r>
    </w:p>
    <w:p>
      <w:pPr>
        <w:pStyle w:val="CodeListing"/>
      </w:pPr>
      <w:r>
        <w:rPr>
          <w:rFonts w:ascii="Courier New" w:hAnsi="Courier New" w:cs="Courier New" w:eastAsia="Courier New"/>
          <w:sz w:val="16"/>
        </w:rPr>
        <w:t>requires an external binary or a pretrained segmentation network that is not</w:t>
      </w:r>
    </w:p>
    <w:p>
      <w:pPr>
        <w:pStyle w:val="CodeListing"/>
      </w:pPr>
      <w:r>
        <w:rPr>
          <w:rFonts w:ascii="Courier New" w:hAnsi="Courier New" w:cs="Courier New" w:eastAsia="Courier New"/>
          <w:sz w:val="16"/>
        </w:rPr>
        <w:t>pip-installable. This module ships a lightweight intensity-percentile</w:t>
      </w:r>
    </w:p>
    <w:p>
      <w:pPr>
        <w:pStyle w:val="CodeListing"/>
      </w:pPr>
      <w:r>
        <w:rPr>
          <w:rFonts w:ascii="Courier New" w:hAnsi="Courier New" w:cs="Courier New" w:eastAsia="Courier New"/>
          <w:sz w:val="16"/>
        </w:rPr>
        <w:t>foreground mask as a prototype-stage approximation -- it zeroes low-intensity</w:t>
      </w:r>
    </w:p>
    <w:p>
      <w:pPr>
        <w:pStyle w:val="CodeListing"/>
      </w:pPr>
      <w:r>
        <w:rPr>
          <w:rFonts w:ascii="Courier New" w:hAnsi="Courier New" w:cs="Courier New" w:eastAsia="Courier New"/>
          <w:sz w:val="16"/>
        </w:rPr>
        <w:t>background/skull voxels without needing an external dependency. Swap in</w:t>
      </w:r>
    </w:p>
    <w:p>
      <w:pPr>
        <w:pStyle w:val="CodeListing"/>
      </w:pPr>
      <w:r>
        <w:rPr>
          <w:rFonts w:ascii="Courier New" w:hAnsi="Courier New" w:cs="Courier New" w:eastAsia="Courier New"/>
          <w:sz w:val="16"/>
        </w:rPr>
        <w:t>HD-BET or SynthStrip for clinical-grade deployment; the rest of the pipeline</w:t>
      </w:r>
    </w:p>
    <w:p>
      <w:pPr>
        <w:pStyle w:val="CodeListing"/>
      </w:pPr>
      <w:r>
        <w:rPr>
          <w:rFonts w:ascii="Courier New" w:hAnsi="Courier New" w:cs="Courier New" w:eastAsia="Courier New"/>
          <w:sz w:val="16"/>
        </w:rPr>
        <w:t>is agnostic to which foreground mask produced its input.</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nibabel as nib</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from monai.transforms import Resize, ResizeWithPadOrCrop, ScaleIntensity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MRIConfig,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load_nifti(path: str) -&gt; tuple[np.ndarray, np.ndarray, tuple[float, float, float]]:</w:t>
      </w:r>
    </w:p>
    <w:p>
      <w:pPr>
        <w:pStyle w:val="CodeListing"/>
      </w:pPr>
      <w:r>
        <w:rPr>
          <w:rFonts w:ascii="Courier New" w:hAnsi="Courier New" w:cs="Courier New" w:eastAsia="Courier New"/>
          <w:sz w:val="16"/>
        </w:rPr>
        <w:t xml:space="preserve">    """Load a NIfTI volume, reoriented to RAS (nibabel's closest-canonical).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Returns (data, affine, voxel_zooms).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img = nib.load(path)</w:t>
      </w:r>
    </w:p>
    <w:p>
      <w:pPr>
        <w:pStyle w:val="CodeListing"/>
      </w:pPr>
      <w:r>
        <w:rPr>
          <w:rFonts w:ascii="Courier New" w:hAnsi="Courier New" w:cs="Courier New" w:eastAsia="Courier New"/>
          <w:sz w:val="16"/>
        </w:rPr>
        <w:t xml:space="preserve">    img = nib.as_closest_canonical(img)</w:t>
      </w:r>
    </w:p>
    <w:p>
      <w:pPr>
        <w:pStyle w:val="CodeListing"/>
      </w:pPr>
      <w:r>
        <w:rPr>
          <w:rFonts w:ascii="Courier New" w:hAnsi="Courier New" w:cs="Courier New" w:eastAsia="Courier New"/>
          <w:sz w:val="16"/>
        </w:rPr>
        <w:t xml:space="preserve">    data = np.asarray(img.get_fdata(), dtype=np.float32)</w:t>
      </w:r>
    </w:p>
    <w:p>
      <w:pPr>
        <w:pStyle w:val="CodeListing"/>
      </w:pPr>
      <w:r>
        <w:rPr>
          <w:rFonts w:ascii="Courier New" w:hAnsi="Courier New" w:cs="Courier New" w:eastAsia="Courier New"/>
          <w:sz w:val="16"/>
        </w:rPr>
        <w:t xml:space="preserve">    if data.ndim != 3:</w:t>
      </w:r>
    </w:p>
    <w:p>
      <w:pPr>
        <w:pStyle w:val="CodeListing"/>
      </w:pPr>
      <w:r>
        <w:rPr>
          <w:rFonts w:ascii="Courier New" w:hAnsi="Courier New" w:cs="Courier New" w:eastAsia="Courier New"/>
          <w:sz w:val="16"/>
        </w:rPr>
        <w:t xml:space="preserve">        raise ValueError(f"Expected a 3D volume, got shape {data.shape}")</w:t>
      </w:r>
    </w:p>
    <w:p>
      <w:pPr>
        <w:pStyle w:val="CodeListing"/>
      </w:pPr>
      <w:r>
        <w:rPr>
          <w:rFonts w:ascii="Courier New" w:hAnsi="Courier New" w:cs="Courier New" w:eastAsia="Courier New"/>
          <w:sz w:val="16"/>
        </w:rPr>
        <w:t xml:space="preserve">    zooms = tuple(float(z) for z in img.header.get_zooms()[:3])</w:t>
      </w:r>
    </w:p>
    <w:p>
      <w:pPr>
        <w:pStyle w:val="CodeListing"/>
      </w:pPr>
      <w:r>
        <w:rPr>
          <w:rFonts w:ascii="Courier New" w:hAnsi="Courier New" w:cs="Courier New" w:eastAsia="Courier New"/>
          <w:sz w:val="16"/>
        </w:rPr>
        <w:t xml:space="preserve">    if any(z &lt;= 0 for z in zooms):</w:t>
      </w:r>
    </w:p>
    <w:p>
      <w:pPr>
        <w:pStyle w:val="CodeListing"/>
      </w:pPr>
      <w:r>
        <w:rPr>
          <w:rFonts w:ascii="Courier New" w:hAnsi="Courier New" w:cs="Courier New" w:eastAsia="Courier New"/>
          <w:sz w:val="16"/>
        </w:rPr>
        <w:t xml:space="preserve">        raise ValueError(f"Invalid voxel spacing in header: {zooms}")</w:t>
      </w:r>
    </w:p>
    <w:p>
      <w:pPr>
        <w:pStyle w:val="CodeListing"/>
      </w:pPr>
      <w:r>
        <w:rPr>
          <w:rFonts w:ascii="Courier New" w:hAnsi="Courier New" w:cs="Courier New" w:eastAsia="Courier New"/>
          <w:sz w:val="16"/>
        </w:rPr>
        <w:t xml:space="preserve">    return data, img.affine, zooms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foreground_mask_threshold(volume: np.ndarray, percentile: float) -&gt; np.ndarray:</w:t>
      </w:r>
    </w:p>
    <w:p>
      <w:pPr>
        <w:pStyle w:val="CodeListing"/>
      </w:pPr>
      <w:r>
        <w:rPr>
          <w:rFonts w:ascii="Courier New" w:hAnsi="Courier New" w:cs="Courier New" w:eastAsia="Courier New"/>
          <w:sz w:val="16"/>
        </w:rPr>
        <w:t xml:space="preserve">    """Zero out background/skull voxels below an intensity percentile.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Percentile is computed over strictly-positive voxels so that an</w:t>
      </w:r>
    </w:p>
    <w:p>
      <w:pPr>
        <w:pStyle w:val="CodeListing"/>
      </w:pPr>
      <w:r>
        <w:rPr>
          <w:rFonts w:ascii="Courier New" w:hAnsi="Courier New" w:cs="Courier New" w:eastAsia="Courier New"/>
          <w:sz w:val="16"/>
        </w:rPr>
        <w:t xml:space="preserve">    already-large air/background region does not collapse the threshold to</w:t>
      </w:r>
    </w:p>
    <w:p>
      <w:pPr>
        <w:pStyle w:val="CodeListing"/>
      </w:pPr>
      <w:r>
        <w:rPr>
          <w:rFonts w:ascii="Courier New" w:hAnsi="Courier New" w:cs="Courier New" w:eastAsia="Courier New"/>
          <w:sz w:val="16"/>
        </w:rPr>
        <w:t xml:space="preserve">    zero.</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nonzero = volume[volume &gt; 0]</w:t>
      </w:r>
    </w:p>
    <w:p>
      <w:pPr>
        <w:pStyle w:val="CodeListing"/>
      </w:pPr>
      <w:r>
        <w:rPr>
          <w:rFonts w:ascii="Courier New" w:hAnsi="Courier New" w:cs="Courier New" w:eastAsia="Courier New"/>
          <w:sz w:val="16"/>
        </w:rPr>
        <w:t xml:space="preserve">    if nonzero.size == 0:</w:t>
      </w:r>
    </w:p>
    <w:p>
      <w:pPr>
        <w:pStyle w:val="CodeListing"/>
      </w:pPr>
      <w:r>
        <w:rPr>
          <w:rFonts w:ascii="Courier New" w:hAnsi="Courier New" w:cs="Courier New" w:eastAsia="Courier New"/>
          <w:sz w:val="16"/>
        </w:rPr>
        <w:t xml:space="preserve">        return volume</w:t>
      </w:r>
    </w:p>
    <w:p>
      <w:pPr>
        <w:pStyle w:val="CodeListing"/>
      </w:pPr>
      <w:r>
        <w:rPr>
          <w:rFonts w:ascii="Courier New" w:hAnsi="Courier New" w:cs="Courier New" w:eastAsia="Courier New"/>
          <w:sz w:val="16"/>
        </w:rPr>
        <w:t xml:space="preserve">    threshold = np.percentile(nonzero, percentile)</w:t>
      </w:r>
    </w:p>
    <w:p>
      <w:pPr>
        <w:pStyle w:val="CodeListing"/>
      </w:pPr>
      <w:r>
        <w:rPr>
          <w:rFonts w:ascii="Courier New" w:hAnsi="Courier New" w:cs="Courier New" w:eastAsia="Courier New"/>
          <w:sz w:val="16"/>
        </w:rPr>
        <w:t xml:space="preserve">    masked = volume.copy()</w:t>
      </w:r>
    </w:p>
    <w:p>
      <w:pPr>
        <w:pStyle w:val="CodeListing"/>
      </w:pPr>
      <w:r>
        <w:rPr>
          <w:rFonts w:ascii="Courier New" w:hAnsi="Courier New" w:cs="Courier New" w:eastAsia="Courier New"/>
          <w:sz w:val="16"/>
        </w:rPr>
        <w:t xml:space="preserve">    masked[masked &lt; threshold] = 0.0</w:t>
      </w:r>
    </w:p>
    <w:p>
      <w:pPr>
        <w:pStyle w:val="CodeListing"/>
      </w:pPr>
      <w:r>
        <w:rPr>
          <w:rFonts w:ascii="Courier New" w:hAnsi="Courier New" w:cs="Courier New" w:eastAsia="Courier New"/>
          <w:sz w:val="16"/>
        </w:rPr>
        <w:t xml:space="preserve">    return masked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resample_isotropic(</w:t>
      </w:r>
    </w:p>
    <w:p>
      <w:pPr>
        <w:pStyle w:val="CodeListing"/>
      </w:pPr>
      <w:r>
        <w:rPr>
          <w:rFonts w:ascii="Courier New" w:hAnsi="Courier New" w:cs="Courier New" w:eastAsia="Courier New"/>
          <w:sz w:val="16"/>
        </w:rPr>
        <w:t xml:space="preserve">    volume: np.ndarray,</w:t>
      </w:r>
    </w:p>
    <w:p>
      <w:pPr>
        <w:pStyle w:val="CodeListing"/>
      </w:pPr>
      <w:r>
        <w:rPr>
          <w:rFonts w:ascii="Courier New" w:hAnsi="Courier New" w:cs="Courier New" w:eastAsia="Courier New"/>
          <w:sz w:val="16"/>
        </w:rPr>
        <w:t xml:space="preserve">    zooms: tuple[float, float, float],</w:t>
      </w:r>
    </w:p>
    <w:p>
      <w:pPr>
        <w:pStyle w:val="CodeListing"/>
      </w:pPr>
      <w:r>
        <w:rPr>
          <w:rFonts w:ascii="Courier New" w:hAnsi="Courier New" w:cs="Courier New" w:eastAsia="Courier New"/>
          <w:sz w:val="16"/>
        </w:rPr>
        <w:t xml:space="preserve">    target_spacing: tuple[float, float, float] = (1.0, 1.0, 1.0),</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"""Resample a volume to isotropic spacing by scaling voxel counts.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MONAI's shape-based `Resize` combined with a zoom-derived target shape</w:t>
      </w:r>
    </w:p>
    <w:p>
      <w:pPr>
        <w:pStyle w:val="CodeListing"/>
      </w:pPr>
      <w:r>
        <w:rPr>
          <w:rFonts w:ascii="Courier New" w:hAnsi="Courier New" w:cs="Courier New" w:eastAsia="Courier New"/>
          <w:sz w:val="16"/>
        </w:rPr>
        <w:t xml:space="preserve">    is mathematically equivalent to physical-spacing resampling and avoids</w:t>
      </w:r>
    </w:p>
    <w:p>
      <w:pPr>
        <w:pStyle w:val="CodeListing"/>
      </w:pPr>
      <w:r>
        <w:rPr>
          <w:rFonts w:ascii="Courier New" w:hAnsi="Courier New" w:cs="Courier New" w:eastAsia="Courier New"/>
          <w:sz w:val="16"/>
        </w:rPr>
        <w:t xml:space="preserve">    MetaTensor/affine bookkeeping for a standalone array pipeline.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new_shape = tuple(</w:t>
      </w:r>
    </w:p>
    <w:p>
      <w:pPr>
        <w:pStyle w:val="CodeListing"/>
      </w:pPr>
      <w:r>
        <w:rPr>
          <w:rFonts w:ascii="Courier New" w:hAnsi="Courier New" w:cs="Courier New" w:eastAsia="Courier New"/>
          <w:sz w:val="16"/>
        </w:rPr>
        <w:t xml:space="preserve">        max(1, round(dim * zoom / target))</w:t>
      </w:r>
    </w:p>
    <w:p>
      <w:pPr>
        <w:pStyle w:val="CodeListing"/>
      </w:pPr>
      <w:r>
        <w:rPr>
          <w:rFonts w:ascii="Courier New" w:hAnsi="Courier New" w:cs="Courier New" w:eastAsia="Courier New"/>
          <w:sz w:val="16"/>
        </w:rPr>
        <w:t xml:space="preserve">        for dim, zoom, target in zip(volume.shape, zooms, target_spacing)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resize = Resize(spatial_size=new_shape, mode="trilinear", align_corners=False)</w:t>
      </w:r>
    </w:p>
    <w:p>
      <w:pPr>
        <w:pStyle w:val="CodeListing"/>
      </w:pPr>
      <w:r>
        <w:rPr>
          <w:rFonts w:ascii="Courier New" w:hAnsi="Courier New" w:cs="Courier New" w:eastAsia="Courier New"/>
          <w:sz w:val="16"/>
        </w:rPr>
        <w:t xml:space="preserve">    resized = resize(volume[np.newaxis, ...])  # add channel dim</w:t>
      </w:r>
    </w:p>
    <w:p>
      <w:pPr>
        <w:pStyle w:val="CodeListing"/>
      </w:pPr>
      <w:r>
        <w:rPr>
          <w:rFonts w:ascii="Courier New" w:hAnsi="Courier New" w:cs="Courier New" w:eastAsia="Courier New"/>
          <w:sz w:val="16"/>
        </w:rPr>
        <w:t xml:space="preserve">    return np.asarray(resized[0])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preprocess_mri_volume(</w:t>
      </w:r>
    </w:p>
    <w:p>
      <w:pPr>
        <w:pStyle w:val="CodeListing"/>
      </w:pPr>
      <w:r>
        <w:rPr>
          <w:rFonts w:ascii="Courier New" w:hAnsi="Courier New" w:cs="Courier New" w:eastAsia="Courier New"/>
          <w:sz w:val="16"/>
        </w:rPr>
        <w:t xml:space="preserve">    volume: np.ndarray,</w:t>
      </w:r>
    </w:p>
    <w:p>
      <w:pPr>
        <w:pStyle w:val="CodeListing"/>
      </w:pPr>
      <w:r>
        <w:rPr>
          <w:rFonts w:ascii="Courier New" w:hAnsi="Courier New" w:cs="Courier New" w:eastAsia="Courier New"/>
          <w:sz w:val="16"/>
        </w:rPr>
        <w:t xml:space="preserve">    zooms: tuple[float, float, float],</w:t>
      </w:r>
    </w:p>
    <w:p>
      <w:pPr>
        <w:pStyle w:val="CodeListing"/>
      </w:pPr>
      <w:r>
        <w:rPr>
          <w:rFonts w:ascii="Courier New" w:hAnsi="Courier New" w:cs="Courier New" w:eastAsia="Courier New"/>
          <w:sz w:val="16"/>
        </w:rPr>
        <w:t xml:space="preserve">    cfg: MRIConfig = DEFAULT_CONFIG.mri,</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"""Full spatial standardization pipeline for an already-RAS volume.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Returns a float32 array of shape (1, *cfg.target_shape) scaled to [0, 1].</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volume.ndim != 3:</w:t>
      </w:r>
    </w:p>
    <w:p>
      <w:pPr>
        <w:pStyle w:val="CodeListing"/>
      </w:pPr>
      <w:r>
        <w:rPr>
          <w:rFonts w:ascii="Courier New" w:hAnsi="Courier New" w:cs="Courier New" w:eastAsia="Courier New"/>
          <w:sz w:val="16"/>
        </w:rPr>
        <w:t xml:space="preserve">        raise ValueError(f"Expected a 3D volume, got shape {volume.shape}")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isotropic = resample_isotropic(volume, zooms, cfg.target_spacing)</w:t>
      </w:r>
    </w:p>
    <w:p>
      <w:pPr>
        <w:pStyle w:val="CodeListing"/>
      </w:pPr>
      <w:r>
        <w:rPr>
          <w:rFonts w:ascii="Courier New" w:hAnsi="Courier New" w:cs="Courier New" w:eastAsia="Courier New"/>
          <w:sz w:val="16"/>
        </w:rPr>
        <w:t xml:space="preserve">    masked = foreground_mask_threshold(isotropic, cfg.foreground_percentile)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masked.max() &gt; masked.min():</w:t>
      </w:r>
    </w:p>
    <w:p>
      <w:pPr>
        <w:pStyle w:val="CodeListing"/>
      </w:pPr>
      <w:r>
        <w:rPr>
          <w:rFonts w:ascii="Courier New" w:hAnsi="Courier New" w:cs="Courier New" w:eastAsia="Courier New"/>
          <w:sz w:val="16"/>
        </w:rPr>
        <w:t xml:space="preserve">        scaler = ScaleIntensity(minv=0.0, maxv=1.0)</w:t>
      </w:r>
    </w:p>
    <w:p>
      <w:pPr>
        <w:pStyle w:val="CodeListing"/>
      </w:pPr>
      <w:r>
        <w:rPr>
          <w:rFonts w:ascii="Courier New" w:hAnsi="Courier New" w:cs="Courier New" w:eastAsia="Courier New"/>
          <w:sz w:val="16"/>
        </w:rPr>
        <w:t xml:space="preserve">        normalized = np.asarray(scaler(masked[np.newaxis, ...]))</w:t>
      </w:r>
    </w:p>
    <w:p>
      <w:pPr>
        <w:pStyle w:val="CodeListing"/>
      </w:pPr>
      <w:r>
        <w:rPr>
          <w:rFonts w:ascii="Courier New" w:hAnsi="Courier New" w:cs="Courier New" w:eastAsia="Courier New"/>
          <w:sz w:val="16"/>
        </w:rPr>
        <w:t xml:space="preserve">    else:</w:t>
      </w:r>
    </w:p>
    <w:p>
      <w:pPr>
        <w:pStyle w:val="CodeListing"/>
      </w:pPr>
      <w:r>
        <w:rPr>
          <w:rFonts w:ascii="Courier New" w:hAnsi="Courier New" w:cs="Courier New" w:eastAsia="Courier New"/>
          <w:sz w:val="16"/>
        </w:rPr>
        <w:t xml:space="preserve">        normalized = masked[np.newaxis, ...].astype(np.float32)</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pad_crop = ResizeWithPadOrCrop(spatial_size=cfg.target_shape)</w:t>
      </w:r>
    </w:p>
    <w:p>
      <w:pPr>
        <w:pStyle w:val="CodeListing"/>
      </w:pPr>
      <w:r>
        <w:rPr>
          <w:rFonts w:ascii="Courier New" w:hAnsi="Courier New" w:cs="Courier New" w:eastAsia="Courier New"/>
          <w:sz w:val="16"/>
        </w:rPr>
        <w:t xml:space="preserve">    standardized = np.asarray(pad_crop(normalized))</w:t>
      </w:r>
    </w:p>
    <w:p>
      <w:pPr>
        <w:pStyle w:val="CodeListing"/>
      </w:pPr>
      <w:r>
        <w:rPr>
          <w:rFonts w:ascii="Courier New" w:hAnsi="Courier New" w:cs="Courier New" w:eastAsia="Courier New"/>
          <w:sz w:val="16"/>
        </w:rPr>
        <w:t xml:space="preserve">    return standardized.astype(np.float32)</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preprocess_mri_file(path: str, cfg: MRIConfig = DEFAULT_CONFIG.mri) -&gt; np.ndarray:</w:t>
      </w:r>
    </w:p>
    <w:p>
      <w:pPr>
        <w:pStyle w:val="CodeListing"/>
      </w:pPr>
      <w:r>
        <w:rPr>
          <w:rFonts w:ascii="Courier New" w:hAnsi="Courier New" w:cs="Courier New" w:eastAsia="Courier New"/>
          <w:sz w:val="16"/>
        </w:rPr>
        <w:t xml:space="preserve">    """Convenience wrapper: load a NIfTI file and run full standardization."""</w:t>
      </w:r>
    </w:p>
    <w:p>
      <w:pPr>
        <w:pStyle w:val="CodeListing"/>
      </w:pPr>
      <w:r>
        <w:rPr>
          <w:rFonts w:ascii="Courier New" w:hAnsi="Courier New" w:cs="Courier New" w:eastAsia="Courier New"/>
          <w:sz w:val="16"/>
        </w:rPr>
        <w:t xml:space="preserve">    data, _, zooms = load_nifti(path)</w:t>
      </w:r>
    </w:p>
    <w:p>
      <w:pPr>
        <w:pStyle w:val="CodeListing"/>
      </w:pPr>
      <w:r>
        <w:rPr>
          <w:rFonts w:ascii="Courier New" w:hAnsi="Courier New" w:cs="Courier New" w:eastAsia="Courier New"/>
          <w:sz w:val="16"/>
        </w:rPr>
        <w:t xml:space="preserve">    return preprocess_mri_volume(data, zooms, cfg)</w:t>
      </w:r>
    </w:p>
    <w:p>
      <w:pPr>
        <w:keepNext/>
        <w:spacing w:before="160" w:after="60" w:line="240" w:lineRule="auto"/>
        <w:jc w:val="left"/>
      </w:pPr>
      <w:r>
        <w:rPr>
          <w:rFonts w:ascii="Times New Roman" w:hAnsi="Times New Roman" w:cs="Times New Roman" w:eastAsia="Times New Roman"/>
          <w:b/>
          <w:sz w:val="22"/>
        </w:rPr>
        <w:t>Listing A2.5: src/preprocessing/signal_cleaner.py</w:t>
      </w:r>
    </w:p>
    <w:p>
      <w:pPr>
        <w:pStyle w:val="CodeListing"/>
      </w:pPr>
      <w:r>
        <w:rPr>
          <w:rFonts w:ascii="Courier New" w:hAnsi="Courier New" w:cs="Courier New" w:eastAsia="Courier New"/>
          <w:sz w:val="16"/>
        </w:rPr>
        <w:t>"""1D VEP signal conditioning: zero-phase Butterworth bandpass + mains notch.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Filtering order matters for VEP work: bandpass first removes drift and</w:t>
      </w:r>
    </w:p>
    <w:p>
      <w:pPr>
        <w:pStyle w:val="CodeListing"/>
      </w:pPr>
      <w:r>
        <w:rPr>
          <w:rFonts w:ascii="Courier New" w:hAnsi="Courier New" w:cs="Courier New" w:eastAsia="Courier New"/>
          <w:sz w:val="16"/>
        </w:rPr>
        <w:t>high-frequency EMG jitter, then the notch removes the narrowband 50Hz mains</w:t>
      </w:r>
    </w:p>
    <w:p>
      <w:pPr>
        <w:pStyle w:val="CodeListing"/>
      </w:pPr>
      <w:r>
        <w:rPr>
          <w:rFonts w:ascii="Courier New" w:hAnsi="Courier New" w:cs="Courier New" w:eastAsia="Courier New"/>
          <w:sz w:val="16"/>
        </w:rPr>
        <w:t>hum. Both filters use zero-phase (filtfilt / sosfiltfilt) application so the</w:t>
      </w:r>
    </w:p>
    <w:p>
      <w:pPr>
        <w:pStyle w:val="CodeListing"/>
      </w:pPr>
      <w:r>
        <w:rPr>
          <w:rFonts w:ascii="Courier New" w:hAnsi="Courier New" w:cs="Courier New" w:eastAsia="Courier New"/>
          <w:sz w:val="16"/>
        </w:rPr>
        <w:t>P100 peak latency -- the clinically meaningful measurement -- is not</w:t>
      </w:r>
    </w:p>
    <w:p>
      <w:pPr>
        <w:pStyle w:val="CodeListing"/>
      </w:pPr>
      <w:r>
        <w:rPr>
          <w:rFonts w:ascii="Courier New" w:hAnsi="Courier New" w:cs="Courier New" w:eastAsia="Courier New"/>
          <w:sz w:val="16"/>
        </w:rPr>
        <w:t>shifted in time by the filter's group delay.</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from scipy.signal import butter, iirnotch, sosfiltfilt, filtfilt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VEPConfig,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_validate_signal(signal: np.ndarray) -&gt; np.ndarray:</w:t>
      </w:r>
    </w:p>
    <w:p>
      <w:pPr>
        <w:pStyle w:val="CodeListing"/>
      </w:pPr>
      <w:r>
        <w:rPr>
          <w:rFonts w:ascii="Courier New" w:hAnsi="Courier New" w:cs="Courier New" w:eastAsia="Courier New"/>
          <w:sz w:val="16"/>
        </w:rPr>
        <w:t xml:space="preserve">    signal = np.asarray(signal, dtype=np.float64)</w:t>
      </w:r>
    </w:p>
    <w:p>
      <w:pPr>
        <w:pStyle w:val="CodeListing"/>
      </w:pPr>
      <w:r>
        <w:rPr>
          <w:rFonts w:ascii="Courier New" w:hAnsi="Courier New" w:cs="Courier New" w:eastAsia="Courier New"/>
          <w:sz w:val="16"/>
        </w:rPr>
        <w:t xml:space="preserve">    if signal.ndim != 1:</w:t>
      </w:r>
    </w:p>
    <w:p>
      <w:pPr>
        <w:pStyle w:val="CodeListing"/>
      </w:pPr>
      <w:r>
        <w:rPr>
          <w:rFonts w:ascii="Courier New" w:hAnsi="Courier New" w:cs="Courier New" w:eastAsia="Courier New"/>
          <w:sz w:val="16"/>
        </w:rPr>
        <w:t xml:space="preserve">        raise ValueError(f"Expected a 1D signal, got shape {signal.shape}")</w:t>
      </w:r>
    </w:p>
    <w:p>
      <w:pPr>
        <w:pStyle w:val="CodeListing"/>
      </w:pPr>
      <w:r>
        <w:rPr>
          <w:rFonts w:ascii="Courier New" w:hAnsi="Courier New" w:cs="Courier New" w:eastAsia="Courier New"/>
          <w:sz w:val="16"/>
        </w:rPr>
        <w:t xml:space="preserve">    if signal.size == 0:</w:t>
      </w:r>
    </w:p>
    <w:p>
      <w:pPr>
        <w:pStyle w:val="CodeListing"/>
      </w:pPr>
      <w:r>
        <w:rPr>
          <w:rFonts w:ascii="Courier New" w:hAnsi="Courier New" w:cs="Courier New" w:eastAsia="Courier New"/>
          <w:sz w:val="16"/>
        </w:rPr>
        <w:t xml:space="preserve">        raise ValueError("Signal is empty")</w:t>
      </w:r>
    </w:p>
    <w:p>
      <w:pPr>
        <w:pStyle w:val="CodeListing"/>
      </w:pPr>
      <w:r>
        <w:rPr>
          <w:rFonts w:ascii="Courier New" w:hAnsi="Courier New" w:cs="Courier New" w:eastAsia="Courier New"/>
          <w:sz w:val="16"/>
        </w:rPr>
        <w:t xml:space="preserve">    if not np.all(np.isfinite(signal)):</w:t>
      </w:r>
    </w:p>
    <w:p>
      <w:pPr>
        <w:pStyle w:val="CodeListing"/>
      </w:pPr>
      <w:r>
        <w:rPr>
          <w:rFonts w:ascii="Courier New" w:hAnsi="Courier New" w:cs="Courier New" w:eastAsia="Courier New"/>
          <w:sz w:val="16"/>
        </w:rPr>
        <w:t xml:space="preserve">        raise ValueError("Signal contains NaN or Inf values")</w:t>
      </w:r>
    </w:p>
    <w:p>
      <w:pPr>
        <w:pStyle w:val="CodeListing"/>
      </w:pPr>
      <w:r>
        <w:rPr>
          <w:rFonts w:ascii="Courier New" w:hAnsi="Courier New" w:cs="Courier New" w:eastAsia="Courier New"/>
          <w:sz w:val="16"/>
        </w:rPr>
        <w:t xml:space="preserve">    return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butterworth_bandpass(</w:t>
      </w:r>
    </w:p>
    <w:p>
      <w:pPr>
        <w:pStyle w:val="CodeListing"/>
      </w:pPr>
      <w:r>
        <w:rPr>
          <w:rFonts w:ascii="Courier New" w:hAnsi="Courier New" w:cs="Courier New" w:eastAsia="Courier New"/>
          <w:sz w:val="16"/>
        </w:rPr>
        <w:t xml:space="preserve">    signal: np.ndarray,</w:t>
      </w:r>
    </w:p>
    <w:p>
      <w:pPr>
        <w:pStyle w:val="CodeListing"/>
      </w:pPr>
      <w:r>
        <w:rPr>
          <w:rFonts w:ascii="Courier New" w:hAnsi="Courier New" w:cs="Courier New" w:eastAsia="Courier New"/>
          <w:sz w:val="16"/>
        </w:rPr>
        <w:t xml:space="preserve">    fs: float,</w:t>
      </w:r>
    </w:p>
    <w:p>
      <w:pPr>
        <w:pStyle w:val="CodeListing"/>
      </w:pPr>
      <w:r>
        <w:rPr>
          <w:rFonts w:ascii="Courier New" w:hAnsi="Courier New" w:cs="Courier New" w:eastAsia="Courier New"/>
          <w:sz w:val="16"/>
        </w:rPr>
        <w:t xml:space="preserve">    lowcut: float = 1.0,</w:t>
      </w:r>
    </w:p>
    <w:p>
      <w:pPr>
        <w:pStyle w:val="CodeListing"/>
      </w:pPr>
      <w:r>
        <w:rPr>
          <w:rFonts w:ascii="Courier New" w:hAnsi="Courier New" w:cs="Courier New" w:eastAsia="Courier New"/>
          <w:sz w:val="16"/>
        </w:rPr>
        <w:t xml:space="preserve">    highcut: float = 100.0,</w:t>
      </w:r>
    </w:p>
    <w:p>
      <w:pPr>
        <w:pStyle w:val="CodeListing"/>
      </w:pPr>
      <w:r>
        <w:rPr>
          <w:rFonts w:ascii="Courier New" w:hAnsi="Courier New" w:cs="Courier New" w:eastAsia="Courier New"/>
          <w:sz w:val="16"/>
        </w:rPr>
        <w:t xml:space="preserve">    order: int = 4,</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"""Zero-phase 4th-order Butterworth bandpass filter."""</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nyquist = fs / 2.0</w:t>
      </w:r>
    </w:p>
    <w:p>
      <w:pPr>
        <w:pStyle w:val="CodeListing"/>
      </w:pPr>
      <w:r>
        <w:rPr>
          <w:rFonts w:ascii="Courier New" w:hAnsi="Courier New" w:cs="Courier New" w:eastAsia="Courier New"/>
          <w:sz w:val="16"/>
        </w:rPr>
        <w:t xml:space="preserve">    if lowcut &lt;= 0:</w:t>
      </w:r>
    </w:p>
    <w:p>
      <w:pPr>
        <w:pStyle w:val="CodeListing"/>
      </w:pPr>
      <w:r>
        <w:rPr>
          <w:rFonts w:ascii="Courier New" w:hAnsi="Courier New" w:cs="Courier New" w:eastAsia="Courier New"/>
          <w:sz w:val="16"/>
        </w:rPr>
        <w:t xml:space="preserve">        raise ValueError("lowcut must be &gt; 0")</w:t>
      </w:r>
    </w:p>
    <w:p>
      <w:pPr>
        <w:pStyle w:val="CodeListing"/>
      </w:pPr>
      <w:r>
        <w:rPr>
          <w:rFonts w:ascii="Courier New" w:hAnsi="Courier New" w:cs="Courier New" w:eastAsia="Courier New"/>
          <w:sz w:val="16"/>
        </w:rPr>
        <w:t xml:space="preserve">    if highcut &gt;= nyquist:</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f"highcut ({highcut} Hz) must be below the Nyquist frequency "</w:t>
      </w:r>
    </w:p>
    <w:p>
      <w:pPr>
        <w:pStyle w:val="CodeListing"/>
      </w:pPr>
      <w:r>
        <w:rPr>
          <w:rFonts w:ascii="Courier New" w:hAnsi="Courier New" w:cs="Courier New" w:eastAsia="Courier New"/>
          <w:sz w:val="16"/>
        </w:rPr>
        <w:t xml:space="preserve">            f"({nyquist} Hz) for fs={fs} Hz"</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lowcut &gt;= highcut:</w:t>
      </w:r>
    </w:p>
    <w:p>
      <w:pPr>
        <w:pStyle w:val="CodeListing"/>
      </w:pPr>
      <w:r>
        <w:rPr>
          <w:rFonts w:ascii="Courier New" w:hAnsi="Courier New" w:cs="Courier New" w:eastAsia="Courier New"/>
          <w:sz w:val="16"/>
        </w:rPr>
        <w:t xml:space="preserve">        raise ValueError("lowcut must be &lt; highcut")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sos = butter(order, [lowcut, highcut], btype="bandpass", fs=fs, output="sos")</w:t>
      </w:r>
    </w:p>
    <w:p>
      <w:pPr>
        <w:pStyle w:val="CodeListing"/>
      </w:pPr>
      <w:r>
        <w:rPr>
          <w:rFonts w:ascii="Courier New" w:hAnsi="Courier New" w:cs="Courier New" w:eastAsia="Courier New"/>
          <w:sz w:val="16"/>
        </w:rPr>
        <w:t xml:space="preserve">    # Zero-phase filtering needs enough samples relative to the filter's</w:t>
      </w:r>
    </w:p>
    <w:p>
      <w:pPr>
        <w:pStyle w:val="CodeListing"/>
      </w:pPr>
      <w:r>
        <w:rPr>
          <w:rFonts w:ascii="Courier New" w:hAnsi="Courier New" w:cs="Courier New" w:eastAsia="Courier New"/>
          <w:sz w:val="16"/>
        </w:rPr>
        <w:t xml:space="preserve">    # padding requirement; short synthetic signals can trip this up.</w:t>
      </w:r>
    </w:p>
    <w:p>
      <w:pPr>
        <w:pStyle w:val="CodeListing"/>
      </w:pPr>
      <w:r>
        <w:rPr>
          <w:rFonts w:ascii="Courier New" w:hAnsi="Courier New" w:cs="Courier New" w:eastAsia="Courier New"/>
          <w:sz w:val="16"/>
        </w:rPr>
        <w:t xml:space="preserve">    min_len = 3 * (2 * len(sos) + 1)</w:t>
      </w:r>
    </w:p>
    <w:p>
      <w:pPr>
        <w:pStyle w:val="CodeListing"/>
      </w:pPr>
      <w:r>
        <w:rPr>
          <w:rFonts w:ascii="Courier New" w:hAnsi="Courier New" w:cs="Courier New" w:eastAsia="Courier New"/>
          <w:sz w:val="16"/>
        </w:rPr>
        <w:t xml:space="preserve">    if signal.size &lt;= min_len:</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f"Signal too short ({signal.size} samples) for zero-phase "</w:t>
      </w:r>
    </w:p>
    <w:p>
      <w:pPr>
        <w:pStyle w:val="CodeListing"/>
      </w:pPr>
      <w:r>
        <w:rPr>
          <w:rFonts w:ascii="Courier New" w:hAnsi="Courier New" w:cs="Courier New" w:eastAsia="Courier New"/>
          <w:sz w:val="16"/>
        </w:rPr>
        <w:t xml:space="preserve">            f"filtering; need &gt; {min_len} samples"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sosfiltfilt(sos,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notch_filter(</w:t>
      </w:r>
    </w:p>
    <w:p>
      <w:pPr>
        <w:pStyle w:val="CodeListing"/>
      </w:pPr>
      <w:r>
        <w:rPr>
          <w:rFonts w:ascii="Courier New" w:hAnsi="Courier New" w:cs="Courier New" w:eastAsia="Courier New"/>
          <w:sz w:val="16"/>
        </w:rPr>
        <w:t xml:space="preserve">    signal: np.ndarray,</w:t>
      </w:r>
    </w:p>
    <w:p>
      <w:pPr>
        <w:pStyle w:val="CodeListing"/>
      </w:pPr>
      <w:r>
        <w:rPr>
          <w:rFonts w:ascii="Courier New" w:hAnsi="Courier New" w:cs="Courier New" w:eastAsia="Courier New"/>
          <w:sz w:val="16"/>
        </w:rPr>
        <w:t xml:space="preserve">    fs: float,</w:t>
      </w:r>
    </w:p>
    <w:p>
      <w:pPr>
        <w:pStyle w:val="CodeListing"/>
      </w:pPr>
      <w:r>
        <w:rPr>
          <w:rFonts w:ascii="Courier New" w:hAnsi="Courier New" w:cs="Courier New" w:eastAsia="Courier New"/>
          <w:sz w:val="16"/>
        </w:rPr>
        <w:t xml:space="preserve">    freq: float = 50.0,</w:t>
      </w:r>
    </w:p>
    <w:p>
      <w:pPr>
        <w:pStyle w:val="CodeListing"/>
      </w:pPr>
      <w:r>
        <w:rPr>
          <w:rFonts w:ascii="Courier New" w:hAnsi="Courier New" w:cs="Courier New" w:eastAsia="Courier New"/>
          <w:sz w:val="16"/>
        </w:rPr>
        <w:t xml:space="preserve">    quality: float = 30.0,</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"""Zero-phase IIR notch filter to remove AC power-line hum."""</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nyquist = fs / 2.0</w:t>
      </w:r>
    </w:p>
    <w:p>
      <w:pPr>
        <w:pStyle w:val="CodeListing"/>
      </w:pPr>
      <w:r>
        <w:rPr>
          <w:rFonts w:ascii="Courier New" w:hAnsi="Courier New" w:cs="Courier New" w:eastAsia="Courier New"/>
          <w:sz w:val="16"/>
        </w:rPr>
        <w:t xml:space="preserve">    if freq &gt;= nyquist:</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f"notch freq ({freq} Hz) must be below Nyquist ({nyquist} Hz)"</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b, a = iirnotch(freq, quality, fs)</w:t>
      </w:r>
    </w:p>
    <w:p>
      <w:pPr>
        <w:pStyle w:val="CodeListing"/>
      </w:pPr>
      <w:r>
        <w:rPr>
          <w:rFonts w:ascii="Courier New" w:hAnsi="Courier New" w:cs="Courier New" w:eastAsia="Courier New"/>
          <w:sz w:val="16"/>
        </w:rPr>
        <w:t xml:space="preserve">    return filtfilt(b, a,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zscore_normalize(signal: np.ndarray, eps: float = 1e-8) -&gt; np.ndarray:</w:t>
      </w:r>
    </w:p>
    <w:p>
      <w:pPr>
        <w:pStyle w:val="CodeListing"/>
      </w:pPr>
      <w:r>
        <w:rPr>
          <w:rFonts w:ascii="Courier New" w:hAnsi="Courier New" w:cs="Courier New" w:eastAsia="Courier New"/>
          <w:sz w:val="16"/>
        </w:rPr>
        <w:t xml:space="preserve">    """Zero mean, unit variance normalization."""</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std = signal.std()</w:t>
      </w:r>
    </w:p>
    <w:p>
      <w:pPr>
        <w:pStyle w:val="CodeListing"/>
      </w:pPr>
      <w:r>
        <w:rPr>
          <w:rFonts w:ascii="Courier New" w:hAnsi="Courier New" w:cs="Courier New" w:eastAsia="Courier New"/>
          <w:sz w:val="16"/>
        </w:rPr>
        <w:t xml:space="preserve">    return (signal - signal.mean()) / (std + eps)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resample_to_length(signal: np.ndarray, target_length: int) -&gt; np.ndarray:</w:t>
      </w:r>
    </w:p>
    <w:p>
      <w:pPr>
        <w:pStyle w:val="CodeListing"/>
      </w:pPr>
      <w:r>
        <w:rPr>
          <w:rFonts w:ascii="Courier New" w:hAnsi="Courier New" w:cs="Courier New" w:eastAsia="Courier New"/>
          <w:sz w:val="16"/>
        </w:rPr>
        <w:t xml:space="preserve">    """Linear-interpolation resample to a fixed number of samples."""</w:t>
      </w:r>
    </w:p>
    <w:p>
      <w:pPr>
        <w:pStyle w:val="CodeListing"/>
      </w:pPr>
      <w:r>
        <w:rPr>
          <w:rFonts w:ascii="Courier New" w:hAnsi="Courier New" w:cs="Courier New" w:eastAsia="Courier New"/>
          <w:sz w:val="16"/>
        </w:rPr>
        <w:t xml:space="preserve">    signal = _validate_signal(signal)</w:t>
      </w:r>
    </w:p>
    <w:p>
      <w:pPr>
        <w:pStyle w:val="CodeListing"/>
      </w:pPr>
      <w:r>
        <w:rPr>
          <w:rFonts w:ascii="Courier New" w:hAnsi="Courier New" w:cs="Courier New" w:eastAsia="Courier New"/>
          <w:sz w:val="16"/>
        </w:rPr>
        <w:t xml:space="preserve">    if signal.size == target_length:</w:t>
      </w:r>
    </w:p>
    <w:p>
      <w:pPr>
        <w:pStyle w:val="CodeListing"/>
      </w:pPr>
      <w:r>
        <w:rPr>
          <w:rFonts w:ascii="Courier New" w:hAnsi="Courier New" w:cs="Courier New" w:eastAsia="Courier New"/>
          <w:sz w:val="16"/>
        </w:rPr>
        <w:t xml:space="preserve">        return signal</w:t>
      </w:r>
    </w:p>
    <w:p>
      <w:pPr>
        <w:pStyle w:val="CodeListing"/>
      </w:pPr>
      <w:r>
        <w:rPr>
          <w:rFonts w:ascii="Courier New" w:hAnsi="Courier New" w:cs="Courier New" w:eastAsia="Courier New"/>
          <w:sz w:val="16"/>
        </w:rPr>
        <w:t xml:space="preserve">    x_old = np.linspace(0.0, 1.0, num=signal.size)</w:t>
      </w:r>
    </w:p>
    <w:p>
      <w:pPr>
        <w:pStyle w:val="CodeListing"/>
      </w:pPr>
      <w:r>
        <w:rPr>
          <w:rFonts w:ascii="Courier New" w:hAnsi="Courier New" w:cs="Courier New" w:eastAsia="Courier New"/>
          <w:sz w:val="16"/>
        </w:rPr>
        <w:t xml:space="preserve">    x_new = np.linspace(0.0, 1.0, num=target_length)</w:t>
      </w:r>
    </w:p>
    <w:p>
      <w:pPr>
        <w:pStyle w:val="CodeListing"/>
      </w:pPr>
      <w:r>
        <w:rPr>
          <w:rFonts w:ascii="Courier New" w:hAnsi="Courier New" w:cs="Courier New" w:eastAsia="Courier New"/>
          <w:sz w:val="16"/>
        </w:rPr>
        <w:t xml:space="preserve">    return np.interp(x_new, x_old, signal)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clean_vep_signal(</w:t>
      </w:r>
    </w:p>
    <w:p>
      <w:pPr>
        <w:pStyle w:val="CodeListing"/>
      </w:pPr>
      <w:r>
        <w:rPr>
          <w:rFonts w:ascii="Courier New" w:hAnsi="Courier New" w:cs="Courier New" w:eastAsia="Courier New"/>
          <w:sz w:val="16"/>
        </w:rPr>
        <w:t xml:space="preserve">    raw_signal: np.ndarray,</w:t>
      </w:r>
    </w:p>
    <w:p>
      <w:pPr>
        <w:pStyle w:val="CodeListing"/>
      </w:pPr>
      <w:r>
        <w:rPr>
          <w:rFonts w:ascii="Courier New" w:hAnsi="Courier New" w:cs="Courier New" w:eastAsia="Courier New"/>
          <w:sz w:val="16"/>
        </w:rPr>
        <w:t xml:space="preserve">    fs: float,</w:t>
      </w:r>
    </w:p>
    <w:p>
      <w:pPr>
        <w:pStyle w:val="CodeListing"/>
      </w:pPr>
      <w:r>
        <w:rPr>
          <w:rFonts w:ascii="Courier New" w:hAnsi="Courier New" w:cs="Courier New" w:eastAsia="Courier New"/>
          <w:sz w:val="16"/>
        </w:rPr>
        <w:t xml:space="preserve">    cfg: VEPConfig = DEFAULT_CONFIG.vep,</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"""Full 1D conditioning pipeline: bandpass -&gt; notch -&gt; resample -&gt; z-score.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Returns a float32 array of shape (cfg.length,).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signal = _validate_signal(raw_signal)</w:t>
      </w:r>
    </w:p>
    <w:p>
      <w:pPr>
        <w:pStyle w:val="CodeListing"/>
      </w:pPr>
      <w:r>
        <w:rPr>
          <w:rFonts w:ascii="Courier New" w:hAnsi="Courier New" w:cs="Courier New" w:eastAsia="Courier New"/>
          <w:sz w:val="16"/>
        </w:rPr>
        <w:t xml:space="preserve">    filtered = butterworth_bandpass(</w:t>
      </w:r>
    </w:p>
    <w:p>
      <w:pPr>
        <w:pStyle w:val="CodeListing"/>
      </w:pPr>
      <w:r>
        <w:rPr>
          <w:rFonts w:ascii="Courier New" w:hAnsi="Courier New" w:cs="Courier New" w:eastAsia="Courier New"/>
          <w:sz w:val="16"/>
        </w:rPr>
        <w:t xml:space="preserve">        signal, fs, lowcut=cfg.bandpass_low, highcut=cfg.bandpass_high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denotched = notch_filter(filtered, fs, freq=cfg.notch_freq, quality=cfg.notch_quality)</w:t>
      </w:r>
    </w:p>
    <w:p>
      <w:pPr>
        <w:pStyle w:val="CodeListing"/>
      </w:pPr>
      <w:r>
        <w:rPr>
          <w:rFonts w:ascii="Courier New" w:hAnsi="Courier New" w:cs="Courier New" w:eastAsia="Courier New"/>
          <w:sz w:val="16"/>
        </w:rPr>
        <w:t xml:space="preserve">    resampled = resample_to_length(denotched, cfg.length)</w:t>
      </w:r>
    </w:p>
    <w:p>
      <w:pPr>
        <w:pStyle w:val="CodeListing"/>
      </w:pPr>
      <w:r>
        <w:rPr>
          <w:rFonts w:ascii="Courier New" w:hAnsi="Courier New" w:cs="Courier New" w:eastAsia="Courier New"/>
          <w:sz w:val="16"/>
        </w:rPr>
        <w:t xml:space="preserve">    normalized = zscore_normalize(resampled)</w:t>
      </w:r>
    </w:p>
    <w:p>
      <w:pPr>
        <w:pStyle w:val="CodeListing"/>
      </w:pPr>
      <w:r>
        <w:rPr>
          <w:rFonts w:ascii="Courier New" w:hAnsi="Courier New" w:cs="Courier New" w:eastAsia="Courier New"/>
          <w:sz w:val="16"/>
        </w:rPr>
        <w:t xml:space="preserve">    return normalized.astype(np.float32)</w:t>
      </w:r>
    </w:p>
    <w:p>
      <w:pPr>
        <w:keepNext/>
        <w:spacing w:before="160" w:after="60" w:line="240" w:lineRule="auto"/>
        <w:jc w:val="left"/>
      </w:pPr>
      <w:r>
        <w:rPr>
          <w:rFonts w:ascii="Times New Roman" w:hAnsi="Times New Roman" w:cs="Times New Roman" w:eastAsia="Times New Roman"/>
          <w:b/>
          <w:sz w:val="22"/>
        </w:rPr>
        <w:t>Listing A2.6: src/models/spatial_encoder.py</w:t>
      </w:r>
    </w:p>
    <w:p>
      <w:pPr>
        <w:pStyle w:val="CodeListing"/>
      </w:pPr>
      <w:r>
        <w:rPr>
          <w:rFonts w:ascii="Courier New" w:hAnsi="Courier New" w:cs="Courier New" w:eastAsia="Courier New"/>
          <w:sz w:val="16"/>
        </w:rPr>
        <w:t>"""3D-CNN / ResNet backbone: structural MRI volume -&gt; spatial 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ResidualBlock3D(nn.Module):</w:t>
      </w:r>
    </w:p>
    <w:p>
      <w:pPr>
        <w:pStyle w:val="CodeListing"/>
      </w:pPr>
      <w:r>
        <w:rPr>
          <w:rFonts w:ascii="Courier New" w:hAnsi="Courier New" w:cs="Courier New" w:eastAsia="Courier New"/>
          <w:sz w:val="16"/>
        </w:rPr>
        <w:t xml:space="preserve">    def __init__(self, in_channels: int, out_channels: int, stride: int = 1):</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self.conv1 = nn.Conv3d(in_channels, out_channels, 3, stride=stride, padding=1, bias=False)</w:t>
      </w:r>
    </w:p>
    <w:p>
      <w:pPr>
        <w:pStyle w:val="CodeListing"/>
      </w:pPr>
      <w:r>
        <w:rPr>
          <w:rFonts w:ascii="Courier New" w:hAnsi="Courier New" w:cs="Courier New" w:eastAsia="Courier New"/>
          <w:sz w:val="16"/>
        </w:rPr>
        <w:t xml:space="preserve">        self.bn1 = nn.BatchNorm3d(out_channels)</w:t>
      </w:r>
    </w:p>
    <w:p>
      <w:pPr>
        <w:pStyle w:val="CodeListing"/>
      </w:pPr>
      <w:r>
        <w:rPr>
          <w:rFonts w:ascii="Courier New" w:hAnsi="Courier New" w:cs="Courier New" w:eastAsia="Courier New"/>
          <w:sz w:val="16"/>
        </w:rPr>
        <w:t xml:space="preserve">        self.conv2 = nn.Conv3d(out_channels, out_channels, 3, stride=1, padding=1, bias=False)</w:t>
      </w:r>
    </w:p>
    <w:p>
      <w:pPr>
        <w:pStyle w:val="CodeListing"/>
      </w:pPr>
      <w:r>
        <w:rPr>
          <w:rFonts w:ascii="Courier New" w:hAnsi="Courier New" w:cs="Courier New" w:eastAsia="Courier New"/>
          <w:sz w:val="16"/>
        </w:rPr>
        <w:t xml:space="preserve">        self.bn2 = nn.BatchNorm3d(out_channels)</w:t>
      </w:r>
    </w:p>
    <w:p>
      <w:pPr>
        <w:pStyle w:val="CodeListing"/>
      </w:pPr>
      <w:r>
        <w:rPr>
          <w:rFonts w:ascii="Courier New" w:hAnsi="Courier New" w:cs="Courier New" w:eastAsia="Courier New"/>
          <w:sz w:val="16"/>
        </w:rPr>
        <w:t xml:space="preserve">        self.relu = nn.ReLU(inplace=True)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self.shortcut = None</w:t>
      </w:r>
    </w:p>
    <w:p>
      <w:pPr>
        <w:pStyle w:val="CodeListing"/>
      </w:pPr>
      <w:r>
        <w:rPr>
          <w:rFonts w:ascii="Courier New" w:hAnsi="Courier New" w:cs="Courier New" w:eastAsia="Courier New"/>
          <w:sz w:val="16"/>
        </w:rPr>
        <w:t xml:space="preserve">        if stride != 1 or in_channels != out_channels:</w:t>
      </w:r>
    </w:p>
    <w:p>
      <w:pPr>
        <w:pStyle w:val="CodeListing"/>
      </w:pPr>
      <w:r>
        <w:rPr>
          <w:rFonts w:ascii="Courier New" w:hAnsi="Courier New" w:cs="Courier New" w:eastAsia="Courier New"/>
          <w:sz w:val="16"/>
        </w:rPr>
        <w:t xml:space="preserve">            self.shortcut = nn.Sequential(</w:t>
      </w:r>
    </w:p>
    <w:p>
      <w:pPr>
        <w:pStyle w:val="CodeListing"/>
      </w:pPr>
      <w:r>
        <w:rPr>
          <w:rFonts w:ascii="Courier New" w:hAnsi="Courier New" w:cs="Courier New" w:eastAsia="Courier New"/>
          <w:sz w:val="16"/>
        </w:rPr>
        <w:t xml:space="preserve">                nn.Conv3d(in_channels, out_channels, 1, stride=stride, bias=False),</w:t>
      </w:r>
    </w:p>
    <w:p>
      <w:pPr>
        <w:pStyle w:val="CodeListing"/>
      </w:pPr>
      <w:r>
        <w:rPr>
          <w:rFonts w:ascii="Courier New" w:hAnsi="Courier New" w:cs="Courier New" w:eastAsia="Courier New"/>
          <w:sz w:val="16"/>
        </w:rPr>
        <w:t xml:space="preserve">                nn.BatchNorm3d(out_channels),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x: torch.Tensor) -&gt; torch.Tensor:</w:t>
      </w:r>
    </w:p>
    <w:p>
      <w:pPr>
        <w:pStyle w:val="CodeListing"/>
      </w:pPr>
      <w:r>
        <w:rPr>
          <w:rFonts w:ascii="Courier New" w:hAnsi="Courier New" w:cs="Courier New" w:eastAsia="Courier New"/>
          <w:sz w:val="16"/>
        </w:rPr>
        <w:t xml:space="preserve">        identity = x if self.shortcut is None else self.shortcut(x)</w:t>
      </w:r>
    </w:p>
    <w:p>
      <w:pPr>
        <w:pStyle w:val="CodeListing"/>
      </w:pPr>
      <w:r>
        <w:rPr>
          <w:rFonts w:ascii="Courier New" w:hAnsi="Courier New" w:cs="Courier New" w:eastAsia="Courier New"/>
          <w:sz w:val="16"/>
        </w:rPr>
        <w:t xml:space="preserve">        out = self.relu(self.bn1(self.conv1(x)))</w:t>
      </w:r>
    </w:p>
    <w:p>
      <w:pPr>
        <w:pStyle w:val="CodeListing"/>
      </w:pPr>
      <w:r>
        <w:rPr>
          <w:rFonts w:ascii="Courier New" w:hAnsi="Courier New" w:cs="Courier New" w:eastAsia="Courier New"/>
          <w:sz w:val="16"/>
        </w:rPr>
        <w:t xml:space="preserve">        out = self.bn2(self.conv2(out))</w:t>
      </w:r>
    </w:p>
    <w:p>
      <w:pPr>
        <w:pStyle w:val="CodeListing"/>
      </w:pPr>
      <w:r>
        <w:rPr>
          <w:rFonts w:ascii="Courier New" w:hAnsi="Courier New" w:cs="Courier New" w:eastAsia="Courier New"/>
          <w:sz w:val="16"/>
        </w:rPr>
        <w:t xml:space="preserve">        return self.relu(out + identity)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SpatialEncoder3D(nn.Module):</w:t>
      </w:r>
    </w:p>
    <w:p>
      <w:pPr>
        <w:pStyle w:val="CodeListing"/>
      </w:pPr>
      <w:r>
        <w:rPr>
          <w:rFonts w:ascii="Courier New" w:hAnsi="Courier New" w:cs="Courier New" w:eastAsia="Courier New"/>
          <w:sz w:val="16"/>
        </w:rPr>
        <w:t xml:space="preserve">    """(B, 1, D, H, W) -&gt; (B, spatial_tokens, d_model) spatial token sequence.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`self.last_conv` exposes the final residual block so Grad-CAM3D can hook</w:t>
      </w:r>
    </w:p>
    <w:p>
      <w:pPr>
        <w:pStyle w:val="CodeListing"/>
      </w:pPr>
      <w:r>
        <w:rPr>
          <w:rFonts w:ascii="Courier New" w:hAnsi="Courier New" w:cs="Courier New" w:eastAsia="Courier New"/>
          <w:sz w:val="16"/>
        </w:rPr>
        <w:t xml:space="preserve">    its output activation map.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 in_channels: int = 1):</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self.stem = nn.Sequential(</w:t>
      </w:r>
    </w:p>
    <w:p>
      <w:pPr>
        <w:pStyle w:val="CodeListing"/>
      </w:pPr>
      <w:r>
        <w:rPr>
          <w:rFonts w:ascii="Courier New" w:hAnsi="Courier New" w:cs="Courier New" w:eastAsia="Courier New"/>
          <w:sz w:val="16"/>
        </w:rPr>
        <w:t xml:space="preserve">            nn.Conv3d(in_channels, 16, 3, stride=1, padding=1, bias=False),</w:t>
      </w:r>
    </w:p>
    <w:p>
      <w:pPr>
        <w:pStyle w:val="CodeListing"/>
      </w:pPr>
      <w:r>
        <w:rPr>
          <w:rFonts w:ascii="Courier New" w:hAnsi="Courier New" w:cs="Courier New" w:eastAsia="Courier New"/>
          <w:sz w:val="16"/>
        </w:rPr>
        <w:t xml:space="preserve">            nn.BatchNorm3d(16),</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self.layer1 = ResidualBlock3D(16, 32, stride=2)</w:t>
      </w:r>
    </w:p>
    <w:p>
      <w:pPr>
        <w:pStyle w:val="CodeListing"/>
      </w:pPr>
      <w:r>
        <w:rPr>
          <w:rFonts w:ascii="Courier New" w:hAnsi="Courier New" w:cs="Courier New" w:eastAsia="Courier New"/>
          <w:sz w:val="16"/>
        </w:rPr>
        <w:t xml:space="preserve">        self.layer2 = ResidualBlock3D(32, 64, stride=2)</w:t>
      </w:r>
    </w:p>
    <w:p>
      <w:pPr>
        <w:pStyle w:val="CodeListing"/>
      </w:pPr>
      <w:r>
        <w:rPr>
          <w:rFonts w:ascii="Courier New" w:hAnsi="Courier New" w:cs="Courier New" w:eastAsia="Courier New"/>
          <w:sz w:val="16"/>
        </w:rPr>
        <w:t xml:space="preserve">        self.layer3 = ResidualBlock3D(64, cfg.d_model, stride=2)</w:t>
      </w:r>
    </w:p>
    <w:p>
      <w:pPr>
        <w:pStyle w:val="CodeListing"/>
      </w:pPr>
      <w:r>
        <w:rPr>
          <w:rFonts w:ascii="Courier New" w:hAnsi="Courier New" w:cs="Courier New" w:eastAsia="Courier New"/>
          <w:sz w:val="16"/>
        </w:rPr>
        <w:t xml:space="preserve">        self.last_conv = self.layer3</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self.pool = nn.AdaptiveAvgPool3d(cfg.spatial_pool)</w:t>
      </w:r>
    </w:p>
    <w:p>
      <w:pPr>
        <w:pStyle w:val="CodeListing"/>
      </w:pPr>
      <w:r>
        <w:rPr>
          <w:rFonts w:ascii="Courier New" w:hAnsi="Courier New" w:cs="Courier New" w:eastAsia="Courier New"/>
          <w:sz w:val="16"/>
        </w:rPr>
        <w:t xml:space="preserve">        self.d_model =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x: torch.Tensor) -&gt; torch.Tensor:</w:t>
      </w:r>
    </w:p>
    <w:p>
      <w:pPr>
        <w:pStyle w:val="CodeListing"/>
      </w:pPr>
      <w:r>
        <w:rPr>
          <w:rFonts w:ascii="Courier New" w:hAnsi="Courier New" w:cs="Courier New" w:eastAsia="Courier New"/>
          <w:sz w:val="16"/>
        </w:rPr>
        <w:t xml:space="preserve">        x = self.stem(x)</w:t>
      </w:r>
    </w:p>
    <w:p>
      <w:pPr>
        <w:pStyle w:val="CodeListing"/>
      </w:pPr>
      <w:r>
        <w:rPr>
          <w:rFonts w:ascii="Courier New" w:hAnsi="Courier New" w:cs="Courier New" w:eastAsia="Courier New"/>
          <w:sz w:val="16"/>
        </w:rPr>
        <w:t xml:space="preserve">        x = self.layer1(x)</w:t>
      </w:r>
    </w:p>
    <w:p>
      <w:pPr>
        <w:pStyle w:val="CodeListing"/>
      </w:pPr>
      <w:r>
        <w:rPr>
          <w:rFonts w:ascii="Courier New" w:hAnsi="Courier New" w:cs="Courier New" w:eastAsia="Courier New"/>
          <w:sz w:val="16"/>
        </w:rPr>
        <w:t xml:space="preserve">        x = self.layer2(x)</w:t>
      </w:r>
    </w:p>
    <w:p>
      <w:pPr>
        <w:pStyle w:val="CodeListing"/>
      </w:pPr>
      <w:r>
        <w:rPr>
          <w:rFonts w:ascii="Courier New" w:hAnsi="Courier New" w:cs="Courier New" w:eastAsia="Courier New"/>
          <w:sz w:val="16"/>
        </w:rPr>
        <w:t xml:space="preserve">        x = self.layer3(x)</w:t>
      </w:r>
    </w:p>
    <w:p>
      <w:pPr>
        <w:pStyle w:val="CodeListing"/>
      </w:pPr>
      <w:r>
        <w:rPr>
          <w:rFonts w:ascii="Courier New" w:hAnsi="Courier New" w:cs="Courier New" w:eastAsia="Courier New"/>
          <w:sz w:val="16"/>
        </w:rPr>
        <w:t xml:space="preserve">        x = self.pool(x)  # (B, d_model, *spatial_pool)</w:t>
      </w:r>
    </w:p>
    <w:p>
      <w:pPr>
        <w:pStyle w:val="CodeListing"/>
      </w:pPr>
      <w:r>
        <w:rPr>
          <w:rFonts w:ascii="Courier New" w:hAnsi="Courier New" w:cs="Courier New" w:eastAsia="Courier New"/>
          <w:sz w:val="16"/>
        </w:rPr>
        <w:t xml:space="preserve">        tokens = x.flatten(2).transpose(1, 2)  # (B, tokens, d_model)</w:t>
      </w:r>
    </w:p>
    <w:p>
      <w:pPr>
        <w:pStyle w:val="CodeListing"/>
      </w:pPr>
      <w:r>
        <w:rPr>
          <w:rFonts w:ascii="Courier New" w:hAnsi="Courier New" w:cs="Courier New" w:eastAsia="Courier New"/>
          <w:sz w:val="16"/>
        </w:rPr>
        <w:t xml:space="preserve">        return tokens</w:t>
      </w:r>
    </w:p>
    <w:p>
      <w:pPr>
        <w:keepNext/>
        <w:spacing w:before="160" w:after="60" w:line="240" w:lineRule="auto"/>
        <w:jc w:val="left"/>
      </w:pPr>
      <w:r>
        <w:rPr>
          <w:rFonts w:ascii="Times New Roman" w:hAnsi="Times New Roman" w:cs="Times New Roman" w:eastAsia="Times New Roman"/>
          <w:b/>
          <w:sz w:val="22"/>
        </w:rPr>
        <w:t>Listing A2.7: src/models/temporal_encoder.py</w:t>
      </w:r>
    </w:p>
    <w:p>
      <w:pPr>
        <w:pStyle w:val="CodeListing"/>
      </w:pPr>
      <w:r>
        <w:rPr>
          <w:rFonts w:ascii="Courier New" w:hAnsi="Courier New" w:cs="Courier New" w:eastAsia="Courier New"/>
          <w:sz w:val="16"/>
        </w:rPr>
        <w:t>"""1D-CNN latency backbone: VEP waveform -&gt; temporal 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TemporalEncoder1D(nn.Module):</w:t>
      </w:r>
    </w:p>
    <w:p>
      <w:pPr>
        <w:pStyle w:val="CodeListing"/>
      </w:pPr>
      <w:r>
        <w:rPr>
          <w:rFonts w:ascii="Courier New" w:hAnsi="Courier New" w:cs="Courier New" w:eastAsia="Courier New"/>
          <w:sz w:val="16"/>
        </w:rPr>
        <w:t xml:space="preserve">    """(B, 1, L) -&gt; (B, temporal_tokens, d_model) temporal token sequence."""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 in_channels: int = 1):</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self.net = nn.Sequential(</w:t>
      </w:r>
    </w:p>
    <w:p>
      <w:pPr>
        <w:pStyle w:val="CodeListing"/>
      </w:pPr>
      <w:r>
        <w:rPr>
          <w:rFonts w:ascii="Courier New" w:hAnsi="Courier New" w:cs="Courier New" w:eastAsia="Courier New"/>
          <w:sz w:val="16"/>
        </w:rPr>
        <w:t xml:space="preserve">            nn.Conv1d(in_channels, 16, kernel_size=7, stride=1, padding=3, bias=False),</w:t>
      </w:r>
    </w:p>
    <w:p>
      <w:pPr>
        <w:pStyle w:val="CodeListing"/>
      </w:pPr>
      <w:r>
        <w:rPr>
          <w:rFonts w:ascii="Courier New" w:hAnsi="Courier New" w:cs="Courier New" w:eastAsia="Courier New"/>
          <w:sz w:val="16"/>
        </w:rPr>
        <w:t xml:space="preserve">            nn.BatchNorm1d(16),</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nn.Conv1d(16, 32, kernel_size=5, stride=2, padding=2, bias=False),</w:t>
      </w:r>
    </w:p>
    <w:p>
      <w:pPr>
        <w:pStyle w:val="CodeListing"/>
      </w:pPr>
      <w:r>
        <w:rPr>
          <w:rFonts w:ascii="Courier New" w:hAnsi="Courier New" w:cs="Courier New" w:eastAsia="Courier New"/>
          <w:sz w:val="16"/>
        </w:rPr>
        <w:t xml:space="preserve">            nn.BatchNorm1d(32),</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nn.Conv1d(32, 64, kernel_size=5, stride=2, padding=2, bias=False),</w:t>
      </w:r>
    </w:p>
    <w:p>
      <w:pPr>
        <w:pStyle w:val="CodeListing"/>
      </w:pPr>
      <w:r>
        <w:rPr>
          <w:rFonts w:ascii="Courier New" w:hAnsi="Courier New" w:cs="Courier New" w:eastAsia="Courier New"/>
          <w:sz w:val="16"/>
        </w:rPr>
        <w:t xml:space="preserve">            nn.BatchNorm1d(64),</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nn.Conv1d(64, cfg.d_model, kernel_size=3, stride=2, padding=1, bias=False),</w:t>
      </w:r>
    </w:p>
    <w:p>
      <w:pPr>
        <w:pStyle w:val="CodeListing"/>
      </w:pPr>
      <w:r>
        <w:rPr>
          <w:rFonts w:ascii="Courier New" w:hAnsi="Courier New" w:cs="Courier New" w:eastAsia="Courier New"/>
          <w:sz w:val="16"/>
        </w:rPr>
        <w:t xml:space="preserve">            nn.BatchNorm1d(cfg.d_model),</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self.pool = nn.AdaptiveAvgPool1d(cfg.temporal_tokens)</w:t>
      </w:r>
    </w:p>
    <w:p>
      <w:pPr>
        <w:pStyle w:val="CodeListing"/>
      </w:pPr>
      <w:r>
        <w:rPr>
          <w:rFonts w:ascii="Courier New" w:hAnsi="Courier New" w:cs="Courier New" w:eastAsia="Courier New"/>
          <w:sz w:val="16"/>
        </w:rPr>
        <w:t xml:space="preserve">        self.d_model =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x: torch.Tensor) -&gt; torch.Tensor:</w:t>
      </w:r>
    </w:p>
    <w:p>
      <w:pPr>
        <w:pStyle w:val="CodeListing"/>
      </w:pPr>
      <w:r>
        <w:rPr>
          <w:rFonts w:ascii="Courier New" w:hAnsi="Courier New" w:cs="Courier New" w:eastAsia="Courier New"/>
          <w:sz w:val="16"/>
        </w:rPr>
        <w:t xml:space="preserve">        x = self.net(x)          # (B, d_model, L')</w:t>
      </w:r>
    </w:p>
    <w:p>
      <w:pPr>
        <w:pStyle w:val="CodeListing"/>
      </w:pPr>
      <w:r>
        <w:rPr>
          <w:rFonts w:ascii="Courier New" w:hAnsi="Courier New" w:cs="Courier New" w:eastAsia="Courier New"/>
          <w:sz w:val="16"/>
        </w:rPr>
        <w:t xml:space="preserve">        x = self.pool(x)         # (B, d_model, temporal_tokens)</w:t>
      </w:r>
    </w:p>
    <w:p>
      <w:pPr>
        <w:pStyle w:val="CodeListing"/>
      </w:pPr>
      <w:r>
        <w:rPr>
          <w:rFonts w:ascii="Courier New" w:hAnsi="Courier New" w:cs="Courier New" w:eastAsia="Courier New"/>
          <w:sz w:val="16"/>
        </w:rPr>
        <w:t xml:space="preserve">        tokens = x.transpose(1, 2)  # (B, temporal_tokens, d_model)</w:t>
      </w:r>
    </w:p>
    <w:p>
      <w:pPr>
        <w:pStyle w:val="CodeListing"/>
      </w:pPr>
      <w:r>
        <w:rPr>
          <w:rFonts w:ascii="Courier New" w:hAnsi="Courier New" w:cs="Courier New" w:eastAsia="Courier New"/>
          <w:sz w:val="16"/>
        </w:rPr>
        <w:t xml:space="preserve">        return tokens</w:t>
      </w:r>
    </w:p>
    <w:p>
      <w:pPr>
        <w:keepNext/>
        <w:spacing w:before="160" w:after="60" w:line="240" w:lineRule="auto"/>
        <w:jc w:val="left"/>
      </w:pPr>
      <w:r>
        <w:rPr>
          <w:rFonts w:ascii="Times New Roman" w:hAnsi="Times New Roman" w:cs="Times New Roman" w:eastAsia="Times New Roman"/>
          <w:b/>
          <w:sz w:val="22"/>
        </w:rPr>
        <w:t>Listing A2.8: src/models/cross_attention.py</w:t>
      </w:r>
    </w:p>
    <w:p>
      <w:pPr>
        <w:pStyle w:val="CodeListing"/>
      </w:pPr>
      <w:r>
        <w:rPr>
          <w:rFonts w:ascii="Courier New" w:hAnsi="Courier New" w:cs="Courier New" w:eastAsia="Courier New"/>
          <w:sz w:val="16"/>
        </w:rPr>
        <w:t>"""Multi-Head Cross-Attention Fusion Module (CAFM).</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Spatial 3D tokens are projected as Queries; temporal 1D latency tokens are</w:t>
      </w:r>
    </w:p>
    <w:p>
      <w:pPr>
        <w:pStyle w:val="CodeListing"/>
      </w:pPr>
      <w:r>
        <w:rPr>
          <w:rFonts w:ascii="Courier New" w:hAnsi="Courier New" w:cs="Courier New" w:eastAsia="Courier New"/>
          <w:sz w:val="16"/>
        </w:rPr>
        <w:t>projected as Keys and Values, so each spatial brain region dynamically</w:t>
      </w:r>
    </w:p>
    <w:p>
      <w:pPr>
        <w:pStyle w:val="CodeListing"/>
      </w:pPr>
      <w:r>
        <w:rPr>
          <w:rFonts w:ascii="Courier New" w:hAnsi="Courier New" w:cs="Courier New" w:eastAsia="Courier New"/>
          <w:sz w:val="16"/>
        </w:rPr>
        <w:t>queries the electrophysiological latency bins: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Attention(Q, K, V) = Softmax(Q K^T / sqrt(d_k)) V</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math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MultiHeadCrossAttention(nn.Module):</w:t>
      </w:r>
    </w:p>
    <w:p>
      <w:pPr>
        <w:pStyle w:val="CodeListing"/>
      </w:pPr>
      <w:r>
        <w:rPr>
          <w:rFonts w:ascii="Courier New" w:hAnsi="Courier New" w:cs="Courier New" w:eastAsia="Courier New"/>
          <w:sz w:val="16"/>
        </w:rPr>
        <w:t xml:space="preserve">    """Q from `query_tokens`, K/V from `kv_tokens`. Sequence lengths may differ."""</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if cfg.d_model % cfg.num_heads != 0:</w:t>
      </w:r>
    </w:p>
    <w:p>
      <w:pPr>
        <w:pStyle w:val="CodeListing"/>
      </w:pPr>
      <w:r>
        <w:rPr>
          <w:rFonts w:ascii="Courier New" w:hAnsi="Courier New" w:cs="Courier New" w:eastAsia="Courier New"/>
          <w:sz w:val="16"/>
        </w:rPr>
        <w:t xml:space="preserve">            raise ValueError("d_model must be divisible by num_heads")</w:t>
      </w:r>
    </w:p>
    <w:p>
      <w:pPr>
        <w:pStyle w:val="CodeListing"/>
      </w:pPr>
      <w:r>
        <w:rPr>
          <w:rFonts w:ascii="Courier New" w:hAnsi="Courier New" w:cs="Courier New" w:eastAsia="Courier New"/>
          <w:sz w:val="16"/>
        </w:rPr>
        <w:t xml:space="preserve">        self.num_heads = cfg.num_heads</w:t>
      </w:r>
    </w:p>
    <w:p>
      <w:pPr>
        <w:pStyle w:val="CodeListing"/>
      </w:pPr>
      <w:r>
        <w:rPr>
          <w:rFonts w:ascii="Courier New" w:hAnsi="Courier New" w:cs="Courier New" w:eastAsia="Courier New"/>
          <w:sz w:val="16"/>
        </w:rPr>
        <w:t xml:space="preserve">        self.head_dim = cfg.d_model // cfg.num_heads</w:t>
      </w:r>
    </w:p>
    <w:p>
      <w:pPr>
        <w:pStyle w:val="CodeListing"/>
      </w:pPr>
      <w:r>
        <w:rPr>
          <w:rFonts w:ascii="Courier New" w:hAnsi="Courier New" w:cs="Courier New" w:eastAsia="Courier New"/>
          <w:sz w:val="16"/>
        </w:rPr>
        <w:t xml:space="preserve">        self.d_model =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self.w_q = nn.Linear(cfg.d_model, cfg.d_model)</w:t>
      </w:r>
    </w:p>
    <w:p>
      <w:pPr>
        <w:pStyle w:val="CodeListing"/>
      </w:pPr>
      <w:r>
        <w:rPr>
          <w:rFonts w:ascii="Courier New" w:hAnsi="Courier New" w:cs="Courier New" w:eastAsia="Courier New"/>
          <w:sz w:val="16"/>
        </w:rPr>
        <w:t xml:space="preserve">        self.w_k = nn.Linear(cfg.d_model, cfg.d_model)</w:t>
      </w:r>
    </w:p>
    <w:p>
      <w:pPr>
        <w:pStyle w:val="CodeListing"/>
      </w:pPr>
      <w:r>
        <w:rPr>
          <w:rFonts w:ascii="Courier New" w:hAnsi="Courier New" w:cs="Courier New" w:eastAsia="Courier New"/>
          <w:sz w:val="16"/>
        </w:rPr>
        <w:t xml:space="preserve">        self.w_v = nn.Linear(cfg.d_model, cfg.d_model)</w:t>
      </w:r>
    </w:p>
    <w:p>
      <w:pPr>
        <w:pStyle w:val="CodeListing"/>
      </w:pPr>
      <w:r>
        <w:rPr>
          <w:rFonts w:ascii="Courier New" w:hAnsi="Courier New" w:cs="Courier New" w:eastAsia="Courier New"/>
          <w:sz w:val="16"/>
        </w:rPr>
        <w:t xml:space="preserve">        self.out_proj = nn.Linear(cfg.d_model, cfg.d_model)</w:t>
      </w:r>
    </w:p>
    <w:p>
      <w:pPr>
        <w:pStyle w:val="CodeListing"/>
      </w:pPr>
      <w:r>
        <w:rPr>
          <w:rFonts w:ascii="Courier New" w:hAnsi="Courier New" w:cs="Courier New" w:eastAsia="Courier New"/>
          <w:sz w:val="16"/>
        </w:rPr>
        <w:t xml:space="preserve">        self.dropout = nn.Dropout(cfg.dropout)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_split_heads(self, x: torch.Tensor) -&gt; torch.Tensor:</w:t>
      </w:r>
    </w:p>
    <w:p>
      <w:pPr>
        <w:pStyle w:val="CodeListing"/>
      </w:pPr>
      <w:r>
        <w:rPr>
          <w:rFonts w:ascii="Courier New" w:hAnsi="Courier New" w:cs="Courier New" w:eastAsia="Courier New"/>
          <w:sz w:val="16"/>
        </w:rPr>
        <w:t xml:space="preserve">        b, n, _ = x.shape</w:t>
      </w:r>
    </w:p>
    <w:p>
      <w:pPr>
        <w:pStyle w:val="CodeListing"/>
      </w:pPr>
      <w:r>
        <w:rPr>
          <w:rFonts w:ascii="Courier New" w:hAnsi="Courier New" w:cs="Courier New" w:eastAsia="Courier New"/>
          <w:sz w:val="16"/>
        </w:rPr>
        <w:t xml:space="preserve">        return x.view(b, n, self.num_heads, self.head_dim).transpose(1, 2)  # (B, H, N, Dh)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query_tokens: torch.Tensor, kv_tokens: torch.Tensor):</w:t>
      </w:r>
    </w:p>
    <w:p>
      <w:pPr>
        <w:pStyle w:val="CodeListing"/>
      </w:pPr>
      <w:r>
        <w:rPr>
          <w:rFonts w:ascii="Courier New" w:hAnsi="Courier New" w:cs="Courier New" w:eastAsia="Courier New"/>
          <w:sz w:val="16"/>
        </w:rPr>
        <w:t xml:space="preserve">        b = query_tokens.shape[0]</w:t>
      </w:r>
    </w:p>
    <w:p>
      <w:pPr>
        <w:pStyle w:val="CodeListing"/>
      </w:pPr>
      <w:r>
        <w:rPr>
          <w:rFonts w:ascii="Courier New" w:hAnsi="Courier New" w:cs="Courier New" w:eastAsia="Courier New"/>
          <w:sz w:val="16"/>
        </w:rPr>
        <w:t xml:space="preserve">        q = self._split_heads(self.w_q(query_tokens))</w:t>
      </w:r>
    </w:p>
    <w:p>
      <w:pPr>
        <w:pStyle w:val="CodeListing"/>
      </w:pPr>
      <w:r>
        <w:rPr>
          <w:rFonts w:ascii="Courier New" w:hAnsi="Courier New" w:cs="Courier New" w:eastAsia="Courier New"/>
          <w:sz w:val="16"/>
        </w:rPr>
        <w:t xml:space="preserve">        k = self._split_heads(self.w_k(kv_tokens))</w:t>
      </w:r>
    </w:p>
    <w:p>
      <w:pPr>
        <w:pStyle w:val="CodeListing"/>
      </w:pPr>
      <w:r>
        <w:rPr>
          <w:rFonts w:ascii="Courier New" w:hAnsi="Courier New" w:cs="Courier New" w:eastAsia="Courier New"/>
          <w:sz w:val="16"/>
        </w:rPr>
        <w:t xml:space="preserve">        v = self._split_heads(self.w_v(kv_tokens))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scores = torch.matmul(q, k.transpose(-2, -1)) / math.sqrt(self.head_dim)</w:t>
      </w:r>
    </w:p>
    <w:p>
      <w:pPr>
        <w:pStyle w:val="CodeListing"/>
      </w:pPr>
      <w:r>
        <w:rPr>
          <w:rFonts w:ascii="Courier New" w:hAnsi="Courier New" w:cs="Courier New" w:eastAsia="Courier New"/>
          <w:sz w:val="16"/>
        </w:rPr>
        <w:t xml:space="preserve">        attn = torch.softmax(scores, dim=-1)  # (B, H, Nq, Nk)</w:t>
      </w:r>
    </w:p>
    <w:p>
      <w:pPr>
        <w:pStyle w:val="CodeListing"/>
      </w:pPr>
      <w:r>
        <w:rPr>
          <w:rFonts w:ascii="Courier New" w:hAnsi="Courier New" w:cs="Courier New" w:eastAsia="Courier New"/>
          <w:sz w:val="16"/>
        </w:rPr>
        <w:t xml:space="preserve">        attn = self.dropout(attn)</w:t>
      </w:r>
    </w:p>
    <w:p>
      <w:pPr>
        <w:pStyle w:val="CodeListing"/>
      </w:pPr>
      <w:r>
        <w:rPr>
          <w:rFonts w:ascii="Courier New" w:hAnsi="Courier New" w:cs="Courier New" w:eastAsia="Courier New"/>
          <w:sz w:val="16"/>
        </w:rPr>
        <w:t xml:space="preserve">        context = torch.matmul(attn, v)  # (B, H, Nq, Dh)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context = context.transpose(1, 2).contiguous().view(b, -1, self.d_model)</w:t>
      </w:r>
    </w:p>
    <w:p>
      <w:pPr>
        <w:pStyle w:val="CodeListing"/>
      </w:pPr>
      <w:r>
        <w:rPr>
          <w:rFonts w:ascii="Courier New" w:hAnsi="Courier New" w:cs="Courier New" w:eastAsia="Courier New"/>
          <w:sz w:val="16"/>
        </w:rPr>
        <w:t xml:space="preserve">        out = self.out_proj(context)</w:t>
      </w:r>
    </w:p>
    <w:p>
      <w:pPr>
        <w:pStyle w:val="CodeListing"/>
      </w:pPr>
      <w:r>
        <w:rPr>
          <w:rFonts w:ascii="Courier New" w:hAnsi="Courier New" w:cs="Courier New" w:eastAsia="Courier New"/>
          <w:sz w:val="16"/>
        </w:rPr>
        <w:t xml:space="preserve">        return out, attn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CrossAttentionFusion(nn.Module):</w:t>
      </w:r>
    </w:p>
    <w:p>
      <w:pPr>
        <w:pStyle w:val="CodeListing"/>
      </w:pPr>
      <w:r>
        <w:rPr>
          <w:rFonts w:ascii="Courier New" w:hAnsi="Courier New" w:cs="Courier New" w:eastAsia="Courier New"/>
          <w:sz w:val="16"/>
        </w:rPr>
        <w:t xml:space="preserve">    """CAFM: cross-attention -&gt; residual + LayerNorm -&gt; feed-forward block."""</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__init__(self, cfg: ModelConfig = DEFAULT_CONFIG.model):</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self.cross_attn = MultiHeadCrossAttention(cfg)</w:t>
      </w:r>
    </w:p>
    <w:p>
      <w:pPr>
        <w:pStyle w:val="CodeListing"/>
      </w:pPr>
      <w:r>
        <w:rPr>
          <w:rFonts w:ascii="Courier New" w:hAnsi="Courier New" w:cs="Courier New" w:eastAsia="Courier New"/>
          <w:sz w:val="16"/>
        </w:rPr>
        <w:t xml:space="preserve">        self.norm1 = nn.LayerNorm(cfg.d_model)</w:t>
      </w:r>
    </w:p>
    <w:p>
      <w:pPr>
        <w:pStyle w:val="CodeListing"/>
      </w:pPr>
      <w:r>
        <w:rPr>
          <w:rFonts w:ascii="Courier New" w:hAnsi="Courier New" w:cs="Courier New" w:eastAsia="Courier New"/>
          <w:sz w:val="16"/>
        </w:rPr>
        <w:t xml:space="preserve">        self.ffn = nn.Sequential(</w:t>
      </w:r>
    </w:p>
    <w:p>
      <w:pPr>
        <w:pStyle w:val="CodeListing"/>
      </w:pPr>
      <w:r>
        <w:rPr>
          <w:rFonts w:ascii="Courier New" w:hAnsi="Courier New" w:cs="Courier New" w:eastAsia="Courier New"/>
          <w:sz w:val="16"/>
        </w:rPr>
        <w:t xml:space="preserve">            nn.Linear(cfg.d_model, cfg.ffn_hidden),</w:t>
      </w:r>
    </w:p>
    <w:p>
      <w:pPr>
        <w:pStyle w:val="CodeListing"/>
      </w:pPr>
      <w:r>
        <w:rPr>
          <w:rFonts w:ascii="Courier New" w:hAnsi="Courier New" w:cs="Courier New" w:eastAsia="Courier New"/>
          <w:sz w:val="16"/>
        </w:rPr>
        <w:t xml:space="preserve">            nn.ReLU(inplace=True),</w:t>
      </w:r>
    </w:p>
    <w:p>
      <w:pPr>
        <w:pStyle w:val="CodeListing"/>
      </w:pPr>
      <w:r>
        <w:rPr>
          <w:rFonts w:ascii="Courier New" w:hAnsi="Courier New" w:cs="Courier New" w:eastAsia="Courier New"/>
          <w:sz w:val="16"/>
        </w:rPr>
        <w:t xml:space="preserve">            nn.Dropout(cfg.dropout),</w:t>
      </w:r>
    </w:p>
    <w:p>
      <w:pPr>
        <w:pStyle w:val="CodeListing"/>
      </w:pPr>
      <w:r>
        <w:rPr>
          <w:rFonts w:ascii="Courier New" w:hAnsi="Courier New" w:cs="Courier New" w:eastAsia="Courier New"/>
          <w:sz w:val="16"/>
        </w:rPr>
        <w:t xml:space="preserve">            nn.Linear(cfg.ffn_hidden, 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self.norm2 = nn.LayerNorm(cfg.d_model)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spatial_tokens: torch.Tensor, temporal_tokens: torch.Tensor):</w:t>
      </w:r>
    </w:p>
    <w:p>
      <w:pPr>
        <w:pStyle w:val="CodeListing"/>
      </w:pPr>
      <w:r>
        <w:rPr>
          <w:rFonts w:ascii="Courier New" w:hAnsi="Courier New" w:cs="Courier New" w:eastAsia="Courier New"/>
          <w:sz w:val="16"/>
        </w:rPr>
        <w:t xml:space="preserve">        attn_out, attn_weights = self.cross_attn(spatial_tokens, temporal_tokens)</w:t>
      </w:r>
    </w:p>
    <w:p>
      <w:pPr>
        <w:pStyle w:val="CodeListing"/>
      </w:pPr>
      <w:r>
        <w:rPr>
          <w:rFonts w:ascii="Courier New" w:hAnsi="Courier New" w:cs="Courier New" w:eastAsia="Courier New"/>
          <w:sz w:val="16"/>
        </w:rPr>
        <w:t xml:space="preserve">        fused = self.norm1(spatial_tokens + attn_out)</w:t>
      </w:r>
    </w:p>
    <w:p>
      <w:pPr>
        <w:pStyle w:val="CodeListing"/>
      </w:pPr>
      <w:r>
        <w:rPr>
          <w:rFonts w:ascii="Courier New" w:hAnsi="Courier New" w:cs="Courier New" w:eastAsia="Courier New"/>
          <w:sz w:val="16"/>
        </w:rPr>
        <w:t xml:space="preserve">        ffn_out = self.ffn(fused)</w:t>
      </w:r>
    </w:p>
    <w:p>
      <w:pPr>
        <w:pStyle w:val="CodeListing"/>
      </w:pPr>
      <w:r>
        <w:rPr>
          <w:rFonts w:ascii="Courier New" w:hAnsi="Courier New" w:cs="Courier New" w:eastAsia="Courier New"/>
          <w:sz w:val="16"/>
        </w:rPr>
        <w:t xml:space="preserve">        fused = self.norm2(fused + ffn_out)</w:t>
      </w:r>
    </w:p>
    <w:p>
      <w:pPr>
        <w:pStyle w:val="CodeListing"/>
      </w:pPr>
      <w:r>
        <w:rPr>
          <w:rFonts w:ascii="Courier New" w:hAnsi="Courier New" w:cs="Courier New" w:eastAsia="Courier New"/>
          <w:sz w:val="16"/>
        </w:rPr>
        <w:t xml:space="preserve">        return fused, attn_weights</w:t>
      </w:r>
    </w:p>
    <w:p>
      <w:pPr>
        <w:keepNext/>
        <w:spacing w:before="160" w:after="60" w:line="240" w:lineRule="auto"/>
        <w:jc w:val="left"/>
      </w:pPr>
      <w:r>
        <w:rPr>
          <w:rFonts w:ascii="Times New Roman" w:hAnsi="Times New Roman" w:cs="Times New Roman" w:eastAsia="Times New Roman"/>
          <w:b/>
          <w:sz w:val="22"/>
        </w:rPr>
        <w:t>Listing A2.9: src/models/cafn.py</w:t>
      </w:r>
    </w:p>
    <w:p>
      <w:pPr>
        <w:pStyle w:val="CodeListing"/>
      </w:pPr>
      <w:r>
        <w:rPr>
          <w:rFonts w:ascii="Courier New" w:hAnsi="Courier New" w:cs="Courier New" w:eastAsia="Courier New"/>
          <w:sz w:val="16"/>
        </w:rPr>
        <w:t>"""Cross-Attention Fusion Network (CAFN): full model wiring.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Dual-stream encoders feed the cross-attention fusion module; a fused</w:t>
      </w:r>
    </w:p>
    <w:p>
      <w:pPr>
        <w:pStyle w:val="CodeListing"/>
      </w:pPr>
      <w:r>
        <w:rPr>
          <w:rFonts w:ascii="Courier New" w:hAnsi="Courier New" w:cs="Courier New" w:eastAsia="Courier New"/>
          <w:sz w:val="16"/>
        </w:rPr>
        <w:t>classification head and two auxiliary unimodal heads train jointly</w:t>
      </w:r>
    </w:p>
    <w:p>
      <w:pPr>
        <w:pStyle w:val="CodeListing"/>
      </w:pPr>
      <w:r>
        <w:rPr>
          <w:rFonts w:ascii="Courier New" w:hAnsi="Courier New" w:cs="Courier New" w:eastAsia="Courier New"/>
          <w:sz w:val="16"/>
        </w:rPr>
        <w:t>(multi-task supervision) so the network cannot collapse onto a single</w:t>
      </w:r>
    </w:p>
    <w:p>
      <w:pPr>
        <w:pStyle w:val="CodeListing"/>
      </w:pPr>
      <w:r>
        <w:rPr>
          <w:rFonts w:ascii="Courier New" w:hAnsi="Courier New" w:cs="Courier New" w:eastAsia="Courier New"/>
          <w:sz w:val="16"/>
        </w:rPr>
        <w:t>dominant modality.</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import torch.nn.functional as 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ModelConfig, DEFAULT_CONFIG</w:t>
      </w:r>
    </w:p>
    <w:p>
      <w:pPr>
        <w:pStyle w:val="CodeListing"/>
      </w:pPr>
      <w:r>
        <w:rPr>
          <w:rFonts w:ascii="Courier New" w:hAnsi="Courier New" w:cs="Courier New" w:eastAsia="Courier New"/>
          <w:sz w:val="16"/>
        </w:rPr>
        <w:t>from src.models.spatial_encoder import SpatialEncoder3D</w:t>
      </w:r>
    </w:p>
    <w:p>
      <w:pPr>
        <w:pStyle w:val="CodeListing"/>
      </w:pPr>
      <w:r>
        <w:rPr>
          <w:rFonts w:ascii="Courier New" w:hAnsi="Courier New" w:cs="Courier New" w:eastAsia="Courier New"/>
          <w:sz w:val="16"/>
        </w:rPr>
        <w:t>from src.models.temporal_encoder import TemporalEncoder1D</w:t>
      </w:r>
    </w:p>
    <w:p>
      <w:pPr>
        <w:pStyle w:val="CodeListing"/>
      </w:pPr>
      <w:r>
        <w:rPr>
          <w:rFonts w:ascii="Courier New" w:hAnsi="Courier New" w:cs="Courier New" w:eastAsia="Courier New"/>
          <w:sz w:val="16"/>
        </w:rPr>
        <w:t>from src.models.cross_attention import CrossAttentionFusion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CAFN(nn.Module):</w:t>
      </w:r>
    </w:p>
    <w:p>
      <w:pPr>
        <w:pStyle w:val="CodeListing"/>
      </w:pPr>
      <w:r>
        <w:rPr>
          <w:rFonts w:ascii="Courier New" w:hAnsi="Courier New" w:cs="Courier New" w:eastAsia="Courier New"/>
          <w:sz w:val="16"/>
        </w:rPr>
        <w:t xml:space="preserve">    def __init__(self, cfg: ModelConfig = DEFAULT_CONFIG.model):</w:t>
      </w:r>
    </w:p>
    <w:p>
      <w:pPr>
        <w:pStyle w:val="CodeListing"/>
      </w:pPr>
      <w:r>
        <w:rPr>
          <w:rFonts w:ascii="Courier New" w:hAnsi="Courier New" w:cs="Courier New" w:eastAsia="Courier New"/>
          <w:sz w:val="16"/>
        </w:rPr>
        <w:t xml:space="preserve">        super().__init__()</w:t>
      </w:r>
    </w:p>
    <w:p>
      <w:pPr>
        <w:pStyle w:val="CodeListing"/>
      </w:pPr>
      <w:r>
        <w:rPr>
          <w:rFonts w:ascii="Courier New" w:hAnsi="Courier New" w:cs="Courier New" w:eastAsia="Courier New"/>
          <w:sz w:val="16"/>
        </w:rPr>
        <w:t xml:space="preserve">        self.cfg = cfg</w:t>
      </w:r>
    </w:p>
    <w:p>
      <w:pPr>
        <w:pStyle w:val="CodeListing"/>
      </w:pPr>
      <w:r>
        <w:rPr>
          <w:rFonts w:ascii="Courier New" w:hAnsi="Courier New" w:cs="Courier New" w:eastAsia="Courier New"/>
          <w:sz w:val="16"/>
        </w:rPr>
        <w:t xml:space="preserve">        self.spatial_encoder = SpatialEncoder3D(cfg)</w:t>
      </w:r>
    </w:p>
    <w:p>
      <w:pPr>
        <w:pStyle w:val="CodeListing"/>
      </w:pPr>
      <w:r>
        <w:rPr>
          <w:rFonts w:ascii="Courier New" w:hAnsi="Courier New" w:cs="Courier New" w:eastAsia="Courier New"/>
          <w:sz w:val="16"/>
        </w:rPr>
        <w:t xml:space="preserve">        self.temporal_encoder = TemporalEncoder1D(cfg)</w:t>
      </w:r>
    </w:p>
    <w:p>
      <w:pPr>
        <w:pStyle w:val="CodeListing"/>
      </w:pPr>
      <w:r>
        <w:rPr>
          <w:rFonts w:ascii="Courier New" w:hAnsi="Courier New" w:cs="Courier New" w:eastAsia="Courier New"/>
          <w:sz w:val="16"/>
        </w:rPr>
        <w:t xml:space="preserve">        self.fusion = CrossAttentionFusion(cfg)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self.fused_head = nn.Linear(cfg.d_model, cfg.num_classes)</w:t>
      </w:r>
    </w:p>
    <w:p>
      <w:pPr>
        <w:pStyle w:val="CodeListing"/>
      </w:pPr>
      <w:r>
        <w:rPr>
          <w:rFonts w:ascii="Courier New" w:hAnsi="Courier New" w:cs="Courier New" w:eastAsia="Courier New"/>
          <w:sz w:val="16"/>
        </w:rPr>
        <w:t xml:space="preserve">        self.spatial_head = nn.Linear(cfg.d_model, cfg.num_classes)</w:t>
      </w:r>
    </w:p>
    <w:p>
      <w:pPr>
        <w:pStyle w:val="CodeListing"/>
      </w:pPr>
      <w:r>
        <w:rPr>
          <w:rFonts w:ascii="Courier New" w:hAnsi="Courier New" w:cs="Courier New" w:eastAsia="Courier New"/>
          <w:sz w:val="16"/>
        </w:rPr>
        <w:t xml:space="preserve">        self.temporal_head = nn.Linear(cfg.d_model, cfg.num_classes)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forward(self, mri_volume: torch.Tensor, vep_signal: torch.Tensor) -&gt; dict:</w:t>
      </w:r>
    </w:p>
    <w:p>
      <w:pPr>
        <w:pStyle w:val="CodeListing"/>
      </w:pPr>
      <w:r>
        <w:rPr>
          <w:rFonts w:ascii="Courier New" w:hAnsi="Courier New" w:cs="Courier New" w:eastAsia="Courier New"/>
          <w:sz w:val="16"/>
        </w:rPr>
        <w:t xml:space="preserve">        spatial_tokens = self.spatial_encoder(mri_volume)    # (B, S, d)</w:t>
      </w:r>
    </w:p>
    <w:p>
      <w:pPr>
        <w:pStyle w:val="CodeListing"/>
      </w:pPr>
      <w:r>
        <w:rPr>
          <w:rFonts w:ascii="Courier New" w:hAnsi="Courier New" w:cs="Courier New" w:eastAsia="Courier New"/>
          <w:sz w:val="16"/>
        </w:rPr>
        <w:t xml:space="preserve">        temporal_tokens = self.temporal_encoder(vep_signal)  # (B, T, 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fused_tokens, attn_weights = self.fusion(spatial_tokens, temporal_tokens)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fused_embedding = fused_tokens.mean(dim=1)</w:t>
      </w:r>
    </w:p>
    <w:p>
      <w:pPr>
        <w:pStyle w:val="CodeListing"/>
      </w:pPr>
      <w:r>
        <w:rPr>
          <w:rFonts w:ascii="Courier New" w:hAnsi="Courier New" w:cs="Courier New" w:eastAsia="Courier New"/>
          <w:sz w:val="16"/>
        </w:rPr>
        <w:t xml:space="preserve">        spatial_embedding = spatial_tokens.mean(dim=1)</w:t>
      </w:r>
    </w:p>
    <w:p>
      <w:pPr>
        <w:pStyle w:val="CodeListing"/>
      </w:pPr>
      <w:r>
        <w:rPr>
          <w:rFonts w:ascii="Courier New" w:hAnsi="Courier New" w:cs="Courier New" w:eastAsia="Courier New"/>
          <w:sz w:val="16"/>
        </w:rPr>
        <w:t xml:space="preserve">        temporal_embedding = temporal_tokens.mean(dim=1)</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w:t>
      </w:r>
    </w:p>
    <w:p>
      <w:pPr>
        <w:pStyle w:val="CodeListing"/>
      </w:pPr>
      <w:r>
        <w:rPr>
          <w:rFonts w:ascii="Courier New" w:hAnsi="Courier New" w:cs="Courier New" w:eastAsia="Courier New"/>
          <w:sz w:val="16"/>
        </w:rPr>
        <w:t xml:space="preserve">            "logits_fused": self.fused_head(fused_embedding),</w:t>
      </w:r>
    </w:p>
    <w:p>
      <w:pPr>
        <w:pStyle w:val="CodeListing"/>
      </w:pPr>
      <w:r>
        <w:rPr>
          <w:rFonts w:ascii="Courier New" w:hAnsi="Courier New" w:cs="Courier New" w:eastAsia="Courier New"/>
          <w:sz w:val="16"/>
        </w:rPr>
        <w:t xml:space="preserve">            "logits_spatial": self.spatial_head(spatial_embedding),</w:t>
      </w:r>
    </w:p>
    <w:p>
      <w:pPr>
        <w:pStyle w:val="CodeListing"/>
      </w:pPr>
      <w:r>
        <w:rPr>
          <w:rFonts w:ascii="Courier New" w:hAnsi="Courier New" w:cs="Courier New" w:eastAsia="Courier New"/>
          <w:sz w:val="16"/>
        </w:rPr>
        <w:t xml:space="preserve">            "logits_temporal": self.temporal_head(temporal_embedding),</w:t>
      </w:r>
    </w:p>
    <w:p>
      <w:pPr>
        <w:pStyle w:val="CodeListing"/>
      </w:pPr>
      <w:r>
        <w:rPr>
          <w:rFonts w:ascii="Courier New" w:hAnsi="Courier New" w:cs="Courier New" w:eastAsia="Courier New"/>
          <w:sz w:val="16"/>
        </w:rPr>
        <w:t xml:space="preserve">            "attn_weights": attn_weights,  # (B, num_heads, S, T)</w:t>
      </w:r>
    </w:p>
    <w:p>
      <w:pPr>
        <w:pStyle w:val="CodeListing"/>
      </w:pPr>
      <w:r>
        <w:rPr>
          <w:rFonts w:ascii="Courier New" w:hAnsi="Courier New" w:cs="Courier New" w:eastAsia="Courier New"/>
          <w:sz w:val="16"/>
        </w:rPr>
        <w:t xml:space="preserve">            "fused_tokens": fused_tokens,</w:t>
      </w:r>
    </w:p>
    <w:p>
      <w:pPr>
        <w:pStyle w:val="CodeListing"/>
      </w:pPr>
      <w:r>
        <w:rPr>
          <w:rFonts w:ascii="Courier New" w:hAnsi="Courier New" w:cs="Courier New" w:eastAsia="Courier New"/>
          <w:sz w:val="16"/>
        </w:rPr>
        <w:t xml:space="preserve">            "spatial_tokens": spatial_tokens,</w:t>
      </w:r>
    </w:p>
    <w:p>
      <w:pPr>
        <w:pStyle w:val="CodeListing"/>
      </w:pPr>
      <w:r>
        <w:rPr>
          <w:rFonts w:ascii="Courier New" w:hAnsi="Courier New" w:cs="Courier New" w:eastAsia="Courier New"/>
          <w:sz w:val="16"/>
        </w:rPr>
        <w:t xml:space="preserve">            "temporal_tokens": temporal_tokens,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multi_task_loss(self, outputs: dict, labels: torch.Tensor, aux_weight: float = 0.3):</w:t>
      </w:r>
    </w:p>
    <w:p>
      <w:pPr>
        <w:pStyle w:val="CodeListing"/>
      </w:pPr>
      <w:r>
        <w:rPr>
          <w:rFonts w:ascii="Courier New" w:hAnsi="Courier New" w:cs="Courier New" w:eastAsia="Courier New"/>
          <w:sz w:val="16"/>
        </w:rPr>
        <w:t xml:space="preserve">        loss_fused = F.cross_entropy(outputs["logits_fused"], labels)</w:t>
      </w:r>
    </w:p>
    <w:p>
      <w:pPr>
        <w:pStyle w:val="CodeListing"/>
      </w:pPr>
      <w:r>
        <w:rPr>
          <w:rFonts w:ascii="Courier New" w:hAnsi="Courier New" w:cs="Courier New" w:eastAsia="Courier New"/>
          <w:sz w:val="16"/>
        </w:rPr>
        <w:t xml:space="preserve">        loss_spatial = F.cross_entropy(outputs["logits_spatial"], labels)</w:t>
      </w:r>
    </w:p>
    <w:p>
      <w:pPr>
        <w:pStyle w:val="CodeListing"/>
      </w:pPr>
      <w:r>
        <w:rPr>
          <w:rFonts w:ascii="Courier New" w:hAnsi="Courier New" w:cs="Courier New" w:eastAsia="Courier New"/>
          <w:sz w:val="16"/>
        </w:rPr>
        <w:t xml:space="preserve">        loss_temporal = F.cross_entropy(outputs["logits_temporal"], labels)</w:t>
      </w:r>
    </w:p>
    <w:p>
      <w:pPr>
        <w:pStyle w:val="CodeListing"/>
      </w:pPr>
      <w:r>
        <w:rPr>
          <w:rFonts w:ascii="Courier New" w:hAnsi="Courier New" w:cs="Courier New" w:eastAsia="Courier New"/>
          <w:sz w:val="16"/>
        </w:rPr>
        <w:t xml:space="preserve">        total = loss_fused + aux_weight * (loss_spatial + loss_temporal)</w:t>
      </w:r>
    </w:p>
    <w:p>
      <w:pPr>
        <w:pStyle w:val="CodeListing"/>
      </w:pPr>
      <w:r>
        <w:rPr>
          <w:rFonts w:ascii="Courier New" w:hAnsi="Courier New" w:cs="Courier New" w:eastAsia="Courier New"/>
          <w:sz w:val="16"/>
        </w:rPr>
        <w:t xml:space="preserve">        return total, {</w:t>
      </w:r>
    </w:p>
    <w:p>
      <w:pPr>
        <w:pStyle w:val="CodeListing"/>
      </w:pPr>
      <w:r>
        <w:rPr>
          <w:rFonts w:ascii="Courier New" w:hAnsi="Courier New" w:cs="Courier New" w:eastAsia="Courier New"/>
          <w:sz w:val="16"/>
        </w:rPr>
        <w:t xml:space="preserve">            "loss_fused": loss_fused.item(),</w:t>
      </w:r>
    </w:p>
    <w:p>
      <w:pPr>
        <w:pStyle w:val="CodeListing"/>
      </w:pPr>
      <w:r>
        <w:rPr>
          <w:rFonts w:ascii="Courier New" w:hAnsi="Courier New" w:cs="Courier New" w:eastAsia="Courier New"/>
          <w:sz w:val="16"/>
        </w:rPr>
        <w:t xml:space="preserve">            "loss_spatial": loss_spatial.item(),</w:t>
      </w:r>
    </w:p>
    <w:p>
      <w:pPr>
        <w:pStyle w:val="CodeListing"/>
      </w:pPr>
      <w:r>
        <w:rPr>
          <w:rFonts w:ascii="Courier New" w:hAnsi="Courier New" w:cs="Courier New" w:eastAsia="Courier New"/>
          <w:sz w:val="16"/>
        </w:rPr>
        <w:t xml:space="preserve">            "loss_temporal": loss_temporal.item(),</w:t>
      </w:r>
    </w:p>
    <w:p>
      <w:pPr>
        <w:pStyle w:val="CodeListing"/>
      </w:pPr>
      <w:r>
        <w:rPr>
          <w:rFonts w:ascii="Courier New" w:hAnsi="Courier New" w:cs="Courier New" w:eastAsia="Courier New"/>
          <w:sz w:val="16"/>
        </w:rPr>
        <w:t xml:space="preserve">            "loss_total": total.item(),</w:t>
      </w:r>
    </w:p>
    <w:p>
      <w:pPr>
        <w:pStyle w:val="CodeListing"/>
      </w:pPr>
      <w:r>
        <w:rPr>
          <w:rFonts w:ascii="Courier New" w:hAnsi="Courier New" w:cs="Courier New" w:eastAsia="Courier New"/>
          <w:sz w:val="16"/>
        </w:rPr>
        <w:t xml:space="preserve">        }</w:t>
      </w:r>
    </w:p>
    <w:p>
      <w:pPr>
        <w:keepNext/>
        <w:spacing w:before="160" w:after="60" w:line="240" w:lineRule="auto"/>
        <w:jc w:val="left"/>
      </w:pPr>
      <w:r>
        <w:rPr>
          <w:rFonts w:ascii="Times New Roman" w:hAnsi="Times New Roman" w:cs="Times New Roman" w:eastAsia="Times New Roman"/>
          <w:b/>
          <w:sz w:val="22"/>
        </w:rPr>
        <w:t>Listing A2.10: src/train.py</w:t>
      </w:r>
    </w:p>
    <w:p>
      <w:pPr>
        <w:pStyle w:val="CodeListing"/>
      </w:pPr>
      <w:r>
        <w:rPr>
          <w:rFonts w:ascii="Courier New" w:hAnsi="Courier New" w:cs="Courier New" w:eastAsia="Courier New"/>
          <w:sz w:val="16"/>
        </w:rPr>
        <w:t>"""Multi-task training loop for CAFN.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Trains the fused cross-attention head jointly with the two auxiliary</w:t>
      </w:r>
    </w:p>
    <w:p>
      <w:pPr>
        <w:pStyle w:val="CodeListing"/>
      </w:pPr>
      <w:r>
        <w:rPr>
          <w:rFonts w:ascii="Courier New" w:hAnsi="Courier New" w:cs="Courier New" w:eastAsia="Courier New"/>
          <w:sz w:val="16"/>
        </w:rPr>
        <w:t>unimodal heads (`CAFN.multi_task_loss`). Callable as a library function</w:t>
      </w:r>
    </w:p>
    <w:p>
      <w:pPr>
        <w:pStyle w:val="CodeListing"/>
      </w:pPr>
      <w:r>
        <w:rPr>
          <w:rFonts w:ascii="Courier New" w:hAnsi="Courier New" w:cs="Courier New" w:eastAsia="Courier New"/>
          <w:sz w:val="16"/>
        </w:rPr>
        <w:t>(`train_model`) for tests/notebooks, or as a script: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python -m src.train --epochs 20 --synthetic-samples 64</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argparse</w:t>
      </w:r>
    </w:p>
    <w:p>
      <w:pPr>
        <w:pStyle w:val="CodeListing"/>
      </w:pPr>
      <w:r>
        <w:rPr>
          <w:rFonts w:ascii="Courier New" w:hAnsi="Courier New" w:cs="Courier New" w:eastAsia="Courier New"/>
          <w:sz w:val="16"/>
        </w:rPr>
        <w:t>import os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from torch.utils.data import DataLoader, Subset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from src.config import Config, DEFAULT_CONFIG</w:t>
      </w:r>
    </w:p>
    <w:p>
      <w:pPr>
        <w:pStyle w:val="CodeListing"/>
      </w:pPr>
      <w:r>
        <w:rPr>
          <w:rFonts w:ascii="Courier New" w:hAnsi="Courier New" w:cs="Courier New" w:eastAsia="Courier New"/>
          <w:sz w:val="16"/>
        </w:rPr>
        <w:t>from src.data.dataset import SyntheticNeuroDataset</w:t>
      </w:r>
    </w:p>
    <w:p>
      <w:pPr>
        <w:pStyle w:val="CodeListing"/>
      </w:pPr>
      <w:r>
        <w:rPr>
          <w:rFonts w:ascii="Courier New" w:hAnsi="Courier New" w:cs="Courier New" w:eastAsia="Courier New"/>
          <w:sz w:val="16"/>
        </w:rPr>
        <w:t>from src.models.cafn import CAFN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train_val_split(dataset, val_split: float, seed: int) -&gt; tuple[Subset, Subset]:</w:t>
      </w:r>
    </w:p>
    <w:p>
      <w:pPr>
        <w:pStyle w:val="CodeListing"/>
      </w:pPr>
      <w:r>
        <w:rPr>
          <w:rFonts w:ascii="Courier New" w:hAnsi="Courier New" w:cs="Courier New" w:eastAsia="Courier New"/>
          <w:sz w:val="16"/>
        </w:rPr>
        <w:t xml:space="preserve">    n = len(dataset)</w:t>
      </w:r>
    </w:p>
    <w:p>
      <w:pPr>
        <w:pStyle w:val="CodeListing"/>
      </w:pPr>
      <w:r>
        <w:rPr>
          <w:rFonts w:ascii="Courier New" w:hAnsi="Courier New" w:cs="Courier New" w:eastAsia="Courier New"/>
          <w:sz w:val="16"/>
        </w:rPr>
        <w:t xml:space="preserve">    n_val = max(1, int(n * val_split)) if n &gt; 1 else 0</w:t>
      </w:r>
    </w:p>
    <w:p>
      <w:pPr>
        <w:pStyle w:val="CodeListing"/>
      </w:pPr>
      <w:r>
        <w:rPr>
          <w:rFonts w:ascii="Courier New" w:hAnsi="Courier New" w:cs="Courier New" w:eastAsia="Courier New"/>
          <w:sz w:val="16"/>
        </w:rPr>
        <w:t xml:space="preserve">    generator = torch.Generator().manual_seed(seed)</w:t>
      </w:r>
    </w:p>
    <w:p>
      <w:pPr>
        <w:pStyle w:val="CodeListing"/>
      </w:pPr>
      <w:r>
        <w:rPr>
          <w:rFonts w:ascii="Courier New" w:hAnsi="Courier New" w:cs="Courier New" w:eastAsia="Courier New"/>
          <w:sz w:val="16"/>
        </w:rPr>
        <w:t xml:space="preserve">    perm = torch.randperm(n, generator=generator).tolist()</w:t>
      </w:r>
    </w:p>
    <w:p>
      <w:pPr>
        <w:pStyle w:val="CodeListing"/>
      </w:pPr>
      <w:r>
        <w:rPr>
          <w:rFonts w:ascii="Courier New" w:hAnsi="Courier New" w:cs="Courier New" w:eastAsia="Courier New"/>
          <w:sz w:val="16"/>
        </w:rPr>
        <w:t xml:space="preserve">    val_idx, train_idx = perm[:n_val], perm[n_val:]</w:t>
      </w:r>
    </w:p>
    <w:p>
      <w:pPr>
        <w:pStyle w:val="CodeListing"/>
      </w:pPr>
      <w:r>
        <w:rPr>
          <w:rFonts w:ascii="Courier New" w:hAnsi="Courier New" w:cs="Courier New" w:eastAsia="Courier New"/>
          <w:sz w:val="16"/>
        </w:rPr>
        <w:t xml:space="preserve">    if not train_idx:</w:t>
      </w:r>
    </w:p>
    <w:p>
      <w:pPr>
        <w:pStyle w:val="CodeListing"/>
      </w:pPr>
      <w:r>
        <w:rPr>
          <w:rFonts w:ascii="Courier New" w:hAnsi="Courier New" w:cs="Courier New" w:eastAsia="Courier New"/>
          <w:sz w:val="16"/>
        </w:rPr>
        <w:t xml:space="preserve">        train_idx, val_idx = perm, []</w:t>
      </w:r>
    </w:p>
    <w:p>
      <w:pPr>
        <w:pStyle w:val="CodeListing"/>
      </w:pPr>
      <w:r>
        <w:rPr>
          <w:rFonts w:ascii="Courier New" w:hAnsi="Courier New" w:cs="Courier New" w:eastAsia="Courier New"/>
          <w:sz w:val="16"/>
        </w:rPr>
        <w:t xml:space="preserve">    return Subset(dataset, train_idx), Subset(dataset, val_idx)</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@torch.no_grad()</w:t>
      </w:r>
    </w:p>
    <w:p>
      <w:pPr>
        <w:pStyle w:val="CodeListing"/>
      </w:pPr>
      <w:r>
        <w:rPr>
          <w:rFonts w:ascii="Courier New" w:hAnsi="Courier New" w:cs="Courier New" w:eastAsia="Courier New"/>
          <w:sz w:val="16"/>
        </w:rPr>
        <w:t>def evaluate(model: CAFN, loader: DataLoader, device: torch.device) -&gt; dict:</w:t>
      </w:r>
    </w:p>
    <w:p>
      <w:pPr>
        <w:pStyle w:val="CodeListing"/>
      </w:pPr>
      <w:r>
        <w:rPr>
          <w:rFonts w:ascii="Courier New" w:hAnsi="Courier New" w:cs="Courier New" w:eastAsia="Courier New"/>
          <w:sz w:val="16"/>
        </w:rPr>
        <w:t xml:space="preserve">    model.eval()</w:t>
      </w:r>
    </w:p>
    <w:p>
      <w:pPr>
        <w:pStyle w:val="CodeListing"/>
      </w:pPr>
      <w:r>
        <w:rPr>
          <w:rFonts w:ascii="Courier New" w:hAnsi="Courier New" w:cs="Courier New" w:eastAsia="Courier New"/>
          <w:sz w:val="16"/>
        </w:rPr>
        <w:t xml:space="preserve">    total, correct, loss_sum = 0, 0, 0.0</w:t>
      </w:r>
    </w:p>
    <w:p>
      <w:pPr>
        <w:pStyle w:val="CodeListing"/>
      </w:pPr>
      <w:r>
        <w:rPr>
          <w:rFonts w:ascii="Courier New" w:hAnsi="Courier New" w:cs="Courier New" w:eastAsia="Courier New"/>
          <w:sz w:val="16"/>
        </w:rPr>
        <w:t xml:space="preserve">    for batch in loader:</w:t>
      </w:r>
    </w:p>
    <w:p>
      <w:pPr>
        <w:pStyle w:val="CodeListing"/>
      </w:pPr>
      <w:r>
        <w:rPr>
          <w:rFonts w:ascii="Courier New" w:hAnsi="Courier New" w:cs="Courier New" w:eastAsia="Courier New"/>
          <w:sz w:val="16"/>
        </w:rPr>
        <w:t xml:space="preserve">        mri = batch["mri"].to(device)</w:t>
      </w:r>
    </w:p>
    <w:p>
      <w:pPr>
        <w:pStyle w:val="CodeListing"/>
      </w:pPr>
      <w:r>
        <w:rPr>
          <w:rFonts w:ascii="Courier New" w:hAnsi="Courier New" w:cs="Courier New" w:eastAsia="Courier New"/>
          <w:sz w:val="16"/>
        </w:rPr>
        <w:t xml:space="preserve">        vep = batch["vep"].to(device)</w:t>
      </w:r>
    </w:p>
    <w:p>
      <w:pPr>
        <w:pStyle w:val="CodeListing"/>
      </w:pPr>
      <w:r>
        <w:rPr>
          <w:rFonts w:ascii="Courier New" w:hAnsi="Courier New" w:cs="Courier New" w:eastAsia="Courier New"/>
          <w:sz w:val="16"/>
        </w:rPr>
        <w:t xml:space="preserve">        labels = batch["label"].to(device)</w:t>
      </w:r>
    </w:p>
    <w:p>
      <w:pPr>
        <w:pStyle w:val="CodeListing"/>
      </w:pPr>
      <w:r>
        <w:rPr>
          <w:rFonts w:ascii="Courier New" w:hAnsi="Courier New" w:cs="Courier New" w:eastAsia="Courier New"/>
          <w:sz w:val="16"/>
        </w:rPr>
        <w:t xml:space="preserve">        outputs = model(mri, vep)</w:t>
      </w:r>
    </w:p>
    <w:p>
      <w:pPr>
        <w:pStyle w:val="CodeListing"/>
      </w:pPr>
      <w:r>
        <w:rPr>
          <w:rFonts w:ascii="Courier New" w:hAnsi="Courier New" w:cs="Courier New" w:eastAsia="Courier New"/>
          <w:sz w:val="16"/>
        </w:rPr>
        <w:t xml:space="preserve">        loss, _ = model.multi_task_loss(outputs, labels)</w:t>
      </w:r>
    </w:p>
    <w:p>
      <w:pPr>
        <w:pStyle w:val="CodeListing"/>
      </w:pPr>
      <w:r>
        <w:rPr>
          <w:rFonts w:ascii="Courier New" w:hAnsi="Courier New" w:cs="Courier New" w:eastAsia="Courier New"/>
          <w:sz w:val="16"/>
        </w:rPr>
        <w:t xml:space="preserve">        preds = outputs["logits_fused"].argmax(dim=1)</w:t>
      </w:r>
    </w:p>
    <w:p>
      <w:pPr>
        <w:pStyle w:val="CodeListing"/>
      </w:pPr>
      <w:r>
        <w:rPr>
          <w:rFonts w:ascii="Courier New" w:hAnsi="Courier New" w:cs="Courier New" w:eastAsia="Courier New"/>
          <w:sz w:val="16"/>
        </w:rPr>
        <w:t xml:space="preserve">        correct += (preds == labels).sum().item()</w:t>
      </w:r>
    </w:p>
    <w:p>
      <w:pPr>
        <w:pStyle w:val="CodeListing"/>
      </w:pPr>
      <w:r>
        <w:rPr>
          <w:rFonts w:ascii="Courier New" w:hAnsi="Courier New" w:cs="Courier New" w:eastAsia="Courier New"/>
          <w:sz w:val="16"/>
        </w:rPr>
        <w:t xml:space="preserve">        total += labels.size(0)</w:t>
      </w:r>
    </w:p>
    <w:p>
      <w:pPr>
        <w:pStyle w:val="CodeListing"/>
      </w:pPr>
      <w:r>
        <w:rPr>
          <w:rFonts w:ascii="Courier New" w:hAnsi="Courier New" w:cs="Courier New" w:eastAsia="Courier New"/>
          <w:sz w:val="16"/>
        </w:rPr>
        <w:t xml:space="preserve">        loss_sum += loss.item() * labels.size(0)</w:t>
      </w:r>
    </w:p>
    <w:p>
      <w:pPr>
        <w:pStyle w:val="CodeListing"/>
      </w:pPr>
      <w:r>
        <w:rPr>
          <w:rFonts w:ascii="Courier New" w:hAnsi="Courier New" w:cs="Courier New" w:eastAsia="Courier New"/>
          <w:sz w:val="16"/>
        </w:rPr>
        <w:t xml:space="preserve">    if total == 0:</w:t>
      </w:r>
    </w:p>
    <w:p>
      <w:pPr>
        <w:pStyle w:val="CodeListing"/>
      </w:pPr>
      <w:r>
        <w:rPr>
          <w:rFonts w:ascii="Courier New" w:hAnsi="Courier New" w:cs="Courier New" w:eastAsia="Courier New"/>
          <w:sz w:val="16"/>
        </w:rPr>
        <w:t xml:space="preserve">        return {"loss": float("nan"), "accuracy": float("nan")}</w:t>
      </w:r>
    </w:p>
    <w:p>
      <w:pPr>
        <w:pStyle w:val="CodeListing"/>
      </w:pPr>
      <w:r>
        <w:rPr>
          <w:rFonts w:ascii="Courier New" w:hAnsi="Courier New" w:cs="Courier New" w:eastAsia="Courier New"/>
          <w:sz w:val="16"/>
        </w:rPr>
        <w:t xml:space="preserve">    return {"loss": loss_sum / total, "accuracy": correct / total}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train_model(</w:t>
      </w:r>
    </w:p>
    <w:p>
      <w:pPr>
        <w:pStyle w:val="CodeListing"/>
      </w:pPr>
      <w:r>
        <w:rPr>
          <w:rFonts w:ascii="Courier New" w:hAnsi="Courier New" w:cs="Courier New" w:eastAsia="Courier New"/>
          <w:sz w:val="16"/>
        </w:rPr>
        <w:t xml:space="preserve">    model: CAFN,</w:t>
      </w:r>
    </w:p>
    <w:p>
      <w:pPr>
        <w:pStyle w:val="CodeListing"/>
      </w:pPr>
      <w:r>
        <w:rPr>
          <w:rFonts w:ascii="Courier New" w:hAnsi="Courier New" w:cs="Courier New" w:eastAsia="Courier New"/>
          <w:sz w:val="16"/>
        </w:rPr>
        <w:t xml:space="preserve">    train_dataset,</w:t>
      </w:r>
    </w:p>
    <w:p>
      <w:pPr>
        <w:pStyle w:val="CodeListing"/>
      </w:pPr>
      <w:r>
        <w:rPr>
          <w:rFonts w:ascii="Courier New" w:hAnsi="Courier New" w:cs="Courier New" w:eastAsia="Courier New"/>
          <w:sz w:val="16"/>
        </w:rPr>
        <w:t xml:space="preserve">    val_dataset=None,</w:t>
      </w:r>
    </w:p>
    <w:p>
      <w:pPr>
        <w:pStyle w:val="CodeListing"/>
      </w:pPr>
      <w:r>
        <w:rPr>
          <w:rFonts w:ascii="Courier New" w:hAnsi="Courier New" w:cs="Courier New" w:eastAsia="Courier New"/>
          <w:sz w:val="16"/>
        </w:rPr>
        <w:t xml:space="preserve">    cfg: Config = DEFAULT_CONFIG,</w:t>
      </w:r>
    </w:p>
    <w:p>
      <w:pPr>
        <w:pStyle w:val="CodeListing"/>
      </w:pPr>
      <w:r>
        <w:rPr>
          <w:rFonts w:ascii="Courier New" w:hAnsi="Courier New" w:cs="Courier New" w:eastAsia="Courier New"/>
          <w:sz w:val="16"/>
        </w:rPr>
        <w:t xml:space="preserve">    device: torch.device | None = None,</w:t>
      </w:r>
    </w:p>
    <w:p>
      <w:pPr>
        <w:pStyle w:val="CodeListing"/>
      </w:pPr>
      <w:r>
        <w:rPr>
          <w:rFonts w:ascii="Courier New" w:hAnsi="Courier New" w:cs="Courier New" w:eastAsia="Courier New"/>
          <w:sz w:val="16"/>
        </w:rPr>
        <w:t xml:space="preserve">    verbose: bool = False,</w:t>
      </w:r>
    </w:p>
    <w:p>
      <w:pPr>
        <w:pStyle w:val="CodeListing"/>
      </w:pPr>
      <w:r>
        <w:rPr>
          <w:rFonts w:ascii="Courier New" w:hAnsi="Courier New" w:cs="Courier New" w:eastAsia="Courier New"/>
          <w:sz w:val="16"/>
        </w:rPr>
        <w:t>) -&gt; dict:</w:t>
      </w:r>
    </w:p>
    <w:p>
      <w:pPr>
        <w:pStyle w:val="CodeListing"/>
      </w:pPr>
      <w:r>
        <w:rPr>
          <w:rFonts w:ascii="Courier New" w:hAnsi="Courier New" w:cs="Courier New" w:eastAsia="Courier New"/>
          <w:sz w:val="16"/>
        </w:rPr>
        <w:t xml:space="preserve">    """Runs the multi-task training loop. Returns per-epoch history."""</w:t>
      </w:r>
    </w:p>
    <w:p>
      <w:pPr>
        <w:pStyle w:val="CodeListing"/>
      </w:pPr>
      <w:r>
        <w:rPr>
          <w:rFonts w:ascii="Courier New" w:hAnsi="Courier New" w:cs="Courier New" w:eastAsia="Courier New"/>
          <w:sz w:val="16"/>
        </w:rPr>
        <w:t xml:space="preserve">    device = device or torch.device("cpu")</w:t>
      </w:r>
    </w:p>
    <w:p>
      <w:pPr>
        <w:pStyle w:val="CodeListing"/>
      </w:pPr>
      <w:r>
        <w:rPr>
          <w:rFonts w:ascii="Courier New" w:hAnsi="Courier New" w:cs="Courier New" w:eastAsia="Courier New"/>
          <w:sz w:val="16"/>
        </w:rPr>
        <w:t xml:space="preserve">    model.to(device)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train_loader = DataLoader(train_dataset, batch_size=cfg.train.batch_size, shuffle=True)</w:t>
      </w:r>
    </w:p>
    <w:p>
      <w:pPr>
        <w:pStyle w:val="CodeListing"/>
      </w:pPr>
      <w:r>
        <w:rPr>
          <w:rFonts w:ascii="Courier New" w:hAnsi="Courier New" w:cs="Courier New" w:eastAsia="Courier New"/>
          <w:sz w:val="16"/>
        </w:rPr>
        <w:t xml:space="preserve">    val_loader = (</w:t>
      </w:r>
    </w:p>
    <w:p>
      <w:pPr>
        <w:pStyle w:val="CodeListing"/>
      </w:pPr>
      <w:r>
        <w:rPr>
          <w:rFonts w:ascii="Courier New" w:hAnsi="Courier New" w:cs="Courier New" w:eastAsia="Courier New"/>
          <w:sz w:val="16"/>
        </w:rPr>
        <w:t xml:space="preserve">        DataLoader(val_dataset, batch_size=cfg.train.batch_size, shuffle=False)</w:t>
      </w:r>
    </w:p>
    <w:p>
      <w:pPr>
        <w:pStyle w:val="CodeListing"/>
      </w:pPr>
      <w:r>
        <w:rPr>
          <w:rFonts w:ascii="Courier New" w:hAnsi="Courier New" w:cs="Courier New" w:eastAsia="Courier New"/>
          <w:sz w:val="16"/>
        </w:rPr>
        <w:t xml:space="preserve">        if val_dataset is not None and len(val_dataset) &gt; 0</w:t>
      </w:r>
    </w:p>
    <w:p>
      <w:pPr>
        <w:pStyle w:val="CodeListing"/>
      </w:pPr>
      <w:r>
        <w:rPr>
          <w:rFonts w:ascii="Courier New" w:hAnsi="Courier New" w:cs="Courier New" w:eastAsia="Courier New"/>
          <w:sz w:val="16"/>
        </w:rPr>
        <w:t xml:space="preserve">        else None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optimizer = torch.optim.Adam(</w:t>
      </w:r>
    </w:p>
    <w:p>
      <w:pPr>
        <w:pStyle w:val="CodeListing"/>
      </w:pPr>
      <w:r>
        <w:rPr>
          <w:rFonts w:ascii="Courier New" w:hAnsi="Courier New" w:cs="Courier New" w:eastAsia="Courier New"/>
          <w:sz w:val="16"/>
        </w:rPr>
        <w:t xml:space="preserve">        model.parameters(), lr=cfg.train.lr, weight_decay=cfg.train.weight_decay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history = {"train_loss": [], "val_loss": [], "val_accuracy": []}</w:t>
      </w:r>
    </w:p>
    <w:p>
      <w:pPr>
        <w:pStyle w:val="CodeListing"/>
      </w:pPr>
      <w:r>
        <w:rPr>
          <w:rFonts w:ascii="Courier New" w:hAnsi="Courier New" w:cs="Courier New" w:eastAsia="Courier New"/>
          <w:sz w:val="16"/>
        </w:rPr>
        <w:t xml:space="preserve">    for epoch in range(cfg.train.epochs):</w:t>
      </w:r>
    </w:p>
    <w:p>
      <w:pPr>
        <w:pStyle w:val="CodeListing"/>
      </w:pPr>
      <w:r>
        <w:rPr>
          <w:rFonts w:ascii="Courier New" w:hAnsi="Courier New" w:cs="Courier New" w:eastAsia="Courier New"/>
          <w:sz w:val="16"/>
        </w:rPr>
        <w:t xml:space="preserve">        model.train()</w:t>
      </w:r>
    </w:p>
    <w:p>
      <w:pPr>
        <w:pStyle w:val="CodeListing"/>
      </w:pPr>
      <w:r>
        <w:rPr>
          <w:rFonts w:ascii="Courier New" w:hAnsi="Courier New" w:cs="Courier New" w:eastAsia="Courier New"/>
          <w:sz w:val="16"/>
        </w:rPr>
        <w:t xml:space="preserve">        epoch_loss, n_samples = 0.0, 0</w:t>
      </w:r>
    </w:p>
    <w:p>
      <w:pPr>
        <w:pStyle w:val="CodeListing"/>
      </w:pPr>
      <w:r>
        <w:rPr>
          <w:rFonts w:ascii="Courier New" w:hAnsi="Courier New" w:cs="Courier New" w:eastAsia="Courier New"/>
          <w:sz w:val="16"/>
        </w:rPr>
        <w:t xml:space="preserve">        for batch in train_loader:</w:t>
      </w:r>
    </w:p>
    <w:p>
      <w:pPr>
        <w:pStyle w:val="CodeListing"/>
      </w:pPr>
      <w:r>
        <w:rPr>
          <w:rFonts w:ascii="Courier New" w:hAnsi="Courier New" w:cs="Courier New" w:eastAsia="Courier New"/>
          <w:sz w:val="16"/>
        </w:rPr>
        <w:t xml:space="preserve">            mri = batch["mri"].to(device)</w:t>
      </w:r>
    </w:p>
    <w:p>
      <w:pPr>
        <w:pStyle w:val="CodeListing"/>
      </w:pPr>
      <w:r>
        <w:rPr>
          <w:rFonts w:ascii="Courier New" w:hAnsi="Courier New" w:cs="Courier New" w:eastAsia="Courier New"/>
          <w:sz w:val="16"/>
        </w:rPr>
        <w:t xml:space="preserve">            vep = batch["vep"].to(device)</w:t>
      </w:r>
    </w:p>
    <w:p>
      <w:pPr>
        <w:pStyle w:val="CodeListing"/>
      </w:pPr>
      <w:r>
        <w:rPr>
          <w:rFonts w:ascii="Courier New" w:hAnsi="Courier New" w:cs="Courier New" w:eastAsia="Courier New"/>
          <w:sz w:val="16"/>
        </w:rPr>
        <w:t xml:space="preserve">            labels = batch["label"].to(device)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optimizer.zero_grad()</w:t>
      </w:r>
    </w:p>
    <w:p>
      <w:pPr>
        <w:pStyle w:val="CodeListing"/>
      </w:pPr>
      <w:r>
        <w:rPr>
          <w:rFonts w:ascii="Courier New" w:hAnsi="Courier New" w:cs="Courier New" w:eastAsia="Courier New"/>
          <w:sz w:val="16"/>
        </w:rPr>
        <w:t xml:space="preserve">            outputs = model(mri, vep)</w:t>
      </w:r>
    </w:p>
    <w:p>
      <w:pPr>
        <w:pStyle w:val="CodeListing"/>
      </w:pPr>
      <w:r>
        <w:rPr>
          <w:rFonts w:ascii="Courier New" w:hAnsi="Courier New" w:cs="Courier New" w:eastAsia="Courier New"/>
          <w:sz w:val="16"/>
        </w:rPr>
        <w:t xml:space="preserve">            loss, _ = model.multi_task_loss(outputs, labels, aux_weight=cfg.train.aux_loss_weight)</w:t>
      </w:r>
    </w:p>
    <w:p>
      <w:pPr>
        <w:pStyle w:val="CodeListing"/>
      </w:pPr>
      <w:r>
        <w:rPr>
          <w:rFonts w:ascii="Courier New" w:hAnsi="Courier New" w:cs="Courier New" w:eastAsia="Courier New"/>
          <w:sz w:val="16"/>
        </w:rPr>
        <w:t xml:space="preserve">            loss.backward()</w:t>
      </w:r>
    </w:p>
    <w:p>
      <w:pPr>
        <w:pStyle w:val="CodeListing"/>
      </w:pPr>
      <w:r>
        <w:rPr>
          <w:rFonts w:ascii="Courier New" w:hAnsi="Courier New" w:cs="Courier New" w:eastAsia="Courier New"/>
          <w:sz w:val="16"/>
        </w:rPr>
        <w:t xml:space="preserve">            optimizer.step()</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epoch_loss += loss.item() * labels.size(0)</w:t>
      </w:r>
    </w:p>
    <w:p>
      <w:pPr>
        <w:pStyle w:val="CodeListing"/>
      </w:pPr>
      <w:r>
        <w:rPr>
          <w:rFonts w:ascii="Courier New" w:hAnsi="Courier New" w:cs="Courier New" w:eastAsia="Courier New"/>
          <w:sz w:val="16"/>
        </w:rPr>
        <w:t xml:space="preserve">            n_samples += labels.size(0)</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train_loss = epoch_loss / max(n_samples, 1)</w:t>
      </w:r>
    </w:p>
    <w:p>
      <w:pPr>
        <w:pStyle w:val="CodeListing"/>
      </w:pPr>
      <w:r>
        <w:rPr>
          <w:rFonts w:ascii="Courier New" w:hAnsi="Courier New" w:cs="Courier New" w:eastAsia="Courier New"/>
          <w:sz w:val="16"/>
        </w:rPr>
        <w:t xml:space="preserve">        history["train_loss"].append(train_loss)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val_loader is not None:</w:t>
      </w:r>
    </w:p>
    <w:p>
      <w:pPr>
        <w:pStyle w:val="CodeListing"/>
      </w:pPr>
      <w:r>
        <w:rPr>
          <w:rFonts w:ascii="Courier New" w:hAnsi="Courier New" w:cs="Courier New" w:eastAsia="Courier New"/>
          <w:sz w:val="16"/>
        </w:rPr>
        <w:t xml:space="preserve">            metrics = evaluate(model, val_loader, device)</w:t>
      </w:r>
    </w:p>
    <w:p>
      <w:pPr>
        <w:pStyle w:val="CodeListing"/>
      </w:pPr>
      <w:r>
        <w:rPr>
          <w:rFonts w:ascii="Courier New" w:hAnsi="Courier New" w:cs="Courier New" w:eastAsia="Courier New"/>
          <w:sz w:val="16"/>
        </w:rPr>
        <w:t xml:space="preserve">            history["val_loss"].append(metrics["loss"])</w:t>
      </w:r>
    </w:p>
    <w:p>
      <w:pPr>
        <w:pStyle w:val="CodeListing"/>
      </w:pPr>
      <w:r>
        <w:rPr>
          <w:rFonts w:ascii="Courier New" w:hAnsi="Courier New" w:cs="Courier New" w:eastAsia="Courier New"/>
          <w:sz w:val="16"/>
        </w:rPr>
        <w:t xml:space="preserve">            history["val_accuracy"].append(metrics["accuracy"])</w:t>
      </w:r>
    </w:p>
    <w:p>
      <w:pPr>
        <w:pStyle w:val="CodeListing"/>
      </w:pPr>
      <w:r>
        <w:rPr>
          <w:rFonts w:ascii="Courier New" w:hAnsi="Courier New" w:cs="Courier New" w:eastAsia="Courier New"/>
          <w:sz w:val="16"/>
        </w:rPr>
        <w:t xml:space="preserve">            if verbose:</w:t>
      </w:r>
    </w:p>
    <w:p>
      <w:pPr>
        <w:pStyle w:val="CodeListing"/>
      </w:pPr>
      <w:r>
        <w:rPr>
          <w:rFonts w:ascii="Courier New" w:hAnsi="Courier New" w:cs="Courier New" w:eastAsia="Courier New"/>
          <w:sz w:val="16"/>
        </w:rPr>
        <w:t xml:space="preserve">                print(</w:t>
      </w:r>
    </w:p>
    <w:p>
      <w:pPr>
        <w:pStyle w:val="CodeListing"/>
      </w:pPr>
      <w:r>
        <w:rPr>
          <w:rFonts w:ascii="Courier New" w:hAnsi="Courier New" w:cs="Courier New" w:eastAsia="Courier New"/>
          <w:sz w:val="16"/>
        </w:rPr>
        <w:t xml:space="preserve">                    f"epoch {epoch + 1}/{cfg.train.epochs} "</w:t>
      </w:r>
    </w:p>
    <w:p>
      <w:pPr>
        <w:pStyle w:val="CodeListing"/>
      </w:pPr>
      <w:r>
        <w:rPr>
          <w:rFonts w:ascii="Courier New" w:hAnsi="Courier New" w:cs="Courier New" w:eastAsia="Courier New"/>
          <w:sz w:val="16"/>
        </w:rPr>
        <w:t xml:space="preserve">                    f"train_loss={train_loss:.4f} val_loss={metrics['loss']:.4f} "</w:t>
      </w:r>
    </w:p>
    <w:p>
      <w:pPr>
        <w:pStyle w:val="CodeListing"/>
      </w:pPr>
      <w:r>
        <w:rPr>
          <w:rFonts w:ascii="Courier New" w:hAnsi="Courier New" w:cs="Courier New" w:eastAsia="Courier New"/>
          <w:sz w:val="16"/>
        </w:rPr>
        <w:t xml:space="preserve">                    f"val_acc={metrics['accuracy']:.4f}"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elif verbose:</w:t>
      </w:r>
    </w:p>
    <w:p>
      <w:pPr>
        <w:pStyle w:val="CodeListing"/>
      </w:pPr>
      <w:r>
        <w:rPr>
          <w:rFonts w:ascii="Courier New" w:hAnsi="Courier New" w:cs="Courier New" w:eastAsia="Courier New"/>
          <w:sz w:val="16"/>
        </w:rPr>
        <w:t xml:space="preserve">            print(f"epoch {epoch + 1}/{cfg.train.epochs} train_loss={train_loss:.4f}")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history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save_checkpoint(model: CAFN, path: str, cfg: Config = DEFAULT_CONFIG) -&gt; None:</w:t>
      </w:r>
    </w:p>
    <w:p>
      <w:pPr>
        <w:pStyle w:val="CodeListing"/>
      </w:pPr>
      <w:r>
        <w:rPr>
          <w:rFonts w:ascii="Courier New" w:hAnsi="Courier New" w:cs="Courier New" w:eastAsia="Courier New"/>
          <w:sz w:val="16"/>
        </w:rPr>
        <w:t xml:space="preserve">    os.makedirs(os.path.dirname(path) or ".", exist_ok=True)</w:t>
      </w:r>
    </w:p>
    <w:p>
      <w:pPr>
        <w:pStyle w:val="CodeListing"/>
      </w:pPr>
      <w:r>
        <w:rPr>
          <w:rFonts w:ascii="Courier New" w:hAnsi="Courier New" w:cs="Courier New" w:eastAsia="Courier New"/>
          <w:sz w:val="16"/>
        </w:rPr>
        <w:t xml:space="preserve">    torch.save({"model_state_dict": model.state_dict(), "model_config": cfg.model}, path)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load_checkpoint(path: str, cfg: Config = DEFAULT_CONFIG) -&gt; CAFN:</w:t>
      </w:r>
    </w:p>
    <w:p>
      <w:pPr>
        <w:pStyle w:val="CodeListing"/>
      </w:pPr>
      <w:r>
        <w:rPr>
          <w:rFonts w:ascii="Courier New" w:hAnsi="Courier New" w:cs="Courier New" w:eastAsia="Courier New"/>
          <w:sz w:val="16"/>
        </w:rPr>
        <w:t xml:space="preserve">    checkpoint = torch.load(path, map_location="cpu", weights_only=False)</w:t>
      </w:r>
    </w:p>
    <w:p>
      <w:pPr>
        <w:pStyle w:val="CodeListing"/>
      </w:pPr>
      <w:r>
        <w:rPr>
          <w:rFonts w:ascii="Courier New" w:hAnsi="Courier New" w:cs="Courier New" w:eastAsia="Courier New"/>
          <w:sz w:val="16"/>
        </w:rPr>
        <w:t xml:space="preserve">    model = CAFN(checkpoint.get("model_config", cfg.model))</w:t>
      </w:r>
    </w:p>
    <w:p>
      <w:pPr>
        <w:pStyle w:val="CodeListing"/>
      </w:pPr>
      <w:r>
        <w:rPr>
          <w:rFonts w:ascii="Courier New" w:hAnsi="Courier New" w:cs="Courier New" w:eastAsia="Courier New"/>
          <w:sz w:val="16"/>
        </w:rPr>
        <w:t xml:space="preserve">    model.load_state_dict(checkpoint["model_state_dict"])</w:t>
      </w:r>
    </w:p>
    <w:p>
      <w:pPr>
        <w:pStyle w:val="CodeListing"/>
      </w:pPr>
      <w:r>
        <w:rPr>
          <w:rFonts w:ascii="Courier New" w:hAnsi="Courier New" w:cs="Courier New" w:eastAsia="Courier New"/>
          <w:sz w:val="16"/>
        </w:rPr>
        <w:t xml:space="preserve">    return model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main():</w:t>
      </w:r>
    </w:p>
    <w:p>
      <w:pPr>
        <w:pStyle w:val="CodeListing"/>
      </w:pPr>
      <w:r>
        <w:rPr>
          <w:rFonts w:ascii="Courier New" w:hAnsi="Courier New" w:cs="Courier New" w:eastAsia="Courier New"/>
          <w:sz w:val="16"/>
        </w:rPr>
        <w:t xml:space="preserve">    parser = argparse.ArgumentParser(description="Train CAFN on synthetic or manifest data")</w:t>
      </w:r>
    </w:p>
    <w:p>
      <w:pPr>
        <w:pStyle w:val="CodeListing"/>
      </w:pPr>
      <w:r>
        <w:rPr>
          <w:rFonts w:ascii="Courier New" w:hAnsi="Courier New" w:cs="Courier New" w:eastAsia="Courier New"/>
          <w:sz w:val="16"/>
        </w:rPr>
        <w:t xml:space="preserve">    parser.add_argument("--epochs", type=int, default=DEFAULT_CONFIG.train.epochs)</w:t>
      </w:r>
    </w:p>
    <w:p>
      <w:pPr>
        <w:pStyle w:val="CodeListing"/>
      </w:pPr>
      <w:r>
        <w:rPr>
          <w:rFonts w:ascii="Courier New" w:hAnsi="Courier New" w:cs="Courier New" w:eastAsia="Courier New"/>
          <w:sz w:val="16"/>
        </w:rPr>
        <w:t xml:space="preserve">    parser.add_argument("--batch-size", type=int, default=DEFAULT_CONFIG.train.batch_size)</w:t>
      </w:r>
    </w:p>
    <w:p>
      <w:pPr>
        <w:pStyle w:val="CodeListing"/>
      </w:pPr>
      <w:r>
        <w:rPr>
          <w:rFonts w:ascii="Courier New" w:hAnsi="Courier New" w:cs="Courier New" w:eastAsia="Courier New"/>
          <w:sz w:val="16"/>
        </w:rPr>
        <w:t xml:space="preserve">    parser.add_argument("--lr", type=float, default=DEFAULT_CONFIG.train.lr)</w:t>
      </w:r>
    </w:p>
    <w:p>
      <w:pPr>
        <w:pStyle w:val="CodeListing"/>
      </w:pPr>
      <w:r>
        <w:rPr>
          <w:rFonts w:ascii="Courier New" w:hAnsi="Courier New" w:cs="Courier New" w:eastAsia="Courier New"/>
          <w:sz w:val="16"/>
        </w:rPr>
        <w:t xml:space="preserve">    parser.add_argument("--synthetic-samples", type=int, default=64)</w:t>
      </w:r>
    </w:p>
    <w:p>
      <w:pPr>
        <w:pStyle w:val="CodeListing"/>
      </w:pPr>
      <w:r>
        <w:rPr>
          <w:rFonts w:ascii="Courier New" w:hAnsi="Courier New" w:cs="Courier New" w:eastAsia="Courier New"/>
          <w:sz w:val="16"/>
        </w:rPr>
        <w:t xml:space="preserve">    parser.add_argument("--checkpoint-name", type=str, default="cafn.pt")</w:t>
      </w:r>
    </w:p>
    <w:p>
      <w:pPr>
        <w:pStyle w:val="CodeListing"/>
      </w:pPr>
      <w:r>
        <w:rPr>
          <w:rFonts w:ascii="Courier New" w:hAnsi="Courier New" w:cs="Courier New" w:eastAsia="Courier New"/>
          <w:sz w:val="16"/>
        </w:rPr>
        <w:t xml:space="preserve">    parser.add_argument("--seed", type=int, default=DEFAULT_CONFIG.train.seed)</w:t>
      </w:r>
    </w:p>
    <w:p>
      <w:pPr>
        <w:pStyle w:val="CodeListing"/>
      </w:pPr>
      <w:r>
        <w:rPr>
          <w:rFonts w:ascii="Courier New" w:hAnsi="Courier New" w:cs="Courier New" w:eastAsia="Courier New"/>
          <w:sz w:val="16"/>
        </w:rPr>
        <w:t xml:space="preserve">    args = parser.parse_args()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torch.manual_seed(args.seed)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cfg = Config(</w:t>
      </w:r>
    </w:p>
    <w:p>
      <w:pPr>
        <w:pStyle w:val="CodeListing"/>
      </w:pPr>
      <w:r>
        <w:rPr>
          <w:rFonts w:ascii="Courier New" w:hAnsi="Courier New" w:cs="Courier New" w:eastAsia="Courier New"/>
          <w:sz w:val="16"/>
        </w:rPr>
        <w:t xml:space="preserve">        train=DEFAULT_CONFIG.train.__class__(</w:t>
      </w:r>
    </w:p>
    <w:p>
      <w:pPr>
        <w:pStyle w:val="CodeListing"/>
      </w:pPr>
      <w:r>
        <w:rPr>
          <w:rFonts w:ascii="Courier New" w:hAnsi="Courier New" w:cs="Courier New" w:eastAsia="Courier New"/>
          <w:sz w:val="16"/>
        </w:rPr>
        <w:t xml:space="preserve">            batch_size=args.batch_size,</w:t>
      </w:r>
    </w:p>
    <w:p>
      <w:pPr>
        <w:pStyle w:val="CodeListing"/>
      </w:pPr>
      <w:r>
        <w:rPr>
          <w:rFonts w:ascii="Courier New" w:hAnsi="Courier New" w:cs="Courier New" w:eastAsia="Courier New"/>
          <w:sz w:val="16"/>
        </w:rPr>
        <w:t xml:space="preserve">            epochs=args.epochs,</w:t>
      </w:r>
    </w:p>
    <w:p>
      <w:pPr>
        <w:pStyle w:val="CodeListing"/>
      </w:pPr>
      <w:r>
        <w:rPr>
          <w:rFonts w:ascii="Courier New" w:hAnsi="Courier New" w:cs="Courier New" w:eastAsia="Courier New"/>
          <w:sz w:val="16"/>
        </w:rPr>
        <w:t xml:space="preserve">            lr=args.lr,</w:t>
      </w:r>
    </w:p>
    <w:p>
      <w:pPr>
        <w:pStyle w:val="CodeListing"/>
      </w:pPr>
      <w:r>
        <w:rPr>
          <w:rFonts w:ascii="Courier New" w:hAnsi="Courier New" w:cs="Courier New" w:eastAsia="Courier New"/>
          <w:sz w:val="16"/>
        </w:rPr>
        <w:t xml:space="preserve">            weight_decay=DEFAULT_CONFIG.train.weight_decay,</w:t>
      </w:r>
    </w:p>
    <w:p>
      <w:pPr>
        <w:pStyle w:val="CodeListing"/>
      </w:pPr>
      <w:r>
        <w:rPr>
          <w:rFonts w:ascii="Courier New" w:hAnsi="Courier New" w:cs="Courier New" w:eastAsia="Courier New"/>
          <w:sz w:val="16"/>
        </w:rPr>
        <w:t xml:space="preserve">            aux_loss_weight=DEFAULT_CONFIG.train.aux_loss_weight,</w:t>
      </w:r>
    </w:p>
    <w:p>
      <w:pPr>
        <w:pStyle w:val="CodeListing"/>
      </w:pPr>
      <w:r>
        <w:rPr>
          <w:rFonts w:ascii="Courier New" w:hAnsi="Courier New" w:cs="Courier New" w:eastAsia="Courier New"/>
          <w:sz w:val="16"/>
        </w:rPr>
        <w:t xml:space="preserve">            val_split=DEFAULT_CONFIG.train.val_split,</w:t>
      </w:r>
    </w:p>
    <w:p>
      <w:pPr>
        <w:pStyle w:val="CodeListing"/>
      </w:pPr>
      <w:r>
        <w:rPr>
          <w:rFonts w:ascii="Courier New" w:hAnsi="Courier New" w:cs="Courier New" w:eastAsia="Courier New"/>
          <w:sz w:val="16"/>
        </w:rPr>
        <w:t xml:space="preserve">            seed=args.seed,</w:t>
      </w:r>
    </w:p>
    <w:p>
      <w:pPr>
        <w:pStyle w:val="CodeListing"/>
      </w:pPr>
      <w:r>
        <w:rPr>
          <w:rFonts w:ascii="Courier New" w:hAnsi="Courier New" w:cs="Courier New" w:eastAsia="Courier New"/>
          <w:sz w:val="16"/>
        </w:rPr>
        <w:t xml:space="preserve">            checkpoint_dir=DEFAULT_CONFIG.train.checkpoint_dir,</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dataset = SyntheticNeuroDataset(num_samples=args.synthetic_samples, cfg=cfg, seed=args.seed)</w:t>
      </w:r>
    </w:p>
    <w:p>
      <w:pPr>
        <w:pStyle w:val="CodeListing"/>
      </w:pPr>
      <w:r>
        <w:rPr>
          <w:rFonts w:ascii="Courier New" w:hAnsi="Courier New" w:cs="Courier New" w:eastAsia="Courier New"/>
          <w:sz w:val="16"/>
        </w:rPr>
        <w:t xml:space="preserve">    train_ds, val_ds = train_val_split(dataset, cfg.train.val_split, cfg.train.seed)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model = CAFN(cfg.model)</w:t>
      </w:r>
    </w:p>
    <w:p>
      <w:pPr>
        <w:pStyle w:val="CodeListing"/>
      </w:pPr>
      <w:r>
        <w:rPr>
          <w:rFonts w:ascii="Courier New" w:hAnsi="Courier New" w:cs="Courier New" w:eastAsia="Courier New"/>
          <w:sz w:val="16"/>
        </w:rPr>
        <w:t xml:space="preserve">    history = train_model(model, train_ds, val_ds, cfg=cfg, verbose=True)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checkpoint_path = os.path.join(cfg.train.checkpoint_dir, args.checkpoint_name)</w:t>
      </w:r>
    </w:p>
    <w:p>
      <w:pPr>
        <w:pStyle w:val="CodeListing"/>
      </w:pPr>
      <w:r>
        <w:rPr>
          <w:rFonts w:ascii="Courier New" w:hAnsi="Courier New" w:cs="Courier New" w:eastAsia="Courier New"/>
          <w:sz w:val="16"/>
        </w:rPr>
        <w:t xml:space="preserve">    save_checkpoint(model, checkpoint_path, cfg)</w:t>
      </w:r>
    </w:p>
    <w:p>
      <w:pPr>
        <w:pStyle w:val="CodeListing"/>
      </w:pPr>
      <w:r>
        <w:rPr>
          <w:rFonts w:ascii="Courier New" w:hAnsi="Courier New" w:cs="Courier New" w:eastAsia="Courier New"/>
          <w:sz w:val="16"/>
        </w:rPr>
        <w:t xml:space="preserve">    print(f"Saved checkpoint to {checkpoint_path}")</w:t>
      </w:r>
    </w:p>
    <w:p>
      <w:pPr>
        <w:pStyle w:val="CodeListing"/>
      </w:pPr>
      <w:r>
        <w:rPr>
          <w:rFonts w:ascii="Courier New" w:hAnsi="Courier New" w:cs="Courier New" w:eastAsia="Courier New"/>
          <w:sz w:val="16"/>
        </w:rPr>
        <w:t xml:space="preserve">    print(f"Final train loss: {history['train_loss'][-1]:.4f}")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if __name__ == "__main__":</w:t>
      </w:r>
    </w:p>
    <w:p>
      <w:pPr>
        <w:pStyle w:val="CodeListing"/>
      </w:pPr>
      <w:r>
        <w:rPr>
          <w:rFonts w:ascii="Courier New" w:hAnsi="Courier New" w:cs="Courier New" w:eastAsia="Courier New"/>
          <w:sz w:val="16"/>
        </w:rPr>
        <w:t xml:space="preserve">    main()</w:t>
      </w:r>
    </w:p>
    <w:p>
      <w:pPr>
        <w:keepNext/>
        <w:spacing w:before="160" w:after="60" w:line="240" w:lineRule="auto"/>
        <w:jc w:val="left"/>
      </w:pPr>
      <w:r>
        <w:rPr>
          <w:rFonts w:ascii="Times New Roman" w:hAnsi="Times New Roman" w:cs="Times New Roman" w:eastAsia="Times New Roman"/>
          <w:b/>
          <w:sz w:val="22"/>
        </w:rPr>
        <w:t>Listing A2.11: src/explainability/grad_cam_3d.py</w:t>
      </w:r>
    </w:p>
    <w:p>
      <w:pPr>
        <w:pStyle w:val="CodeListing"/>
      </w:pPr>
      <w:r>
        <w:rPr>
          <w:rFonts w:ascii="Courier New" w:hAnsi="Courier New" w:cs="Courier New" w:eastAsia="Courier New"/>
          <w:sz w:val="16"/>
        </w:rPr>
        <w:t>"""Grad-CAM for the 3D spatial stream of CAFN.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Backprop starts from the *fused* classification logit by default, so the</w:t>
      </w:r>
    </w:p>
    <w:p>
      <w:pPr>
        <w:pStyle w:val="CodeListing"/>
      </w:pPr>
      <w:r>
        <w:rPr>
          <w:rFonts w:ascii="Courier New" w:hAnsi="Courier New" w:cs="Courier New" w:eastAsia="Courier New"/>
          <w:sz w:val="16"/>
        </w:rPr>
        <w:t>resulting activation map reflects which anatomical zones drove the</w:t>
      </w:r>
    </w:p>
    <w:p>
      <w:pPr>
        <w:pStyle w:val="CodeListing"/>
      </w:pPr>
      <w:r>
        <w:rPr>
          <w:rFonts w:ascii="Courier New" w:hAnsi="Courier New" w:cs="Courier New" w:eastAsia="Courier New"/>
          <w:sz w:val="16"/>
        </w:rPr>
        <w:t>multimodal decision (not just the unimodal spatial head) -- gradients flow</w:t>
      </w:r>
    </w:p>
    <w:p>
      <w:pPr>
        <w:pStyle w:val="CodeListing"/>
      </w:pPr>
      <w:r>
        <w:rPr>
          <w:rFonts w:ascii="Courier New" w:hAnsi="Courier New" w:cs="Courier New" w:eastAsia="Courier New"/>
          <w:sz w:val="16"/>
        </w:rPr>
        <w:t>from `logits_fused` back through the cross-attention fusion module into the</w:t>
      </w:r>
    </w:p>
    <w:p>
      <w:pPr>
        <w:pStyle w:val="CodeListing"/>
      </w:pPr>
      <w:r>
        <w:rPr>
          <w:rFonts w:ascii="Courier New" w:hAnsi="Courier New" w:cs="Courier New" w:eastAsia="Courier New"/>
          <w:sz w:val="16"/>
        </w:rPr>
        <w:t>spatial encoder's last residual block.</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matplotlib</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matplotlib.use("Agg")</w:t>
      </w:r>
    </w:p>
    <w:p>
      <w:pPr>
        <w:pStyle w:val="CodeListing"/>
      </w:pPr>
      <w:r>
        <w:rPr>
          <w:rFonts w:ascii="Courier New" w:hAnsi="Courier New" w:cs="Courier New" w:eastAsia="Courier New"/>
          <w:sz w:val="16"/>
        </w:rPr>
        <w:t>import matplotlib.pyplot as plt</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import torch.nn as nn</w:t>
      </w:r>
    </w:p>
    <w:p>
      <w:pPr>
        <w:pStyle w:val="CodeListing"/>
      </w:pPr>
      <w:r>
        <w:rPr>
          <w:rFonts w:ascii="Courier New" w:hAnsi="Courier New" w:cs="Courier New" w:eastAsia="Courier New"/>
          <w:sz w:val="16"/>
        </w:rPr>
        <w:t>import torch.nn.functional as F</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class GradCAM3D:</w:t>
      </w:r>
    </w:p>
    <w:p>
      <w:pPr>
        <w:pStyle w:val="CodeListing"/>
      </w:pPr>
      <w:r>
        <w:rPr>
          <w:rFonts w:ascii="Courier New" w:hAnsi="Courier New" w:cs="Courier New" w:eastAsia="Courier New"/>
          <w:sz w:val="16"/>
        </w:rPr>
        <w:t xml:space="preserve">    def __init__(self, model: nn.Module, target_layer: nn.Module | None = None):</w:t>
      </w:r>
    </w:p>
    <w:p>
      <w:pPr>
        <w:pStyle w:val="CodeListing"/>
      </w:pPr>
      <w:r>
        <w:rPr>
          <w:rFonts w:ascii="Courier New" w:hAnsi="Courier New" w:cs="Courier New" w:eastAsia="Courier New"/>
          <w:sz w:val="16"/>
        </w:rPr>
        <w:t xml:space="preserve">        self.model = model</w:t>
      </w:r>
    </w:p>
    <w:p>
      <w:pPr>
        <w:pStyle w:val="CodeListing"/>
      </w:pPr>
      <w:r>
        <w:rPr>
          <w:rFonts w:ascii="Courier New" w:hAnsi="Courier New" w:cs="Courier New" w:eastAsia="Courier New"/>
          <w:sz w:val="16"/>
        </w:rPr>
        <w:t xml:space="preserve">        self.target_layer = target_layer or model.spatial_encoder.last_conv</w:t>
      </w:r>
    </w:p>
    <w:p>
      <w:pPr>
        <w:pStyle w:val="CodeListing"/>
      </w:pPr>
      <w:r>
        <w:rPr>
          <w:rFonts w:ascii="Courier New" w:hAnsi="Courier New" w:cs="Courier New" w:eastAsia="Courier New"/>
          <w:sz w:val="16"/>
        </w:rPr>
        <w:t xml:space="preserve">        self._activations = None</w:t>
      </w:r>
    </w:p>
    <w:p>
      <w:pPr>
        <w:pStyle w:val="CodeListing"/>
      </w:pPr>
      <w:r>
        <w:rPr>
          <w:rFonts w:ascii="Courier New" w:hAnsi="Courier New" w:cs="Courier New" w:eastAsia="Courier New"/>
          <w:sz w:val="16"/>
        </w:rPr>
        <w:t xml:space="preserve">        self._gradients = None</w:t>
      </w:r>
    </w:p>
    <w:p>
      <w:pPr>
        <w:pStyle w:val="CodeListing"/>
      </w:pPr>
      <w:r>
        <w:rPr>
          <w:rFonts w:ascii="Courier New" w:hAnsi="Courier New" w:cs="Courier New" w:eastAsia="Courier New"/>
          <w:sz w:val="16"/>
        </w:rPr>
        <w:t xml:space="preserve">        self._fwd_handle = self.target_layer.register_forward_hook(self._save_activation)</w:t>
      </w:r>
    </w:p>
    <w:p>
      <w:pPr>
        <w:pStyle w:val="CodeListing"/>
      </w:pPr>
      <w:r>
        <w:rPr>
          <w:rFonts w:ascii="Courier New" w:hAnsi="Courier New" w:cs="Courier New" w:eastAsia="Courier New"/>
          <w:sz w:val="16"/>
        </w:rPr>
        <w:t xml:space="preserve">        self._bwd_handle = self.target_layer.register_full_backward_hook(self._save_gradient)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_save_activation(self, module, inp, out):</w:t>
      </w:r>
    </w:p>
    <w:p>
      <w:pPr>
        <w:pStyle w:val="CodeListing"/>
      </w:pPr>
      <w:r>
        <w:rPr>
          <w:rFonts w:ascii="Courier New" w:hAnsi="Courier New" w:cs="Courier New" w:eastAsia="Courier New"/>
          <w:sz w:val="16"/>
        </w:rPr>
        <w:t xml:space="preserve">        self._activations = out.detach()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_save_gradient(self, module, grad_input, grad_output):</w:t>
      </w:r>
    </w:p>
    <w:p>
      <w:pPr>
        <w:pStyle w:val="CodeListing"/>
      </w:pPr>
      <w:r>
        <w:rPr>
          <w:rFonts w:ascii="Courier New" w:hAnsi="Courier New" w:cs="Courier New" w:eastAsia="Courier New"/>
          <w:sz w:val="16"/>
        </w:rPr>
        <w:t xml:space="preserve">        self._gradients = grad_output[0].detach()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remove_hooks(self) -&gt; None:</w:t>
      </w:r>
    </w:p>
    <w:p>
      <w:pPr>
        <w:pStyle w:val="CodeListing"/>
      </w:pPr>
      <w:r>
        <w:rPr>
          <w:rFonts w:ascii="Courier New" w:hAnsi="Courier New" w:cs="Courier New" w:eastAsia="Courier New"/>
          <w:sz w:val="16"/>
        </w:rPr>
        <w:t xml:space="preserve">        self._fwd_handle.remove()</w:t>
      </w:r>
    </w:p>
    <w:p>
      <w:pPr>
        <w:pStyle w:val="CodeListing"/>
      </w:pPr>
      <w:r>
        <w:rPr>
          <w:rFonts w:ascii="Courier New" w:hAnsi="Courier New" w:cs="Courier New" w:eastAsia="Courier New"/>
          <w:sz w:val="16"/>
        </w:rPr>
        <w:t xml:space="preserve">        self._bwd_handle.remove()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def generate(</w:t>
      </w:r>
    </w:p>
    <w:p>
      <w:pPr>
        <w:pStyle w:val="CodeListing"/>
      </w:pPr>
      <w:r>
        <w:rPr>
          <w:rFonts w:ascii="Courier New" w:hAnsi="Courier New" w:cs="Courier New" w:eastAsia="Courier New"/>
          <w:sz w:val="16"/>
        </w:rPr>
        <w:t xml:space="preserve">        self,</w:t>
      </w:r>
    </w:p>
    <w:p>
      <w:pPr>
        <w:pStyle w:val="CodeListing"/>
      </w:pPr>
      <w:r>
        <w:rPr>
          <w:rFonts w:ascii="Courier New" w:hAnsi="Courier New" w:cs="Courier New" w:eastAsia="Courier New"/>
          <w:sz w:val="16"/>
        </w:rPr>
        <w:t xml:space="preserve">        mri_volume: torch.Tensor,</w:t>
      </w:r>
    </w:p>
    <w:p>
      <w:pPr>
        <w:pStyle w:val="CodeListing"/>
      </w:pPr>
      <w:r>
        <w:rPr>
          <w:rFonts w:ascii="Courier New" w:hAnsi="Courier New" w:cs="Courier New" w:eastAsia="Courier New"/>
          <w:sz w:val="16"/>
        </w:rPr>
        <w:t xml:space="preserve">        vep_signal: torch.Tensor,</w:t>
      </w:r>
    </w:p>
    <w:p>
      <w:pPr>
        <w:pStyle w:val="CodeListing"/>
      </w:pPr>
      <w:r>
        <w:rPr>
          <w:rFonts w:ascii="Courier New" w:hAnsi="Courier New" w:cs="Courier New" w:eastAsia="Courier New"/>
          <w:sz w:val="16"/>
        </w:rPr>
        <w:t xml:space="preserve">        target_class: int | torch.Tensor | None = None,</w:t>
      </w:r>
    </w:p>
    <w:p>
      <w:pPr>
        <w:pStyle w:val="CodeListing"/>
      </w:pPr>
      <w:r>
        <w:rPr>
          <w:rFonts w:ascii="Courier New" w:hAnsi="Courier New" w:cs="Courier New" w:eastAsia="Courier New"/>
          <w:sz w:val="16"/>
        </w:rPr>
        <w:t xml:space="preserve">        logits_key: str = "logits_fused",</w:t>
      </w:r>
    </w:p>
    <w:p>
      <w:pPr>
        <w:pStyle w:val="CodeListing"/>
      </w:pPr>
      <w:r>
        <w:rPr>
          <w:rFonts w:ascii="Courier New" w:hAnsi="Courier New" w:cs="Courier New" w:eastAsia="Courier New"/>
          <w:sz w:val="16"/>
        </w:rPr>
        <w:t xml:space="preserve">    ) -&gt; tuple[torch.Tensor, torch.Tensor]:</w:t>
      </w:r>
    </w:p>
    <w:p>
      <w:pPr>
        <w:pStyle w:val="CodeListing"/>
      </w:pPr>
      <w:r>
        <w:rPr>
          <w:rFonts w:ascii="Courier New" w:hAnsi="Courier New" w:cs="Courier New" w:eastAsia="Courier New"/>
          <w:sz w:val="16"/>
        </w:rPr>
        <w:t xml:space="preserve">        """Returns (cam, target_class): cam is (B, D, H, W) in [0, 1]."""</w:t>
      </w:r>
    </w:p>
    <w:p>
      <w:pPr>
        <w:pStyle w:val="CodeListing"/>
      </w:pPr>
      <w:r>
        <w:rPr>
          <w:rFonts w:ascii="Courier New" w:hAnsi="Courier New" w:cs="Courier New" w:eastAsia="Courier New"/>
          <w:sz w:val="16"/>
        </w:rPr>
        <w:t xml:space="preserve">        was_training = self.model.training</w:t>
      </w:r>
    </w:p>
    <w:p>
      <w:pPr>
        <w:pStyle w:val="CodeListing"/>
      </w:pPr>
      <w:r>
        <w:rPr>
          <w:rFonts w:ascii="Courier New" w:hAnsi="Courier New" w:cs="Courier New" w:eastAsia="Courier New"/>
          <w:sz w:val="16"/>
        </w:rPr>
        <w:t xml:space="preserve">        self.model.eval()</w:t>
      </w:r>
    </w:p>
    <w:p>
      <w:pPr>
        <w:pStyle w:val="CodeListing"/>
      </w:pPr>
      <w:r>
        <w:rPr>
          <w:rFonts w:ascii="Courier New" w:hAnsi="Courier New" w:cs="Courier New" w:eastAsia="Courier New"/>
          <w:sz w:val="16"/>
        </w:rPr>
        <w:t xml:space="preserve">        self.model.zero_grad(set_to_none=True)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outputs = self.model(mri_volume, vep_signal)</w:t>
      </w:r>
    </w:p>
    <w:p>
      <w:pPr>
        <w:pStyle w:val="CodeListing"/>
      </w:pPr>
      <w:r>
        <w:rPr>
          <w:rFonts w:ascii="Courier New" w:hAnsi="Courier New" w:cs="Courier New" w:eastAsia="Courier New"/>
          <w:sz w:val="16"/>
        </w:rPr>
        <w:t xml:space="preserve">        logits = outputs[logits_key]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target_class is None:</w:t>
      </w:r>
    </w:p>
    <w:p>
      <w:pPr>
        <w:pStyle w:val="CodeListing"/>
      </w:pPr>
      <w:r>
        <w:rPr>
          <w:rFonts w:ascii="Courier New" w:hAnsi="Courier New" w:cs="Courier New" w:eastAsia="Courier New"/>
          <w:sz w:val="16"/>
        </w:rPr>
        <w:t xml:space="preserve">            target_class = logits.argmax(dim=1)</w:t>
      </w:r>
    </w:p>
    <w:p>
      <w:pPr>
        <w:pStyle w:val="CodeListing"/>
      </w:pPr>
      <w:r>
        <w:rPr>
          <w:rFonts w:ascii="Courier New" w:hAnsi="Courier New" w:cs="Courier New" w:eastAsia="Courier New"/>
          <w:sz w:val="16"/>
        </w:rPr>
        <w:t xml:space="preserve">        elif isinstance(target_class, int):</w:t>
      </w:r>
    </w:p>
    <w:p>
      <w:pPr>
        <w:pStyle w:val="CodeListing"/>
      </w:pPr>
      <w:r>
        <w:rPr>
          <w:rFonts w:ascii="Courier New" w:hAnsi="Courier New" w:cs="Courier New" w:eastAsia="Courier New"/>
          <w:sz w:val="16"/>
        </w:rPr>
        <w:t xml:space="preserve">            target_class = torch.full(</w:t>
      </w:r>
    </w:p>
    <w:p>
      <w:pPr>
        <w:pStyle w:val="CodeListing"/>
      </w:pPr>
      <w:r>
        <w:rPr>
          <w:rFonts w:ascii="Courier New" w:hAnsi="Courier New" w:cs="Courier New" w:eastAsia="Courier New"/>
          <w:sz w:val="16"/>
        </w:rPr>
        <w:t xml:space="preserve">                (logits.shape[0],), target_class, dtype=torch.long, device=logits.device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selected = logits.gather(1, target_class.view(-1, 1)).sum()</w:t>
      </w:r>
    </w:p>
    <w:p>
      <w:pPr>
        <w:pStyle w:val="CodeListing"/>
      </w:pPr>
      <w:r>
        <w:rPr>
          <w:rFonts w:ascii="Courier New" w:hAnsi="Courier New" w:cs="Courier New" w:eastAsia="Courier New"/>
          <w:sz w:val="16"/>
        </w:rPr>
        <w:t xml:space="preserve">        selected.backward()</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if was_training:</w:t>
      </w:r>
    </w:p>
    <w:p>
      <w:pPr>
        <w:pStyle w:val="CodeListing"/>
      </w:pPr>
      <w:r>
        <w:rPr>
          <w:rFonts w:ascii="Courier New" w:hAnsi="Courier New" w:cs="Courier New" w:eastAsia="Courier New"/>
          <w:sz w:val="16"/>
        </w:rPr>
        <w:t xml:space="preserve">            self.model.train()</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activations = self._activations  # (B, C, d, h, w)</w:t>
      </w:r>
    </w:p>
    <w:p>
      <w:pPr>
        <w:pStyle w:val="CodeListing"/>
      </w:pPr>
      <w:r>
        <w:rPr>
          <w:rFonts w:ascii="Courier New" w:hAnsi="Courier New" w:cs="Courier New" w:eastAsia="Courier New"/>
          <w:sz w:val="16"/>
        </w:rPr>
        <w:t xml:space="preserve">        gradients = self._gradients  # (B, C, d, h, w)</w:t>
      </w:r>
    </w:p>
    <w:p>
      <w:pPr>
        <w:pStyle w:val="CodeListing"/>
      </w:pPr>
      <w:r>
        <w:rPr>
          <w:rFonts w:ascii="Courier New" w:hAnsi="Courier New" w:cs="Courier New" w:eastAsia="Courier New"/>
          <w:sz w:val="16"/>
        </w:rPr>
        <w:t xml:space="preserve">        if activations is None or gradients is None:</w:t>
      </w:r>
    </w:p>
    <w:p>
      <w:pPr>
        <w:pStyle w:val="CodeListing"/>
      </w:pPr>
      <w:r>
        <w:rPr>
          <w:rFonts w:ascii="Courier New" w:hAnsi="Courier New" w:cs="Courier New" w:eastAsia="Courier New"/>
          <w:sz w:val="16"/>
        </w:rPr>
        <w:t xml:space="preserve">            raise RuntimeError("Hooks did not capture activations/gradients; check target_layer")</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weights = gradients.mean(dim=(2, 3, 4), keepdim=True)</w:t>
      </w:r>
    </w:p>
    <w:p>
      <w:pPr>
        <w:pStyle w:val="CodeListing"/>
      </w:pPr>
      <w:r>
        <w:rPr>
          <w:rFonts w:ascii="Courier New" w:hAnsi="Courier New" w:cs="Courier New" w:eastAsia="Courier New"/>
          <w:sz w:val="16"/>
        </w:rPr>
        <w:t xml:space="preserve">        cam = F.relu((weights * activations).sum(dim=1, keepdim=True))  # (B, 1, d, h, w)</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target_size = mri_volume.shape[2:]</w:t>
      </w:r>
    </w:p>
    <w:p>
      <w:pPr>
        <w:pStyle w:val="CodeListing"/>
      </w:pPr>
      <w:r>
        <w:rPr>
          <w:rFonts w:ascii="Courier New" w:hAnsi="Courier New" w:cs="Courier New" w:eastAsia="Courier New"/>
          <w:sz w:val="16"/>
        </w:rPr>
        <w:t xml:space="preserve">        cam = F.interpolate(cam, size=target_size, mode="trilinear", align_corners=False)</w:t>
      </w:r>
    </w:p>
    <w:p>
      <w:pPr>
        <w:pStyle w:val="CodeListing"/>
      </w:pPr>
      <w:r>
        <w:rPr>
          <w:rFonts w:ascii="Courier New" w:hAnsi="Courier New" w:cs="Courier New" w:eastAsia="Courier New"/>
          <w:sz w:val="16"/>
        </w:rPr>
        <w:t xml:space="preserve">        cam = cam.squeeze(1)  # (B, D, H, W)</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cam_min = cam.amin(dim=(1, 2, 3), keepdim=True)</w:t>
      </w:r>
    </w:p>
    <w:p>
      <w:pPr>
        <w:pStyle w:val="CodeListing"/>
      </w:pPr>
      <w:r>
        <w:rPr>
          <w:rFonts w:ascii="Courier New" w:hAnsi="Courier New" w:cs="Courier New" w:eastAsia="Courier New"/>
          <w:sz w:val="16"/>
        </w:rPr>
        <w:t xml:space="preserve">        cam_max = cam.amax(dim=(1, 2, 3), keepdim=True)</w:t>
      </w:r>
    </w:p>
    <w:p>
      <w:pPr>
        <w:pStyle w:val="CodeListing"/>
      </w:pPr>
      <w:r>
        <w:rPr>
          <w:rFonts w:ascii="Courier New" w:hAnsi="Courier New" w:cs="Courier New" w:eastAsia="Courier New"/>
          <w:sz w:val="16"/>
        </w:rPr>
        <w:t xml:space="preserve">        denom = (cam_max - cam_min).clamp(min=1e-8)</w:t>
      </w:r>
    </w:p>
    <w:p>
      <w:pPr>
        <w:pStyle w:val="CodeListing"/>
      </w:pPr>
      <w:r>
        <w:rPr>
          <w:rFonts w:ascii="Courier New" w:hAnsi="Courier New" w:cs="Courier New" w:eastAsia="Courier New"/>
          <w:sz w:val="16"/>
        </w:rPr>
        <w:t xml:space="preserve">        cam = (cam - cam_min) / denom</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cam.detach(), target_class.detach()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compute_gradcam(</w:t>
      </w:r>
    </w:p>
    <w:p>
      <w:pPr>
        <w:pStyle w:val="CodeListing"/>
      </w:pPr>
      <w:r>
        <w:rPr>
          <w:rFonts w:ascii="Courier New" w:hAnsi="Courier New" w:cs="Courier New" w:eastAsia="Courier New"/>
          <w:sz w:val="16"/>
        </w:rPr>
        <w:t xml:space="preserve">    model: nn.Module,</w:t>
      </w:r>
    </w:p>
    <w:p>
      <w:pPr>
        <w:pStyle w:val="CodeListing"/>
      </w:pPr>
      <w:r>
        <w:rPr>
          <w:rFonts w:ascii="Courier New" w:hAnsi="Courier New" w:cs="Courier New" w:eastAsia="Courier New"/>
          <w:sz w:val="16"/>
        </w:rPr>
        <w:t xml:space="preserve">    mri_volume: torch.Tensor,</w:t>
      </w:r>
    </w:p>
    <w:p>
      <w:pPr>
        <w:pStyle w:val="CodeListing"/>
      </w:pPr>
      <w:r>
        <w:rPr>
          <w:rFonts w:ascii="Courier New" w:hAnsi="Courier New" w:cs="Courier New" w:eastAsia="Courier New"/>
          <w:sz w:val="16"/>
        </w:rPr>
        <w:t xml:space="preserve">    vep_signal: torch.Tensor,</w:t>
      </w:r>
    </w:p>
    <w:p>
      <w:pPr>
        <w:pStyle w:val="CodeListing"/>
      </w:pPr>
      <w:r>
        <w:rPr>
          <w:rFonts w:ascii="Courier New" w:hAnsi="Courier New" w:cs="Courier New" w:eastAsia="Courier New"/>
          <w:sz w:val="16"/>
        </w:rPr>
        <w:t xml:space="preserve">    target_class: int | torch.Tensor | None = None,</w:t>
      </w:r>
    </w:p>
    <w:p>
      <w:pPr>
        <w:pStyle w:val="CodeListing"/>
      </w:pPr>
      <w:r>
        <w:rPr>
          <w:rFonts w:ascii="Courier New" w:hAnsi="Courier New" w:cs="Courier New" w:eastAsia="Courier New"/>
          <w:sz w:val="16"/>
        </w:rPr>
        <w:t>) -&gt; tuple[torch.Tensor, torch.Tensor]:</w:t>
      </w:r>
    </w:p>
    <w:p>
      <w:pPr>
        <w:pStyle w:val="CodeListing"/>
      </w:pPr>
      <w:r>
        <w:rPr>
          <w:rFonts w:ascii="Courier New" w:hAnsi="Courier New" w:cs="Courier New" w:eastAsia="Courier New"/>
          <w:sz w:val="16"/>
        </w:rPr>
        <w:t xml:space="preserve">    """One-shot convenience wrapper around GradCAM3D that cleans up its hooks."""</w:t>
      </w:r>
    </w:p>
    <w:p>
      <w:pPr>
        <w:pStyle w:val="CodeListing"/>
      </w:pPr>
      <w:r>
        <w:rPr>
          <w:rFonts w:ascii="Courier New" w:hAnsi="Courier New" w:cs="Courier New" w:eastAsia="Courier New"/>
          <w:sz w:val="16"/>
        </w:rPr>
        <w:t xml:space="preserve">    cam_engine = GradCAM3D(model)</w:t>
      </w:r>
    </w:p>
    <w:p>
      <w:pPr>
        <w:pStyle w:val="CodeListing"/>
      </w:pPr>
      <w:r>
        <w:rPr>
          <w:rFonts w:ascii="Courier New" w:hAnsi="Courier New" w:cs="Courier New" w:eastAsia="Courier New"/>
          <w:sz w:val="16"/>
        </w:rPr>
        <w:t xml:space="preserve">    try:</w:t>
      </w:r>
    </w:p>
    <w:p>
      <w:pPr>
        <w:pStyle w:val="CodeListing"/>
      </w:pPr>
      <w:r>
        <w:rPr>
          <w:rFonts w:ascii="Courier New" w:hAnsi="Courier New" w:cs="Courier New" w:eastAsia="Courier New"/>
          <w:sz w:val="16"/>
        </w:rPr>
        <w:t xml:space="preserve">        return cam_engine.generate(mri_volume, vep_signal, target_class)</w:t>
      </w:r>
    </w:p>
    <w:p>
      <w:pPr>
        <w:pStyle w:val="CodeListing"/>
      </w:pPr>
      <w:r>
        <w:rPr>
          <w:rFonts w:ascii="Courier New" w:hAnsi="Courier New" w:cs="Courier New" w:eastAsia="Courier New"/>
          <w:sz w:val="16"/>
        </w:rPr>
        <w:t xml:space="preserve">    finally:</w:t>
      </w:r>
    </w:p>
    <w:p>
      <w:pPr>
        <w:pStyle w:val="CodeListing"/>
      </w:pPr>
      <w:r>
        <w:rPr>
          <w:rFonts w:ascii="Courier New" w:hAnsi="Courier New" w:cs="Courier New" w:eastAsia="Courier New"/>
          <w:sz w:val="16"/>
        </w:rPr>
        <w:t xml:space="preserve">        cam_engine.remove_hooks()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plot_gradcam_slices(</w:t>
      </w:r>
    </w:p>
    <w:p>
      <w:pPr>
        <w:pStyle w:val="CodeListing"/>
      </w:pPr>
      <w:r>
        <w:rPr>
          <w:rFonts w:ascii="Courier New" w:hAnsi="Courier New" w:cs="Courier New" w:eastAsia="Courier New"/>
          <w:sz w:val="16"/>
        </w:rPr>
        <w:t xml:space="preserve">    volume: np.ndarray,</w:t>
      </w:r>
    </w:p>
    <w:p>
      <w:pPr>
        <w:pStyle w:val="CodeListing"/>
      </w:pPr>
      <w:r>
        <w:rPr>
          <w:rFonts w:ascii="Courier New" w:hAnsi="Courier New" w:cs="Courier New" w:eastAsia="Courier New"/>
          <w:sz w:val="16"/>
        </w:rPr>
        <w:t xml:space="preserve">    cam: np.ndarray,</w:t>
      </w:r>
    </w:p>
    <w:p>
      <w:pPr>
        <w:pStyle w:val="CodeListing"/>
      </w:pPr>
      <w:r>
        <w:rPr>
          <w:rFonts w:ascii="Courier New" w:hAnsi="Courier New" w:cs="Courier New" w:eastAsia="Courier New"/>
          <w:sz w:val="16"/>
        </w:rPr>
        <w:t xml:space="preserve">    save_path: str,</w:t>
      </w:r>
    </w:p>
    <w:p>
      <w:pPr>
        <w:pStyle w:val="CodeListing"/>
      </w:pPr>
      <w:r>
        <w:rPr>
          <w:rFonts w:ascii="Courier New" w:hAnsi="Courier New" w:cs="Courier New" w:eastAsia="Courier New"/>
          <w:sz w:val="16"/>
        </w:rPr>
        <w:t xml:space="preserve">    title: str = "Grad-CAM: Visual Cortex Activation",</w:t>
      </w:r>
    </w:p>
    <w:p>
      <w:pPr>
        <w:pStyle w:val="CodeListing"/>
      </w:pPr>
      <w:r>
        <w:rPr>
          <w:rFonts w:ascii="Courier New" w:hAnsi="Courier New" w:cs="Courier New" w:eastAsia="Courier New"/>
          <w:sz w:val="16"/>
        </w:rPr>
        <w:t>) -&gt; None:</w:t>
      </w:r>
    </w:p>
    <w:p>
      <w:pPr>
        <w:pStyle w:val="CodeListing"/>
      </w:pPr>
      <w:r>
        <w:rPr>
          <w:rFonts w:ascii="Courier New" w:hAnsi="Courier New" w:cs="Courier New" w:eastAsia="Courier New"/>
          <w:sz w:val="16"/>
        </w:rPr>
        <w:t xml:space="preserve">    """Overlay a Grad-CAM heatmap on the mid axial/coronal/sagittal slices."""</w:t>
      </w:r>
    </w:p>
    <w:p>
      <w:pPr>
        <w:pStyle w:val="CodeListing"/>
      </w:pPr>
      <w:r>
        <w:rPr>
          <w:rFonts w:ascii="Courier New" w:hAnsi="Courier New" w:cs="Courier New" w:eastAsia="Courier New"/>
          <w:sz w:val="16"/>
        </w:rPr>
        <w:t xml:space="preserve">    if volume.shape != cam.shape:</w:t>
      </w:r>
    </w:p>
    <w:p>
      <w:pPr>
        <w:pStyle w:val="CodeListing"/>
      </w:pPr>
      <w:r>
        <w:rPr>
          <w:rFonts w:ascii="Courier New" w:hAnsi="Courier New" w:cs="Courier New" w:eastAsia="Courier New"/>
          <w:sz w:val="16"/>
        </w:rPr>
        <w:t xml:space="preserve">        raise ValueError(f"volume shape {volume.shape} != cam shape {cam.shape}")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d, h, w = volume.shape</w:t>
      </w:r>
    </w:p>
    <w:p>
      <w:pPr>
        <w:pStyle w:val="CodeListing"/>
      </w:pPr>
      <w:r>
        <w:rPr>
          <w:rFonts w:ascii="Courier New" w:hAnsi="Courier New" w:cs="Courier New" w:eastAsia="Courier New"/>
          <w:sz w:val="16"/>
        </w:rPr>
        <w:t xml:space="preserve">    slices = [</w:t>
      </w:r>
    </w:p>
    <w:p>
      <w:pPr>
        <w:pStyle w:val="CodeListing"/>
      </w:pPr>
      <w:r>
        <w:rPr>
          <w:rFonts w:ascii="Courier New" w:hAnsi="Courier New" w:cs="Courier New" w:eastAsia="Courier New"/>
          <w:sz w:val="16"/>
        </w:rPr>
        <w:t xml:space="preserve">        (volume[d // 2, :, :], cam[d // 2, :, :], "Axial"),</w:t>
      </w:r>
    </w:p>
    <w:p>
      <w:pPr>
        <w:pStyle w:val="CodeListing"/>
      </w:pPr>
      <w:r>
        <w:rPr>
          <w:rFonts w:ascii="Courier New" w:hAnsi="Courier New" w:cs="Courier New" w:eastAsia="Courier New"/>
          <w:sz w:val="16"/>
        </w:rPr>
        <w:t xml:space="preserve">        (volume[:, h // 2, :], cam[:, h // 2, :], "Coronal"),</w:t>
      </w:r>
    </w:p>
    <w:p>
      <w:pPr>
        <w:pStyle w:val="CodeListing"/>
      </w:pPr>
      <w:r>
        <w:rPr>
          <w:rFonts w:ascii="Courier New" w:hAnsi="Courier New" w:cs="Courier New" w:eastAsia="Courier New"/>
          <w:sz w:val="16"/>
        </w:rPr>
        <w:t xml:space="preserve">        (volume[:, :, w // 2], cam[:, :, w // 2], "Sagittal"),</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fig, axes = plt.subplots(1, 3, figsize=(12, 4))</w:t>
      </w:r>
    </w:p>
    <w:p>
      <w:pPr>
        <w:pStyle w:val="CodeListing"/>
      </w:pPr>
      <w:r>
        <w:rPr>
          <w:rFonts w:ascii="Courier New" w:hAnsi="Courier New" w:cs="Courier New" w:eastAsia="Courier New"/>
          <w:sz w:val="16"/>
        </w:rPr>
        <w:t xml:space="preserve">    for ax, (vol_slice, cam_slice, name) in zip(axes, slices):</w:t>
      </w:r>
    </w:p>
    <w:p>
      <w:pPr>
        <w:pStyle w:val="CodeListing"/>
      </w:pPr>
      <w:r>
        <w:rPr>
          <w:rFonts w:ascii="Courier New" w:hAnsi="Courier New" w:cs="Courier New" w:eastAsia="Courier New"/>
          <w:sz w:val="16"/>
        </w:rPr>
        <w:t xml:space="preserve">        ax.imshow(vol_slice, cmap="gray")</w:t>
      </w:r>
    </w:p>
    <w:p>
      <w:pPr>
        <w:pStyle w:val="CodeListing"/>
      </w:pPr>
      <w:r>
        <w:rPr>
          <w:rFonts w:ascii="Courier New" w:hAnsi="Courier New" w:cs="Courier New" w:eastAsia="Courier New"/>
          <w:sz w:val="16"/>
        </w:rPr>
        <w:t xml:space="preserve">        ax.imshow(cam_slice, cmap="jet", alpha=0.5)</w:t>
      </w:r>
    </w:p>
    <w:p>
      <w:pPr>
        <w:pStyle w:val="CodeListing"/>
      </w:pPr>
      <w:r>
        <w:rPr>
          <w:rFonts w:ascii="Courier New" w:hAnsi="Courier New" w:cs="Courier New" w:eastAsia="Courier New"/>
          <w:sz w:val="16"/>
        </w:rPr>
        <w:t xml:space="preserve">        ax.set_title(name)</w:t>
      </w:r>
    </w:p>
    <w:p>
      <w:pPr>
        <w:pStyle w:val="CodeListing"/>
      </w:pPr>
      <w:r>
        <w:rPr>
          <w:rFonts w:ascii="Courier New" w:hAnsi="Courier New" w:cs="Courier New" w:eastAsia="Courier New"/>
          <w:sz w:val="16"/>
        </w:rPr>
        <w:t xml:space="preserve">        ax.axis("off")</w:t>
      </w:r>
    </w:p>
    <w:p>
      <w:pPr>
        <w:pStyle w:val="CodeListing"/>
      </w:pPr>
      <w:r>
        <w:rPr>
          <w:rFonts w:ascii="Courier New" w:hAnsi="Courier New" w:cs="Courier New" w:eastAsia="Courier New"/>
          <w:sz w:val="16"/>
        </w:rPr>
        <w:t xml:space="preserve">    fig.suptitle(title)</w:t>
      </w:r>
    </w:p>
    <w:p>
      <w:pPr>
        <w:pStyle w:val="CodeListing"/>
      </w:pPr>
      <w:r>
        <w:rPr>
          <w:rFonts w:ascii="Courier New" w:hAnsi="Courier New" w:cs="Courier New" w:eastAsia="Courier New"/>
          <w:sz w:val="16"/>
        </w:rPr>
        <w:t xml:space="preserve">    fig.tight_layout()</w:t>
      </w:r>
    </w:p>
    <w:p>
      <w:pPr>
        <w:pStyle w:val="CodeListing"/>
      </w:pPr>
      <w:r>
        <w:rPr>
          <w:rFonts w:ascii="Courier New" w:hAnsi="Courier New" w:cs="Courier New" w:eastAsia="Courier New"/>
          <w:sz w:val="16"/>
        </w:rPr>
        <w:t xml:space="preserve">    fig.savefig(save_path, dpi=150)</w:t>
      </w:r>
    </w:p>
    <w:p>
      <w:pPr>
        <w:pStyle w:val="CodeListing"/>
      </w:pPr>
      <w:r>
        <w:rPr>
          <w:rFonts w:ascii="Courier New" w:hAnsi="Courier New" w:cs="Courier New" w:eastAsia="Courier New"/>
          <w:sz w:val="16"/>
        </w:rPr>
        <w:t xml:space="preserve">    plt.close(fig)</w:t>
      </w:r>
    </w:p>
    <w:p>
      <w:pPr>
        <w:keepNext/>
        <w:spacing w:before="160" w:after="60" w:line="240" w:lineRule="auto"/>
        <w:jc w:val="left"/>
      </w:pPr>
      <w:r>
        <w:rPr>
          <w:rFonts w:ascii="Times New Roman" w:hAnsi="Times New Roman" w:cs="Times New Roman" w:eastAsia="Times New Roman"/>
          <w:b/>
          <w:sz w:val="22"/>
        </w:rPr>
        <w:t>Listing A2.12: src/explainability/plot_attention.py</w:t>
      </w:r>
    </w:p>
    <w:p>
      <w:pPr>
        <w:pStyle w:val="CodeListing"/>
      </w:pPr>
      <w:r>
        <w:rPr>
          <w:rFonts w:ascii="Courier New" w:hAnsi="Courier New" w:cs="Courier New" w:eastAsia="Courier New"/>
          <w:sz w:val="16"/>
        </w:rPr>
        <w:t>"""2D spatial-temporal cross-attention correlation heatmaps.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Reduces the multi-head cross-attention weights (B, H, S, T) produced by</w:t>
      </w:r>
    </w:p>
    <w:p>
      <w:pPr>
        <w:pStyle w:val="CodeListing"/>
      </w:pPr>
      <w:r>
        <w:rPr>
          <w:rFonts w:ascii="Courier New" w:hAnsi="Courier New" w:cs="Courier New" w:eastAsia="Courier New"/>
          <w:sz w:val="16"/>
        </w:rPr>
        <w:t>`CrossAttentionFusion` down to a single (S, T) matrix -- spatial cortex</w:t>
      </w:r>
    </w:p>
    <w:p>
      <w:pPr>
        <w:pStyle w:val="CodeListing"/>
      </w:pPr>
      <w:r>
        <w:rPr>
          <w:rFonts w:ascii="Courier New" w:hAnsi="Courier New" w:cs="Courier New" w:eastAsia="Courier New"/>
          <w:sz w:val="16"/>
        </w:rPr>
        <w:t>tokens against VEP temporal latency bins -- so clinicians can see which</w:t>
      </w:r>
    </w:p>
    <w:p>
      <w:pPr>
        <w:pStyle w:val="CodeListing"/>
      </w:pPr>
      <w:r>
        <w:rPr>
          <w:rFonts w:ascii="Courier New" w:hAnsi="Courier New" w:cs="Courier New" w:eastAsia="Courier New"/>
          <w:sz w:val="16"/>
        </w:rPr>
        <w:t>brain regions the model correlated with which millisecond latency window.</w:t>
      </w:r>
    </w:p>
    <w:p>
      <w:pPr>
        <w:pStyle w:val="CodeListing"/>
      </w:pPr>
      <w:r>
        <w:rPr>
          <w:rFonts w:ascii="Courier New" w:hAnsi="Courier New" w:cs="Courier New" w:eastAsia="Courier New"/>
          <w:sz w:val="16"/>
        </w:rPr>
        <w: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import matplotlib</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matplotlib.use("Agg")</w:t>
      </w:r>
    </w:p>
    <w:p>
      <w:pPr>
        <w:pStyle w:val="CodeListing"/>
      </w:pPr>
      <w:r>
        <w:rPr>
          <w:rFonts w:ascii="Courier New" w:hAnsi="Courier New" w:cs="Courier New" w:eastAsia="Courier New"/>
          <w:sz w:val="16"/>
        </w:rPr>
        <w:t>import matplotlib.pyplot as plt</w:t>
      </w:r>
    </w:p>
    <w:p>
      <w:pPr>
        <w:pStyle w:val="CodeListing"/>
      </w:pPr>
      <w:r>
        <w:rPr>
          <w:rFonts w:ascii="Courier New" w:hAnsi="Courier New" w:cs="Courier New" w:eastAsia="Courier New"/>
          <w:sz w:val="16"/>
        </w:rPr>
        <w:t>import numpy as np</w:t>
      </w:r>
    </w:p>
    <w:p>
      <w:pPr>
        <w:pStyle w:val="CodeListing"/>
      </w:pPr>
      <w:r>
        <w:rPr>
          <w:rFonts w:ascii="Courier New" w:hAnsi="Courier New" w:cs="Courier New" w:eastAsia="Courier New"/>
          <w:sz w:val="16"/>
        </w:rPr>
        <w:t>import torch</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cross_attention_heatmap(attn_weights: torch.Tensor) -&gt; np.ndarray:</w:t>
      </w:r>
    </w:p>
    <w:p>
      <w:pPr>
        <w:pStyle w:val="CodeListing"/>
      </w:pPr>
      <w:r>
        <w:rPr>
          <w:rFonts w:ascii="Courier New" w:hAnsi="Courier New" w:cs="Courier New" w:eastAsia="Courier New"/>
          <w:sz w:val="16"/>
        </w:rPr>
        <w:t xml:space="preserve">    """Average (B, H, S, T) attention weights over batch and heads -&gt; (S, T)."""</w:t>
      </w:r>
    </w:p>
    <w:p>
      <w:pPr>
        <w:pStyle w:val="CodeListing"/>
      </w:pPr>
      <w:r>
        <w:rPr>
          <w:rFonts w:ascii="Courier New" w:hAnsi="Courier New" w:cs="Courier New" w:eastAsia="Courier New"/>
          <w:sz w:val="16"/>
        </w:rPr>
        <w:t xml:space="preserve">    if attn_weights.dim() != 4:</w:t>
      </w:r>
    </w:p>
    <w:p>
      <w:pPr>
        <w:pStyle w:val="CodeListing"/>
      </w:pPr>
      <w:r>
        <w:rPr>
          <w:rFonts w:ascii="Courier New" w:hAnsi="Courier New" w:cs="Courier New" w:eastAsia="Courier New"/>
          <w:sz w:val="16"/>
        </w:rPr>
        <w:t xml:space="preserve">        raise ValueError(</w:t>
      </w:r>
    </w:p>
    <w:p>
      <w:pPr>
        <w:pStyle w:val="CodeListing"/>
      </w:pPr>
      <w:r>
        <w:rPr>
          <w:rFonts w:ascii="Courier New" w:hAnsi="Courier New" w:cs="Courier New" w:eastAsia="Courier New"/>
          <w:sz w:val="16"/>
        </w:rPr>
        <w:t xml:space="preserve">            f"Expected (B, H, S, T) attention weights, got shape {tuple(attn_weights.shape)}"</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reduced = attn_weights.mean(dim=(0, 1))</w:t>
      </w:r>
    </w:p>
    <w:p>
      <w:pPr>
        <w:pStyle w:val="CodeListing"/>
      </w:pPr>
      <w:r>
        <w:rPr>
          <w:rFonts w:ascii="Courier New" w:hAnsi="Courier New" w:cs="Courier New" w:eastAsia="Courier New"/>
          <w:sz w:val="16"/>
        </w:rPr>
        <w:t xml:space="preserve">    return reduced.detach().cpu().numpy()</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def plot_cross_attention(</w:t>
      </w:r>
    </w:p>
    <w:p>
      <w:pPr>
        <w:pStyle w:val="CodeListing"/>
      </w:pPr>
      <w:r>
        <w:rPr>
          <w:rFonts w:ascii="Courier New" w:hAnsi="Courier New" w:cs="Courier New" w:eastAsia="Courier New"/>
          <w:sz w:val="16"/>
        </w:rPr>
        <w:t xml:space="preserve">    attn_weights: torch.Tensor,</w:t>
      </w:r>
    </w:p>
    <w:p>
      <w:pPr>
        <w:pStyle w:val="CodeListing"/>
      </w:pPr>
      <w:r>
        <w:rPr>
          <w:rFonts w:ascii="Courier New" w:hAnsi="Courier New" w:cs="Courier New" w:eastAsia="Courier New"/>
          <w:sz w:val="16"/>
        </w:rPr>
        <w:t xml:space="preserve">    save_path: str,</w:t>
      </w:r>
    </w:p>
    <w:p>
      <w:pPr>
        <w:pStyle w:val="CodeListing"/>
      </w:pPr>
      <w:r>
        <w:rPr>
          <w:rFonts w:ascii="Courier New" w:hAnsi="Courier New" w:cs="Courier New" w:eastAsia="Courier New"/>
          <w:sz w:val="16"/>
        </w:rPr>
        <w:t xml:space="preserve">    xlabel: str = "Temporal latency bin",</w:t>
      </w:r>
    </w:p>
    <w:p>
      <w:pPr>
        <w:pStyle w:val="CodeListing"/>
      </w:pPr>
      <w:r>
        <w:rPr>
          <w:rFonts w:ascii="Courier New" w:hAnsi="Courier New" w:cs="Courier New" w:eastAsia="Courier New"/>
          <w:sz w:val="16"/>
        </w:rPr>
        <w:t xml:space="preserve">    ylabel: str = "Spatial cortex token",</w:t>
      </w:r>
    </w:p>
    <w:p>
      <w:pPr>
        <w:pStyle w:val="CodeListing"/>
      </w:pPr>
      <w:r>
        <w:rPr>
          <w:rFonts w:ascii="Courier New" w:hAnsi="Courier New" w:cs="Courier New" w:eastAsia="Courier New"/>
          <w:sz w:val="16"/>
        </w:rPr>
        <w:t xml:space="preserve">    title: str = "Spatial-Temporal Cross-Attention",</w:t>
      </w:r>
    </w:p>
    <w:p>
      <w:pPr>
        <w:pStyle w:val="CodeListing"/>
      </w:pPr>
      <w:r>
        <w:rPr>
          <w:rFonts w:ascii="Courier New" w:hAnsi="Courier New" w:cs="Courier New" w:eastAsia="Courier New"/>
          <w:sz w:val="16"/>
        </w:rPr>
        <w:t>) -&gt; np.ndarray:</w:t>
      </w:r>
    </w:p>
    <w:p>
      <w:pPr>
        <w:pStyle w:val="CodeListing"/>
      </w:pPr>
      <w:r>
        <w:rPr>
          <w:rFonts w:ascii="Courier New" w:hAnsi="Courier New" w:cs="Courier New" w:eastAsia="Courier New"/>
          <w:sz w:val="16"/>
        </w:rPr>
        <w:t xml:space="preserve">    """Render and save the cross-attention heatmap; returns the plotted array."""</w:t>
      </w:r>
    </w:p>
    <w:p>
      <w:pPr>
        <w:pStyle w:val="CodeListing"/>
      </w:pPr>
      <w:r>
        <w:rPr>
          <w:rFonts w:ascii="Courier New" w:hAnsi="Courier New" w:cs="Courier New" w:eastAsia="Courier New"/>
          <w:sz w:val="16"/>
        </w:rPr>
        <w:t xml:space="preserve">    heatmap = cross_attention_heatmap(attn_weights)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fig, ax = plt.subplots(figsize=(6, 8))</w:t>
      </w:r>
    </w:p>
    <w:p>
      <w:pPr>
        <w:pStyle w:val="CodeListing"/>
      </w:pPr>
      <w:r>
        <w:rPr>
          <w:rFonts w:ascii="Courier New" w:hAnsi="Courier New" w:cs="Courier New" w:eastAsia="Courier New"/>
          <w:sz w:val="16"/>
        </w:rPr>
        <w:t xml:space="preserve">    im = ax.imshow(heatmap, aspect="auto", cmap="viridis")</w:t>
      </w:r>
    </w:p>
    <w:p>
      <w:pPr>
        <w:pStyle w:val="CodeListing"/>
      </w:pPr>
      <w:r>
        <w:rPr>
          <w:rFonts w:ascii="Courier New" w:hAnsi="Courier New" w:cs="Courier New" w:eastAsia="Courier New"/>
          <w:sz w:val="16"/>
        </w:rPr>
        <w:t xml:space="preserve">    ax.set_xlabel(xlabel)</w:t>
      </w:r>
    </w:p>
    <w:p>
      <w:pPr>
        <w:pStyle w:val="CodeListing"/>
      </w:pPr>
      <w:r>
        <w:rPr>
          <w:rFonts w:ascii="Courier New" w:hAnsi="Courier New" w:cs="Courier New" w:eastAsia="Courier New"/>
          <w:sz w:val="16"/>
        </w:rPr>
        <w:t xml:space="preserve">    ax.set_ylabel(ylabel)</w:t>
      </w:r>
    </w:p>
    <w:p>
      <w:pPr>
        <w:pStyle w:val="CodeListing"/>
      </w:pPr>
      <w:r>
        <w:rPr>
          <w:rFonts w:ascii="Courier New" w:hAnsi="Courier New" w:cs="Courier New" w:eastAsia="Courier New"/>
          <w:sz w:val="16"/>
        </w:rPr>
        <w:t xml:space="preserve">    ax.set_title(title)</w:t>
      </w:r>
    </w:p>
    <w:p>
      <w:pPr>
        <w:pStyle w:val="CodeListing"/>
      </w:pPr>
      <w:r>
        <w:rPr>
          <w:rFonts w:ascii="Courier New" w:hAnsi="Courier New" w:cs="Courier New" w:eastAsia="Courier New"/>
          <w:sz w:val="16"/>
        </w:rPr>
        <w:t xml:space="preserve">    fig.colorbar(im, ax=ax, label="Attention weight")</w:t>
      </w:r>
    </w:p>
    <w:p>
      <w:pPr>
        <w:pStyle w:val="CodeListing"/>
      </w:pPr>
      <w:r>
        <w:rPr>
          <w:rFonts w:ascii="Courier New" w:hAnsi="Courier New" w:cs="Courier New" w:eastAsia="Courier New"/>
          <w:sz w:val="16"/>
        </w:rPr>
        <w:t xml:space="preserve">    fig.tight_layout()</w:t>
      </w:r>
    </w:p>
    <w:p>
      <w:pPr>
        <w:pStyle w:val="CodeListing"/>
      </w:pPr>
      <w:r>
        <w:rPr>
          <w:rFonts w:ascii="Courier New" w:hAnsi="Courier New" w:cs="Courier New" w:eastAsia="Courier New"/>
          <w:sz w:val="16"/>
        </w:rPr>
        <w:t xml:space="preserve">    fig.savefig(save_path, dpi=150)</w:t>
      </w:r>
    </w:p>
    <w:p>
      <w:pPr>
        <w:pStyle w:val="CodeListing"/>
      </w:pPr>
      <w:r>
        <w:rPr>
          <w:rFonts w:ascii="Courier New" w:hAnsi="Courier New" w:cs="Courier New" w:eastAsia="Courier New"/>
          <w:sz w:val="16"/>
        </w:rPr>
        <w:t xml:space="preserve">    plt.close(fig)</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return heatmap</w:t>
      </w:r>
    </w:p>
    <w:p>
      <w:pPr>
        <w:pStyle w:val="Heading1"/>
      </w:pPr>
      <w:r>
        <w:rPr>
          <w:rFonts w:ascii="Times New Roman" w:hAnsi="Times New Roman" w:cs="Times New Roman" w:eastAsia="Times New Roman"/>
          <w:b/>
          <w:sz w:val="24"/>
        </w:rPr>
        <w:t>APPENDIX 3</w:t>
        <w:br/>
      </w:r>
      <w:r>
        <w:rPr>
          <w:rFonts w:ascii="Times New Roman" w:hAnsi="Times New Roman" w:cs="Times New Roman" w:eastAsia="Times New Roman"/>
          <w:b/>
          <w:sz w:val="32"/>
        </w:rPr>
        <w:t>TEST INVENTORY</w:t>
      </w:r>
    </w:p>
    <w:p>
      <w:pPr>
        <w:pStyle w:val="Heading2"/>
      </w:pPr>
      <w:r>
        <w:rPr>
          <w:rFonts w:ascii="Times New Roman" w:hAnsi="Times New Roman" w:cs="Times New Roman" w:eastAsia="Times New Roman"/>
          <w:b/>
          <w:sz w:val="28"/>
        </w:rPr>
        <w:t>A3.1  TEST FILES</w:t>
      </w:r>
    </w:p>
    <w:p>
      <w:pPr>
        <w:pStyle w:val="BodyJ"/>
      </w:pPr>
      <w:r>
        <w:rPr>
          <w:rFonts w:ascii="Times New Roman" w:hAnsi="Times New Roman" w:cs="Times New Roman" w:eastAsia="Times New Roman"/>
        </w:rPr>
        <w:t xml:space="preserve">Table A3.1 and Listing A3.1 list the original suite of 86 test functions in 12 files, as recorded in the repository's pytest node-identifier file at the time of the first prototype. The suite now contains 340 tests in 29 files (310 unit and 30 integration tests; Table 4.7). The inventory below was not regenerated.</w:t>
      </w:r>
    </w:p>
    <w:p>
      <w:pPr>
        <w:pStyle w:val="Caption"/>
        <w:keepNext/>
        <w:spacing w:before="160" w:after="80"/>
      </w:pPr>
      <w:bookmarkStart w:id="1063" w:name="_Ref_Table_A3_1"/>
      <w:r>
        <w:rPr>
          <w:rFonts w:ascii="Times New Roman" w:hAnsi="Times New Roman" w:cs="Times New Roman" w:eastAsia="Times New Roman"/>
          <w:b/>
          <w:sz w:val="22"/>
        </w:rPr>
        <w:t xml:space="preserve">Table A3.1: </w:t>
      </w:r>
      <w:r>
        <w:rPr>
          <w:rFonts w:ascii="Times New Roman" w:hAnsi="Times New Roman" w:cs="Times New Roman" w:eastAsia="Times New Roman"/>
          <w:sz w:val="22"/>
        </w:rPr>
        <w:t xml:space="preserve">Test files of the original suite, number of test functions and the component each exercises (86 tests; the current suite has 340, see Table 4.7).</w:t>
      </w:r>
      <w:bookmarkEnd w:id="1063"/>
    </w:p>
    <w:tbl>
      <w:tblPr>
        <w:tblStyle w:val="TableGrid"/>
        <w:tblW w:type="auto" w:w="0"/>
        <w:jc w:val="center"/>
        <w:tblLayout w:type="fixed"/>
        <w:tblCellMar>
          <w:top w:w="40" w:type="dxa"/>
          <w:left w:w="80" w:type="dxa"/>
          <w:bottom w:w="40" w:type="dxa"/>
          <w:right w:w="80" w:type="dxa"/>
        </w:tblCellMar>
        <w:tblLook w:firstColumn="1" w:firstRow="1" w:lastColumn="0" w:lastRow="0" w:noHBand="0" w:noVBand="1" w:val="04A0"/>
      </w:tblPr>
      <w:tblGrid>
        <w:gridCol w:w="3345"/>
        <w:gridCol w:w="850"/>
        <w:gridCol w:w="4110"/>
      </w:tblGrid>
      <w:tr>
        <w:trPr>
          <w:cantSplit/>
          <w:tblHeader/>
        </w:trPr>
        <w:tc>
          <w:tcPr>
            <w:tcW w:type="dxa" w:w="3345"/>
            <w:shd w:val="clear" w:color="auto" w:fill="D9D9D9"/>
          </w:tcPr>
          <w:p>
            <w:pPr>
              <w:pStyle w:val="TableText"/>
              <w:keepNext/>
              <w:jc w:val="left"/>
            </w:pPr>
            <w:r>
              <w:rPr>
                <w:rFonts w:ascii="Times New Roman" w:hAnsi="Times New Roman" w:cs="Times New Roman" w:eastAsia="Times New Roman"/>
                <w:b/>
                <w:sz w:val="20"/>
              </w:rPr>
              <w:t xml:space="preserve">File (under </w:t>
            </w:r>
            <w:r>
              <w:rPr>
                <w:rFonts w:ascii="Courier New" w:hAnsi="Courier New" w:cs="Courier New" w:eastAsia="Courier New"/>
                <w:b/>
                <w:i w:val="0"/>
                <w:sz w:val="20"/>
              </w:rPr>
              <w:t>tests/</w:t>
            </w:r>
            <w:r>
              <w:rPr>
                <w:rFonts w:ascii="Times New Roman" w:hAnsi="Times New Roman" w:cs="Times New Roman" w:eastAsia="Times New Roman"/>
                <w:b/>
                <w:sz w:val="20"/>
              </w:rPr>
              <w:t>)</w:t>
            </w:r>
          </w:p>
        </w:tc>
        <w:tc>
          <w:tcPr>
            <w:tcW w:type="dxa" w:w="850"/>
            <w:shd w:val="clear" w:color="auto" w:fill="D9D9D9"/>
          </w:tcPr>
          <w:p>
            <w:pPr>
              <w:pStyle w:val="TableText"/>
              <w:keepNext/>
              <w:jc w:val="center"/>
            </w:pPr>
            <w:r>
              <w:rPr>
                <w:rFonts w:ascii="Times New Roman" w:hAnsi="Times New Roman" w:cs="Times New Roman" w:eastAsia="Times New Roman"/>
                <w:b/>
                <w:sz w:val="20"/>
              </w:rPr>
              <w:t>Tests</w:t>
            </w:r>
          </w:p>
        </w:tc>
        <w:tc>
          <w:tcPr>
            <w:tcW w:type="dxa" w:w="4110"/>
            <w:shd w:val="clear" w:color="auto" w:fill="D9D9D9"/>
          </w:tcPr>
          <w:p>
            <w:pPr>
              <w:pStyle w:val="TableText"/>
              <w:keepNext/>
              <w:jc w:val="left"/>
            </w:pPr>
            <w:r>
              <w:rPr>
                <w:rFonts w:ascii="Times New Roman" w:hAnsi="Times New Roman" w:cs="Times New Roman" w:eastAsia="Times New Roman"/>
                <w:b/>
                <w:sz w:val="20"/>
              </w:rPr>
              <w:t>Component or behaviour tested</w:t>
            </w:r>
          </w:p>
        </w:tc>
      </w:tr>
      <w:tr>
        <w:trPr>
          <w:cantSplit/>
        </w:trPr>
        <w:tc>
          <w:tcPr>
            <w:tcW w:type="dxa" w:w="3345"/>
          </w:tcPr>
          <w:p>
            <w:pPr>
              <w:pStyle w:val="TableText"/>
              <w:keepNext/>
              <w:jc w:val="left"/>
            </w:pPr>
            <w:r>
              <w:rPr>
                <w:rFonts w:ascii="Courier New" w:hAnsi="Courier New" w:cs="Courier New" w:eastAsia="Courier New"/>
                <w:i w:val="0"/>
                <w:sz w:val="20"/>
              </w:rPr>
              <w:t>unit/test_signal_cleaner.py</w:t>
            </w:r>
          </w:p>
        </w:tc>
        <w:tc>
          <w:tcPr>
            <w:tcW w:type="dxa" w:w="850"/>
          </w:tcPr>
          <w:p>
            <w:pPr>
              <w:pStyle w:val="TableText"/>
              <w:keepNext/>
              <w:jc w:val="center"/>
            </w:pPr>
            <w:r>
              <w:rPr>
                <w:rFonts w:ascii="Times New Roman" w:hAnsi="Times New Roman" w:cs="Times New Roman" w:eastAsia="Times New Roman"/>
                <w:sz w:val="20"/>
              </w:rPr>
              <w:t>18</w:t>
            </w:r>
          </w:p>
        </w:tc>
        <w:tc>
          <w:tcPr>
            <w:tcW w:type="dxa" w:w="4110"/>
          </w:tcPr>
          <w:p>
            <w:pPr>
              <w:pStyle w:val="TableText"/>
              <w:keepNext/>
              <w:jc w:val="left"/>
            </w:pPr>
            <w:r>
              <w:rPr>
                <w:rFonts w:ascii="Times New Roman" w:hAnsi="Times New Roman" w:cs="Times New Roman" w:eastAsia="Times New Roman"/>
                <w:sz w:val="20"/>
              </w:rPr>
              <w:t>VEP conditioning functions (</w:t>
            </w:r>
            <w:r>
              <w:rPr>
                <w:rFonts w:ascii="Courier New" w:hAnsi="Courier New" w:cs="Courier New" w:eastAsia="Courier New"/>
                <w:i w:val="0"/>
                <w:sz w:val="20"/>
              </w:rPr>
              <w:t>signal_cleaner.py</w:t>
            </w:r>
            <w:r>
              <w:rPr>
                <w:rFonts w:ascii="Times New Roman" w:hAnsi="Times New Roman" w:cs="Times New Roman" w:eastAsia="Times New Roman"/>
                <w:sz w:val="20"/>
              </w:rPr>
              <w:t>)</w:t>
            </w:r>
          </w:p>
        </w:tc>
      </w:tr>
      <w:tr>
        <w:trPr>
          <w:cantSplit/>
        </w:trPr>
        <w:tc>
          <w:tcPr>
            <w:tcW w:type="dxa" w:w="3345"/>
          </w:tcPr>
          <w:p>
            <w:pPr>
              <w:pStyle w:val="TableText"/>
              <w:keepNext/>
              <w:jc w:val="left"/>
            </w:pPr>
            <w:r>
              <w:rPr>
                <w:rFonts w:ascii="Courier New" w:hAnsi="Courier New" w:cs="Courier New" w:eastAsia="Courier New"/>
                <w:i w:val="0"/>
                <w:sz w:val="20"/>
              </w:rPr>
              <w:t>unit/test_mri_transforms.py</w:t>
            </w:r>
          </w:p>
        </w:tc>
        <w:tc>
          <w:tcPr>
            <w:tcW w:type="dxa" w:w="850"/>
          </w:tcPr>
          <w:p>
            <w:pPr>
              <w:pStyle w:val="TableText"/>
              <w:keepNext/>
              <w:jc w:val="center"/>
            </w:pPr>
            <w:r>
              <w:rPr>
                <w:rFonts w:ascii="Times New Roman" w:hAnsi="Times New Roman" w:cs="Times New Roman" w:eastAsia="Times New Roman"/>
                <w:sz w:val="20"/>
              </w:rPr>
              <w:t>12</w:t>
            </w:r>
          </w:p>
        </w:tc>
        <w:tc>
          <w:tcPr>
            <w:tcW w:type="dxa" w:w="4110"/>
          </w:tcPr>
          <w:p>
            <w:pPr>
              <w:pStyle w:val="TableText"/>
              <w:keepNext/>
              <w:jc w:val="left"/>
            </w:pPr>
            <w:r>
              <w:rPr>
                <w:rFonts w:ascii="Times New Roman" w:hAnsi="Times New Roman" w:cs="Times New Roman" w:eastAsia="Times New Roman"/>
                <w:sz w:val="20"/>
              </w:rPr>
              <w:t>MRI preprocessing functions (</w:t>
            </w:r>
            <w:r>
              <w:rPr>
                <w:rFonts w:ascii="Courier New" w:hAnsi="Courier New" w:cs="Courier New" w:eastAsia="Courier New"/>
                <w:i w:val="0"/>
                <w:sz w:val="20"/>
              </w:rPr>
              <w:t>mri_transforms.py</w:t>
            </w:r>
            <w:r>
              <w:rPr>
                <w:rFonts w:ascii="Times New Roman" w:hAnsi="Times New Roman" w:cs="Times New Roman" w:eastAsia="Times New Roman"/>
                <w:sz w:val="20"/>
              </w:rPr>
              <w:t>)</w:t>
            </w:r>
          </w:p>
        </w:tc>
      </w:tr>
      <w:tr>
        <w:trPr>
          <w:cantSplit/>
        </w:trPr>
        <w:tc>
          <w:tcPr>
            <w:tcW w:type="dxa" w:w="3345"/>
          </w:tcPr>
          <w:p>
            <w:pPr>
              <w:pStyle w:val="TableText"/>
              <w:jc w:val="left"/>
            </w:pPr>
            <w:r>
              <w:rPr>
                <w:rFonts w:ascii="Courier New" w:hAnsi="Courier New" w:cs="Courier New" w:eastAsia="Courier New"/>
                <w:i w:val="0"/>
                <w:sz w:val="20"/>
              </w:rPr>
              <w:t>unit/test_cross_attention.py</w:t>
            </w:r>
          </w:p>
        </w:tc>
        <w:tc>
          <w:tcPr>
            <w:tcW w:type="dxa" w:w="850"/>
          </w:tcPr>
          <w:p>
            <w:pPr>
              <w:pStyle w:val="TableText"/>
              <w:jc w:val="center"/>
            </w:pPr>
            <w:r>
              <w:rPr>
                <w:rFonts w:ascii="Times New Roman" w:hAnsi="Times New Roman" w:cs="Times New Roman" w:eastAsia="Times New Roman"/>
                <w:sz w:val="20"/>
              </w:rPr>
              <w:t>8</w:t>
            </w:r>
          </w:p>
        </w:tc>
        <w:tc>
          <w:tcPr>
            <w:tcW w:type="dxa" w:w="4110"/>
          </w:tcPr>
          <w:p>
            <w:pPr>
              <w:pStyle w:val="TableText"/>
              <w:jc w:val="left"/>
            </w:pPr>
            <w:r>
              <w:rPr>
                <w:rFonts w:ascii="Times New Roman" w:hAnsi="Times New Roman" w:cs="Times New Roman" w:eastAsia="Times New Roman"/>
                <w:sz w:val="20"/>
              </w:rPr>
              <w:t>Cross-attention module (</w:t>
            </w:r>
            <w:r>
              <w:rPr>
                <w:rFonts w:ascii="Courier New" w:hAnsi="Courier New" w:cs="Courier New" w:eastAsia="Courier New"/>
                <w:i w:val="0"/>
                <w:sz w:val="20"/>
              </w:rPr>
              <w:t>cross_attention.py</w:t>
            </w:r>
            <w:r>
              <w:rPr>
                <w:rFonts w:ascii="Times New Roman" w:hAnsi="Times New Roman" w:cs="Times New Roman" w:eastAsia="Times New Roman"/>
                <w:sz w:val="20"/>
              </w:rPr>
              <w:t>)</w:t>
            </w:r>
          </w:p>
        </w:tc>
      </w:tr>
      <w:tr>
        <w:trPr>
          <w:cantSplit/>
        </w:trPr>
        <w:tc>
          <w:tcPr>
            <w:tcW w:type="dxa" w:w="3345"/>
          </w:tcPr>
          <w:p>
            <w:pPr>
              <w:pStyle w:val="TableText"/>
              <w:jc w:val="left"/>
            </w:pPr>
            <w:r>
              <w:rPr>
                <w:rFonts w:ascii="Courier New" w:hAnsi="Courier New" w:cs="Courier New" w:eastAsia="Courier New"/>
                <w:i w:val="0"/>
                <w:sz w:val="20"/>
              </w:rPr>
              <w:t>unit/test_grad_cam_3d.py</w:t>
            </w:r>
          </w:p>
        </w:tc>
        <w:tc>
          <w:tcPr>
            <w:tcW w:type="dxa" w:w="850"/>
          </w:tcPr>
          <w:p>
            <w:pPr>
              <w:pStyle w:val="TableText"/>
              <w:jc w:val="center"/>
            </w:pPr>
            <w:r>
              <w:rPr>
                <w:rFonts w:ascii="Times New Roman" w:hAnsi="Times New Roman" w:cs="Times New Roman" w:eastAsia="Times New Roman"/>
                <w:sz w:val="20"/>
              </w:rPr>
              <w:t>8</w:t>
            </w:r>
          </w:p>
        </w:tc>
        <w:tc>
          <w:tcPr>
            <w:tcW w:type="dxa" w:w="4110"/>
          </w:tcPr>
          <w:p>
            <w:pPr>
              <w:pStyle w:val="TableText"/>
              <w:jc w:val="left"/>
            </w:pPr>
            <w:r>
              <w:rPr>
                <w:rFonts w:ascii="Times New Roman" w:hAnsi="Times New Roman" w:cs="Times New Roman" w:eastAsia="Times New Roman"/>
                <w:sz w:val="20"/>
              </w:rPr>
              <w:t>3D Grad-CAM (</w:t>
            </w:r>
            <w:r>
              <w:rPr>
                <w:rFonts w:ascii="Courier New" w:hAnsi="Courier New" w:cs="Courier New" w:eastAsia="Courier New"/>
                <w:i w:val="0"/>
                <w:sz w:val="20"/>
              </w:rPr>
              <w:t>grad_cam_3d.py</w:t>
            </w:r>
            <w:r>
              <w:rPr>
                <w:rFonts w:ascii="Times New Roman" w:hAnsi="Times New Roman" w:cs="Times New Roman" w:eastAsia="Times New Roman"/>
                <w:sz w:val="20"/>
              </w:rPr>
              <w:t>)</w:t>
            </w:r>
          </w:p>
        </w:tc>
      </w:tr>
      <w:tr>
        <w:trPr>
          <w:cantSplit/>
        </w:trPr>
        <w:tc>
          <w:tcPr>
            <w:tcW w:type="dxa" w:w="3345"/>
          </w:tcPr>
          <w:p>
            <w:pPr>
              <w:pStyle w:val="TableText"/>
              <w:jc w:val="left"/>
            </w:pPr>
            <w:r>
              <w:rPr>
                <w:rFonts w:ascii="Courier New" w:hAnsi="Courier New" w:cs="Courier New" w:eastAsia="Courier New"/>
                <w:i w:val="0"/>
                <w:sz w:val="20"/>
              </w:rPr>
              <w:t>unit/test_cafn_model.py</w:t>
            </w:r>
          </w:p>
        </w:tc>
        <w:tc>
          <w:tcPr>
            <w:tcW w:type="dxa" w:w="850"/>
          </w:tcPr>
          <w:p>
            <w:pPr>
              <w:pStyle w:val="TableText"/>
              <w:jc w:val="center"/>
            </w:pPr>
            <w:r>
              <w:rPr>
                <w:rFonts w:ascii="Times New Roman" w:hAnsi="Times New Roman" w:cs="Times New Roman" w:eastAsia="Times New Roman"/>
                <w:sz w:val="20"/>
              </w:rPr>
              <w:t>7</w:t>
            </w:r>
          </w:p>
        </w:tc>
        <w:tc>
          <w:tcPr>
            <w:tcW w:type="dxa" w:w="4110"/>
          </w:tcPr>
          <w:p>
            <w:pPr>
              <w:pStyle w:val="TableText"/>
              <w:jc w:val="left"/>
            </w:pPr>
            <w:r>
              <w:rPr>
                <w:rFonts w:ascii="Times New Roman" w:hAnsi="Times New Roman" w:cs="Times New Roman" w:eastAsia="Times New Roman"/>
                <w:sz w:val="20"/>
              </w:rPr>
              <w:t>Complete model and multi-task loss (</w:t>
            </w:r>
            <w:r>
              <w:rPr>
                <w:rFonts w:ascii="Courier New" w:hAnsi="Courier New" w:cs="Courier New" w:eastAsia="Courier New"/>
                <w:i w:val="0"/>
                <w:sz w:val="20"/>
              </w:rPr>
              <w:t>cafn.py</w:t>
            </w:r>
            <w:r>
              <w:rPr>
                <w:rFonts w:ascii="Times New Roman" w:hAnsi="Times New Roman" w:cs="Times New Roman" w:eastAsia="Times New Roman"/>
                <w:sz w:val="20"/>
              </w:rPr>
              <w:t>)</w:t>
            </w:r>
          </w:p>
        </w:tc>
      </w:tr>
      <w:tr>
        <w:trPr>
          <w:cantSplit/>
        </w:trPr>
        <w:tc>
          <w:tcPr>
            <w:tcW w:type="dxa" w:w="3345"/>
          </w:tcPr>
          <w:p>
            <w:pPr>
              <w:pStyle w:val="TableText"/>
              <w:jc w:val="left"/>
            </w:pPr>
            <w:r>
              <w:rPr>
                <w:rFonts w:ascii="Courier New" w:hAnsi="Courier New" w:cs="Courier New" w:eastAsia="Courier New"/>
                <w:i w:val="0"/>
                <w:sz w:val="20"/>
              </w:rPr>
              <w:t>unit/test_dataset.py</w:t>
            </w:r>
          </w:p>
        </w:tc>
        <w:tc>
          <w:tcPr>
            <w:tcW w:type="dxa" w:w="850"/>
          </w:tcPr>
          <w:p>
            <w:pPr>
              <w:pStyle w:val="TableText"/>
              <w:jc w:val="center"/>
            </w:pPr>
            <w:r>
              <w:rPr>
                <w:rFonts w:ascii="Times New Roman" w:hAnsi="Times New Roman" w:cs="Times New Roman" w:eastAsia="Times New Roman"/>
                <w:sz w:val="20"/>
              </w:rPr>
              <w:t>7</w:t>
            </w:r>
          </w:p>
        </w:tc>
        <w:tc>
          <w:tcPr>
            <w:tcW w:type="dxa" w:w="4110"/>
          </w:tcPr>
          <w:p>
            <w:pPr>
              <w:pStyle w:val="TableText"/>
              <w:jc w:val="left"/>
            </w:pPr>
            <w:r>
              <w:rPr>
                <w:rFonts w:ascii="Times New Roman" w:hAnsi="Times New Roman" w:cs="Times New Roman" w:eastAsia="Times New Roman"/>
                <w:sz w:val="20"/>
              </w:rPr>
              <w:t>Dataset classes and synthetic generators (</w:t>
            </w:r>
            <w:r>
              <w:rPr>
                <w:rFonts w:ascii="Courier New" w:hAnsi="Courier New" w:cs="Courier New" w:eastAsia="Courier New"/>
                <w:i w:val="0"/>
                <w:sz w:val="20"/>
              </w:rPr>
              <w:t>dataset.py</w:t>
            </w:r>
            <w:r>
              <w:rPr>
                <w:rFonts w:ascii="Times New Roman" w:hAnsi="Times New Roman" w:cs="Times New Roman" w:eastAsia="Times New Roman"/>
                <w:sz w:val="20"/>
              </w:rPr>
              <w:t xml:space="preserve">, </w:t>
            </w:r>
            <w:r>
              <w:rPr>
                <w:rFonts w:ascii="Courier New" w:hAnsi="Courier New" w:cs="Courier New" w:eastAsia="Courier New"/>
                <w:i w:val="0"/>
                <w:sz w:val="20"/>
              </w:rPr>
              <w:t>synthetic.py</w:t>
            </w:r>
            <w:r>
              <w:rPr>
                <w:rFonts w:ascii="Times New Roman" w:hAnsi="Times New Roman" w:cs="Times New Roman" w:eastAsia="Times New Roman"/>
                <w:sz w:val="20"/>
              </w:rPr>
              <w:t>)</w:t>
            </w:r>
          </w:p>
        </w:tc>
      </w:tr>
      <w:tr>
        <w:trPr>
          <w:cantSplit/>
        </w:trPr>
        <w:tc>
          <w:tcPr>
            <w:tcW w:type="dxa" w:w="3345"/>
          </w:tcPr>
          <w:p>
            <w:pPr>
              <w:pStyle w:val="TableText"/>
              <w:jc w:val="left"/>
            </w:pPr>
            <w:r>
              <w:rPr>
                <w:rFonts w:ascii="Courier New" w:hAnsi="Courier New" w:cs="Courier New" w:eastAsia="Courier New"/>
                <w:i w:val="0"/>
                <w:sz w:val="20"/>
              </w:rPr>
              <w:t>unit/test_plot_attention.py</w:t>
            </w:r>
          </w:p>
        </w:tc>
        <w:tc>
          <w:tcPr>
            <w:tcW w:type="dxa" w:w="850"/>
          </w:tcPr>
          <w:p>
            <w:pPr>
              <w:pStyle w:val="TableText"/>
              <w:jc w:val="center"/>
            </w:pPr>
            <w:r>
              <w:rPr>
                <w:rFonts w:ascii="Times New Roman" w:hAnsi="Times New Roman" w:cs="Times New Roman" w:eastAsia="Times New Roman"/>
                <w:sz w:val="20"/>
              </w:rPr>
              <w:t>5</w:t>
            </w:r>
          </w:p>
        </w:tc>
        <w:tc>
          <w:tcPr>
            <w:tcW w:type="dxa" w:w="4110"/>
          </w:tcPr>
          <w:p>
            <w:pPr>
              <w:pStyle w:val="TableText"/>
              <w:jc w:val="left"/>
            </w:pPr>
            <w:r>
              <w:rPr>
                <w:rFonts w:ascii="Times New Roman" w:hAnsi="Times New Roman" w:cs="Times New Roman" w:eastAsia="Times New Roman"/>
                <w:sz w:val="20"/>
              </w:rPr>
              <w:t>Attention heatmap (</w:t>
            </w:r>
            <w:r>
              <w:rPr>
                <w:rFonts w:ascii="Courier New" w:hAnsi="Courier New" w:cs="Courier New" w:eastAsia="Courier New"/>
                <w:i w:val="0"/>
                <w:sz w:val="20"/>
              </w:rPr>
              <w:t>plot_attention.py</w:t>
            </w:r>
            <w:r>
              <w:rPr>
                <w:rFonts w:ascii="Times New Roman" w:hAnsi="Times New Roman" w:cs="Times New Roman" w:eastAsia="Times New Roman"/>
                <w:sz w:val="20"/>
              </w:rPr>
              <w:t>)</w:t>
            </w:r>
          </w:p>
        </w:tc>
      </w:tr>
      <w:tr>
        <w:trPr>
          <w:cantSplit/>
        </w:trPr>
        <w:tc>
          <w:tcPr>
            <w:tcW w:type="dxa" w:w="3345"/>
          </w:tcPr>
          <w:p>
            <w:pPr>
              <w:pStyle w:val="TableText"/>
              <w:jc w:val="left"/>
            </w:pPr>
            <w:r>
              <w:rPr>
                <w:rFonts w:ascii="Courier New" w:hAnsi="Courier New" w:cs="Courier New" w:eastAsia="Courier New"/>
                <w:i w:val="0"/>
                <w:sz w:val="20"/>
              </w:rPr>
              <w:t>unit/test_spatial_encoder.py</w:t>
            </w:r>
          </w:p>
        </w:tc>
        <w:tc>
          <w:tcPr>
            <w:tcW w:type="dxa" w:w="850"/>
          </w:tcPr>
          <w:p>
            <w:pPr>
              <w:pStyle w:val="TableText"/>
              <w:jc w:val="center"/>
            </w:pPr>
            <w:r>
              <w:rPr>
                <w:rFonts w:ascii="Times New Roman" w:hAnsi="Times New Roman" w:cs="Times New Roman" w:eastAsia="Times New Roman"/>
                <w:sz w:val="20"/>
              </w:rPr>
              <w:t>5</w:t>
            </w:r>
          </w:p>
        </w:tc>
        <w:tc>
          <w:tcPr>
            <w:tcW w:type="dxa" w:w="4110"/>
          </w:tcPr>
          <w:p>
            <w:pPr>
              <w:pStyle w:val="TableText"/>
              <w:jc w:val="left"/>
            </w:pPr>
            <w:r>
              <w:rPr>
                <w:rFonts w:ascii="Times New Roman" w:hAnsi="Times New Roman" w:cs="Times New Roman" w:eastAsia="Times New Roman"/>
                <w:sz w:val="20"/>
              </w:rPr>
              <w:t>Spatial encoder (</w:t>
            </w:r>
            <w:r>
              <w:rPr>
                <w:rFonts w:ascii="Courier New" w:hAnsi="Courier New" w:cs="Courier New" w:eastAsia="Courier New"/>
                <w:i w:val="0"/>
                <w:sz w:val="20"/>
              </w:rPr>
              <w:t>spatial_encoder.py</w:t>
            </w:r>
            <w:r>
              <w:rPr>
                <w:rFonts w:ascii="Times New Roman" w:hAnsi="Times New Roman" w:cs="Times New Roman" w:eastAsia="Times New Roman"/>
                <w:sz w:val="20"/>
              </w:rPr>
              <w:t>)</w:t>
            </w:r>
          </w:p>
        </w:tc>
      </w:tr>
      <w:tr>
        <w:trPr>
          <w:cantSplit/>
        </w:trPr>
        <w:tc>
          <w:tcPr>
            <w:tcW w:type="dxa" w:w="3345"/>
          </w:tcPr>
          <w:p>
            <w:pPr>
              <w:pStyle w:val="TableText"/>
              <w:jc w:val="left"/>
            </w:pPr>
            <w:r>
              <w:rPr>
                <w:rFonts w:ascii="Courier New" w:hAnsi="Courier New" w:cs="Courier New" w:eastAsia="Courier New"/>
                <w:i w:val="0"/>
                <w:sz w:val="20"/>
              </w:rPr>
              <w:t>unit/test_temporal_encoder.py</w:t>
            </w:r>
          </w:p>
        </w:tc>
        <w:tc>
          <w:tcPr>
            <w:tcW w:type="dxa" w:w="850"/>
          </w:tcPr>
          <w:p>
            <w:pPr>
              <w:pStyle w:val="TableText"/>
              <w:jc w:val="center"/>
            </w:pPr>
            <w:r>
              <w:rPr>
                <w:rFonts w:ascii="Times New Roman" w:hAnsi="Times New Roman" w:cs="Times New Roman" w:eastAsia="Times New Roman"/>
                <w:sz w:val="20"/>
              </w:rPr>
              <w:t>4</w:t>
            </w:r>
          </w:p>
        </w:tc>
        <w:tc>
          <w:tcPr>
            <w:tcW w:type="dxa" w:w="4110"/>
          </w:tcPr>
          <w:p>
            <w:pPr>
              <w:pStyle w:val="TableText"/>
              <w:jc w:val="left"/>
            </w:pPr>
            <w:r>
              <w:rPr>
                <w:rFonts w:ascii="Times New Roman" w:hAnsi="Times New Roman" w:cs="Times New Roman" w:eastAsia="Times New Roman"/>
                <w:sz w:val="20"/>
              </w:rPr>
              <w:t>Temporal encoder (</w:t>
            </w:r>
            <w:r>
              <w:rPr>
                <w:rFonts w:ascii="Courier New" w:hAnsi="Courier New" w:cs="Courier New" w:eastAsia="Courier New"/>
                <w:i w:val="0"/>
                <w:sz w:val="20"/>
              </w:rPr>
              <w:t>temporal_encoder.py</w:t>
            </w:r>
            <w:r>
              <w:rPr>
                <w:rFonts w:ascii="Times New Roman" w:hAnsi="Times New Roman" w:cs="Times New Roman" w:eastAsia="Times New Roman"/>
                <w:sz w:val="20"/>
              </w:rPr>
              <w:t>)</w:t>
            </w:r>
          </w:p>
        </w:tc>
      </w:tr>
      <w:tr>
        <w:trPr>
          <w:cantSplit/>
        </w:trPr>
        <w:tc>
          <w:tcPr>
            <w:tcW w:type="dxa" w:w="3345"/>
          </w:tcPr>
          <w:p>
            <w:pPr>
              <w:pStyle w:val="TableText"/>
              <w:jc w:val="left"/>
            </w:pPr>
            <w:r>
              <w:rPr>
                <w:rFonts w:ascii="Courier New" w:hAnsi="Courier New" w:cs="Courier New" w:eastAsia="Courier New"/>
                <w:i w:val="0"/>
                <w:sz w:val="20"/>
              </w:rPr>
              <w:t>unit/test_train_utils.py</w:t>
            </w:r>
          </w:p>
        </w:tc>
        <w:tc>
          <w:tcPr>
            <w:tcW w:type="dxa" w:w="850"/>
          </w:tcPr>
          <w:p>
            <w:pPr>
              <w:pStyle w:val="TableText"/>
              <w:jc w:val="center"/>
            </w:pPr>
            <w:r>
              <w:rPr>
                <w:rFonts w:ascii="Times New Roman" w:hAnsi="Times New Roman" w:cs="Times New Roman" w:eastAsia="Times New Roman"/>
                <w:sz w:val="20"/>
              </w:rPr>
              <w:t>4</w:t>
            </w:r>
          </w:p>
        </w:tc>
        <w:tc>
          <w:tcPr>
            <w:tcW w:type="dxa" w:w="4110"/>
          </w:tcPr>
          <w:p>
            <w:pPr>
              <w:pStyle w:val="TableText"/>
              <w:jc w:val="left"/>
            </w:pPr>
            <w:r>
              <w:rPr>
                <w:rFonts w:ascii="Times New Roman" w:hAnsi="Times New Roman" w:cs="Times New Roman" w:eastAsia="Times New Roman"/>
                <w:sz w:val="20"/>
              </w:rPr>
              <w:t>Training utilities (</w:t>
            </w:r>
            <w:r>
              <w:rPr>
                <w:rFonts w:ascii="Courier New" w:hAnsi="Courier New" w:cs="Courier New" w:eastAsia="Courier New"/>
                <w:i w:val="0"/>
                <w:sz w:val="20"/>
              </w:rPr>
              <w:t>train.py</w:t>
            </w:r>
            <w:r>
              <w:rPr>
                <w:rFonts w:ascii="Times New Roman" w:hAnsi="Times New Roman" w:cs="Times New Roman" w:eastAsia="Times New Roman"/>
                <w:sz w:val="20"/>
              </w:rPr>
              <w:t>)</w:t>
            </w:r>
          </w:p>
        </w:tc>
      </w:tr>
      <w:tr>
        <w:trPr>
          <w:cantSplit/>
        </w:trPr>
        <w:tc>
          <w:tcPr>
            <w:tcW w:type="dxa" w:w="3345"/>
          </w:tcPr>
          <w:p>
            <w:pPr>
              <w:pStyle w:val="TableText"/>
              <w:jc w:val="left"/>
            </w:pPr>
            <w:r>
              <w:rPr>
                <w:rFonts w:ascii="Courier New" w:hAnsi="Courier New" w:cs="Courier New" w:eastAsia="Courier New"/>
                <w:i w:val="0"/>
                <w:sz w:val="20"/>
              </w:rPr>
              <w:t>integration/test_pipeline_end_to_end.py</w:t>
            </w:r>
          </w:p>
        </w:tc>
        <w:tc>
          <w:tcPr>
            <w:tcW w:type="dxa" w:w="850"/>
          </w:tcPr>
          <w:p>
            <w:pPr>
              <w:pStyle w:val="TableText"/>
              <w:jc w:val="center"/>
            </w:pPr>
            <w:r>
              <w:rPr>
                <w:rFonts w:ascii="Times New Roman" w:hAnsi="Times New Roman" w:cs="Times New Roman" w:eastAsia="Times New Roman"/>
                <w:sz w:val="20"/>
              </w:rPr>
              <w:t>4</w:t>
            </w:r>
          </w:p>
        </w:tc>
        <w:tc>
          <w:tcPr>
            <w:tcW w:type="dxa" w:w="4110"/>
          </w:tcPr>
          <w:p>
            <w:pPr>
              <w:pStyle w:val="TableText"/>
              <w:jc w:val="left"/>
            </w:pPr>
            <w:r>
              <w:rPr>
                <w:rFonts w:ascii="Times New Roman" w:hAnsi="Times New Roman" w:cs="Times New Roman" w:eastAsia="Times New Roman"/>
                <w:sz w:val="20"/>
              </w:rPr>
              <w:t>Raw files through preprocessing, model, loss, optimiser step and explainability</w:t>
            </w:r>
          </w:p>
        </w:tc>
      </w:tr>
      <w:tr>
        <w:trPr>
          <w:cantSplit/>
        </w:trPr>
        <w:tc>
          <w:tcPr>
            <w:tcW w:type="dxa" w:w="3345"/>
          </w:tcPr>
          <w:p>
            <w:pPr>
              <w:pStyle w:val="TableText"/>
              <w:jc w:val="left"/>
            </w:pPr>
            <w:r>
              <w:rPr>
                <w:rFonts w:ascii="Courier New" w:hAnsi="Courier New" w:cs="Courier New" w:eastAsia="Courier New"/>
                <w:i w:val="0"/>
                <w:sz w:val="20"/>
              </w:rPr>
              <w:t>integration/test_training_loop.py</w:t>
            </w:r>
          </w:p>
        </w:tc>
        <w:tc>
          <w:tcPr>
            <w:tcW w:type="dxa" w:w="850"/>
          </w:tcPr>
          <w:p>
            <w:pPr>
              <w:pStyle w:val="TableText"/>
              <w:jc w:val="center"/>
            </w:pPr>
            <w:r>
              <w:rPr>
                <w:rFonts w:ascii="Times New Roman" w:hAnsi="Times New Roman" w:cs="Times New Roman" w:eastAsia="Times New Roman"/>
                <w:sz w:val="20"/>
              </w:rPr>
              <w:t>4</w:t>
            </w:r>
          </w:p>
        </w:tc>
        <w:tc>
          <w:tcPr>
            <w:tcW w:type="dxa" w:w="4110"/>
          </w:tcPr>
          <w:p>
            <w:pPr>
              <w:pStyle w:val="TableText"/>
              <w:jc w:val="left"/>
            </w:pPr>
            <w:r>
              <w:rPr>
                <w:rFonts w:ascii="Times New Roman" w:hAnsi="Times New Roman" w:cs="Times New Roman" w:eastAsia="Times New Roman"/>
                <w:sz w:val="20"/>
              </w:rPr>
              <w:t>Multi-epoch training, loss reduction, accuracy and checkpoint round-trip</w:t>
            </w:r>
          </w:p>
        </w:tc>
      </w:tr>
      <w:tr>
        <w:trPr>
          <w:cantSplit/>
        </w:trPr>
        <w:tc>
          <w:tcPr>
            <w:tcW w:type="dxa" w:w="3345"/>
          </w:tcPr>
          <w:p>
            <w:pPr>
              <w:pStyle w:val="TableText"/>
              <w:jc w:val="left"/>
            </w:pPr>
            <w:r>
              <w:rPr>
                <w:rFonts w:ascii="Times New Roman" w:hAnsi="Times New Roman" w:cs="Times New Roman" w:eastAsia="Times New Roman"/>
                <w:b/>
                <w:sz w:val="20"/>
              </w:rPr>
              <w:t>Total</w:t>
            </w:r>
          </w:p>
        </w:tc>
        <w:tc>
          <w:tcPr>
            <w:tcW w:type="dxa" w:w="850"/>
          </w:tcPr>
          <w:p>
            <w:pPr>
              <w:pStyle w:val="TableText"/>
              <w:jc w:val="center"/>
            </w:pPr>
            <w:r>
              <w:rPr>
                <w:rFonts w:ascii="Times New Roman" w:hAnsi="Times New Roman" w:cs="Times New Roman" w:eastAsia="Times New Roman"/>
                <w:b/>
                <w:sz w:val="20"/>
              </w:rPr>
              <w:t>86</w:t>
            </w:r>
          </w:p>
        </w:tc>
        <w:tc>
          <w:tcPr>
            <w:tcW w:type="dxa" w:w="4110"/>
          </w:tcPr>
          <w:p>
            <w:pPr>
              <w:pStyle w:val="TableText"/>
              <w:jc w:val="left"/>
            </w:pPr>
            <w:r>
              <w:rPr>
                <w:rFonts w:ascii="Times New Roman" w:hAnsi="Times New Roman" w:cs="Times New Roman" w:eastAsia="Times New Roman"/>
                <w:b/>
                <w:sz w:val="20"/>
              </w:rPr>
              <w:t>78 unit tests and 8 integration tests</w:t>
            </w:r>
          </w:p>
        </w:tc>
      </w:tr>
    </w:tbl>
    <w:p>
      <w:pPr>
        <w:spacing w:after="80" w:line="240" w:lineRule="auto"/>
      </w:pPr>
    </w:p>
    <w:p>
      <w:pPr>
        <w:pStyle w:val="Heading2"/>
      </w:pPr>
      <w:r>
        <w:rPr>
          <w:rFonts w:ascii="Times New Roman" w:hAnsi="Times New Roman" w:cs="Times New Roman" w:eastAsia="Times New Roman"/>
          <w:b/>
          <w:sz w:val="28"/>
        </w:rPr>
        <w:t>A3.2  TEST FUNCTIONS</w:t>
      </w:r>
    </w:p>
    <w:p>
      <w:pPr>
        <w:pStyle w:val="BodyJ"/>
        <w:ind w:firstLine="0"/>
      </w:pPr>
      <w:r>
        <w:rPr>
          <w:rFonts w:ascii="Times New Roman" w:hAnsi="Times New Roman" w:cs="Times New Roman" w:eastAsia="Times New Roman"/>
        </w:rPr>
        <w:t>Listing A3.1 lists every collected test function by file, test class and name, as recorded in the repository's pytest node-identifier file.</w:t>
      </w:r>
    </w:p>
    <w:p>
      <w:pPr>
        <w:keepNext/>
        <w:spacing w:before="160" w:after="60" w:line="240" w:lineRule="auto"/>
        <w:jc w:val="left"/>
      </w:pPr>
      <w:r>
        <w:rPr>
          <w:rFonts w:ascii="Times New Roman" w:hAnsi="Times New Roman" w:cs="Times New Roman" w:eastAsia="Times New Roman"/>
          <w:b/>
          <w:sz w:val="22"/>
        </w:rPr>
        <w:t>Listing A3.1: Collected test functions.</w:t>
      </w:r>
    </w:p>
    <w:p>
      <w:pPr>
        <w:pStyle w:val="CodeListing"/>
      </w:pPr>
      <w:r>
        <w:rPr>
          <w:rFonts w:ascii="Courier New" w:hAnsi="Courier New" w:cs="Courier New" w:eastAsia="Courier New"/>
          <w:sz w:val="16"/>
        </w:rPr>
        <w:t>unit/test_signal_cleaner.py</w:t>
      </w:r>
    </w:p>
    <w:p>
      <w:pPr>
        <w:pStyle w:val="CodeListing"/>
      </w:pPr>
      <w:r>
        <w:rPr>
          <w:rFonts w:ascii="Courier New" w:hAnsi="Courier New" w:cs="Courier New" w:eastAsia="Courier New"/>
          <w:sz w:val="16"/>
        </w:rPr>
        <w:t xml:space="preserve">    TestButterworthBandpass::test_output_shape_preserved</w:t>
      </w:r>
    </w:p>
    <w:p>
      <w:pPr>
        <w:pStyle w:val="CodeListing"/>
      </w:pPr>
      <w:r>
        <w:rPr>
          <w:rFonts w:ascii="Courier New" w:hAnsi="Courier New" w:cs="Courier New" w:eastAsia="Courier New"/>
          <w:sz w:val="16"/>
        </w:rPr>
        <w:t xml:space="preserve">    TestButterworthBandpass::test_attenuates_low_frequency_drift</w:t>
      </w:r>
    </w:p>
    <w:p>
      <w:pPr>
        <w:pStyle w:val="CodeListing"/>
      </w:pPr>
      <w:r>
        <w:rPr>
          <w:rFonts w:ascii="Courier New" w:hAnsi="Courier New" w:cs="Courier New" w:eastAsia="Courier New"/>
          <w:sz w:val="16"/>
        </w:rPr>
        <w:t xml:space="preserve">    TestButterworthBandpass::test_preserves_inband_content</w:t>
      </w:r>
    </w:p>
    <w:p>
      <w:pPr>
        <w:pStyle w:val="CodeListing"/>
      </w:pPr>
      <w:r>
        <w:rPr>
          <w:rFonts w:ascii="Courier New" w:hAnsi="Courier New" w:cs="Courier New" w:eastAsia="Courier New"/>
          <w:sz w:val="16"/>
        </w:rPr>
        <w:t xml:space="preserve">    TestButterworthBandpass::test_rejects_highcut_above_nyquist</w:t>
      </w:r>
    </w:p>
    <w:p>
      <w:pPr>
        <w:pStyle w:val="CodeListing"/>
      </w:pPr>
      <w:r>
        <w:rPr>
          <w:rFonts w:ascii="Courier New" w:hAnsi="Courier New" w:cs="Courier New" w:eastAsia="Courier New"/>
          <w:sz w:val="16"/>
        </w:rPr>
        <w:t xml:space="preserve">    TestButterworthBandpass::test_rejects_lowcut_above_highcut</w:t>
      </w:r>
    </w:p>
    <w:p>
      <w:pPr>
        <w:pStyle w:val="CodeListing"/>
      </w:pPr>
      <w:r>
        <w:rPr>
          <w:rFonts w:ascii="Courier New" w:hAnsi="Courier New" w:cs="Courier New" w:eastAsia="Courier New"/>
          <w:sz w:val="16"/>
        </w:rPr>
        <w:t xml:space="preserve">    TestButterworthBandpass::test_rejects_too_short_signal</w:t>
      </w:r>
    </w:p>
    <w:p>
      <w:pPr>
        <w:pStyle w:val="CodeListing"/>
      </w:pPr>
      <w:r>
        <w:rPr>
          <w:rFonts w:ascii="Courier New" w:hAnsi="Courier New" w:cs="Courier New" w:eastAsia="Courier New"/>
          <w:sz w:val="16"/>
        </w:rPr>
        <w:t xml:space="preserve">    TestButterworthBandpass::test_rejects_non_1d_input</w:t>
      </w:r>
    </w:p>
    <w:p>
      <w:pPr>
        <w:pStyle w:val="CodeListing"/>
      </w:pPr>
      <w:r>
        <w:rPr>
          <w:rFonts w:ascii="Courier New" w:hAnsi="Courier New" w:cs="Courier New" w:eastAsia="Courier New"/>
          <w:sz w:val="16"/>
        </w:rPr>
        <w:t xml:space="preserve">    TestButterworthBandpass::test_rejects_nan_input</w:t>
      </w:r>
    </w:p>
    <w:p>
      <w:pPr>
        <w:pStyle w:val="CodeListing"/>
      </w:pPr>
      <w:r>
        <w:rPr>
          <w:rFonts w:ascii="Courier New" w:hAnsi="Courier New" w:cs="Courier New" w:eastAsia="Courier New"/>
          <w:sz w:val="16"/>
        </w:rPr>
        <w:t xml:space="preserve">    TestNotchFilter::test_attenuates_mains_hum</w:t>
      </w:r>
    </w:p>
    <w:p>
      <w:pPr>
        <w:pStyle w:val="CodeListing"/>
      </w:pPr>
      <w:r>
        <w:rPr>
          <w:rFonts w:ascii="Courier New" w:hAnsi="Courier New" w:cs="Courier New" w:eastAsia="Courier New"/>
          <w:sz w:val="16"/>
        </w:rPr>
        <w:t xml:space="preserve">    TestNotchFilter::test_rejects_freq_above_nyquist</w:t>
      </w:r>
    </w:p>
    <w:p>
      <w:pPr>
        <w:pStyle w:val="CodeListing"/>
      </w:pPr>
      <w:r>
        <w:rPr>
          <w:rFonts w:ascii="Courier New" w:hAnsi="Courier New" w:cs="Courier New" w:eastAsia="Courier New"/>
          <w:sz w:val="16"/>
        </w:rPr>
        <w:t xml:space="preserve">    TestZscoreNormalize::test_mean_zero_std_one</w:t>
      </w:r>
    </w:p>
    <w:p>
      <w:pPr>
        <w:pStyle w:val="CodeListing"/>
      </w:pPr>
      <w:r>
        <w:rPr>
          <w:rFonts w:ascii="Courier New" w:hAnsi="Courier New" w:cs="Courier New" w:eastAsia="Courier New"/>
          <w:sz w:val="16"/>
        </w:rPr>
        <w:t xml:space="preserve">    TestZscoreNormalize::test_constant_signal_does_not_explode</w:t>
      </w:r>
    </w:p>
    <w:p>
      <w:pPr>
        <w:pStyle w:val="CodeListing"/>
      </w:pPr>
      <w:r>
        <w:rPr>
          <w:rFonts w:ascii="Courier New" w:hAnsi="Courier New" w:cs="Courier New" w:eastAsia="Courier New"/>
          <w:sz w:val="16"/>
        </w:rPr>
        <w:t xml:space="preserve">    TestResampleToLength::test_upsample_length</w:t>
      </w:r>
    </w:p>
    <w:p>
      <w:pPr>
        <w:pStyle w:val="CodeListing"/>
      </w:pPr>
      <w:r>
        <w:rPr>
          <w:rFonts w:ascii="Courier New" w:hAnsi="Courier New" w:cs="Courier New" w:eastAsia="Courier New"/>
          <w:sz w:val="16"/>
        </w:rPr>
        <w:t xml:space="preserve">    TestResampleToLength::test_downsample_length</w:t>
      </w:r>
    </w:p>
    <w:p>
      <w:pPr>
        <w:pStyle w:val="CodeListing"/>
      </w:pPr>
      <w:r>
        <w:rPr>
          <w:rFonts w:ascii="Courier New" w:hAnsi="Courier New" w:cs="Courier New" w:eastAsia="Courier New"/>
          <w:sz w:val="16"/>
        </w:rPr>
        <w:t xml:space="preserve">    TestResampleToLength::test_identity_when_same_length</w:t>
      </w:r>
    </w:p>
    <w:p>
      <w:pPr>
        <w:pStyle w:val="CodeListing"/>
      </w:pPr>
      <w:r>
        <w:rPr>
          <w:rFonts w:ascii="Courier New" w:hAnsi="Courier New" w:cs="Courier New" w:eastAsia="Courier New"/>
          <w:sz w:val="16"/>
        </w:rPr>
        <w:t xml:space="preserve">    TestCleanVepSignal::test_output_shape_dtype</w:t>
      </w:r>
    </w:p>
    <w:p>
      <w:pPr>
        <w:pStyle w:val="CodeListing"/>
      </w:pPr>
      <w:r>
        <w:rPr>
          <w:rFonts w:ascii="Courier New" w:hAnsi="Courier New" w:cs="Courier New" w:eastAsia="Courier New"/>
          <w:sz w:val="16"/>
        </w:rPr>
        <w:t xml:space="preserve">    TestCleanVepSignal::test_output_is_finite_and_normalized</w:t>
      </w:r>
    </w:p>
    <w:p>
      <w:pPr>
        <w:pStyle w:val="CodeListing"/>
      </w:pPr>
      <w:r>
        <w:rPr>
          <w:rFonts w:ascii="Courier New" w:hAnsi="Courier New" w:cs="Courier New" w:eastAsia="Courier New"/>
          <w:sz w:val="16"/>
        </w:rPr>
        <w:t xml:space="preserve">    TestCleanVepSignal::test_does_not_shift_p100_like_peak_latency</w:t>
      </w:r>
    </w:p>
    <w:p>
      <w:pPr>
        <w:pStyle w:val="CodeListing"/>
      </w:pPr>
      <w:r>
        <w:rPr>
          <w:rFonts w:ascii="Courier New" w:hAnsi="Courier New" w:cs="Courier New" w:eastAsia="Courier New"/>
          <w:sz w:val="16"/>
        </w:rPr>
        <w:t>unit/test_mri_transforms.py</w:t>
      </w:r>
    </w:p>
    <w:p>
      <w:pPr>
        <w:pStyle w:val="CodeListing"/>
      </w:pPr>
      <w:r>
        <w:rPr>
          <w:rFonts w:ascii="Courier New" w:hAnsi="Courier New" w:cs="Courier New" w:eastAsia="Courier New"/>
          <w:sz w:val="16"/>
        </w:rPr>
        <w:t xml:space="preserve">    TestLoadNifti::test_returns_ras_oriented_data</w:t>
      </w:r>
    </w:p>
    <w:p>
      <w:pPr>
        <w:pStyle w:val="CodeListing"/>
      </w:pPr>
      <w:r>
        <w:rPr>
          <w:rFonts w:ascii="Courier New" w:hAnsi="Courier New" w:cs="Courier New" w:eastAsia="Courier New"/>
          <w:sz w:val="16"/>
        </w:rPr>
        <w:t xml:space="preserve">    TestLoadNifti::test_returns_voxel_zooms</w:t>
      </w:r>
    </w:p>
    <w:p>
      <w:pPr>
        <w:pStyle w:val="CodeListing"/>
      </w:pPr>
      <w:r>
        <w:rPr>
          <w:rFonts w:ascii="Courier New" w:hAnsi="Courier New" w:cs="Courier New" w:eastAsia="Courier New"/>
          <w:sz w:val="16"/>
        </w:rPr>
        <w:t xml:space="preserve">    TestLoadNifti::test_rejects_non_3d_volume</w:t>
      </w:r>
    </w:p>
    <w:p>
      <w:pPr>
        <w:pStyle w:val="CodeListing"/>
      </w:pPr>
      <w:r>
        <w:rPr>
          <w:rFonts w:ascii="Courier New" w:hAnsi="Courier New" w:cs="Courier New" w:eastAsia="Courier New"/>
          <w:sz w:val="16"/>
        </w:rPr>
        <w:t xml:space="preserve">    TestForegroundMaskThreshold::test_zeroes_low_intensity_voxels</w:t>
      </w:r>
    </w:p>
    <w:p>
      <w:pPr>
        <w:pStyle w:val="CodeListing"/>
      </w:pPr>
      <w:r>
        <w:rPr>
          <w:rFonts w:ascii="Courier New" w:hAnsi="Courier New" w:cs="Courier New" w:eastAsia="Courier New"/>
          <w:sz w:val="16"/>
        </w:rPr>
        <w:t xml:space="preserve">    TestForegroundMaskThreshold::test_all_zero_volume_is_noop</w:t>
      </w:r>
    </w:p>
    <w:p>
      <w:pPr>
        <w:pStyle w:val="CodeListing"/>
      </w:pPr>
      <w:r>
        <w:rPr>
          <w:rFonts w:ascii="Courier New" w:hAnsi="Courier New" w:cs="Courier New" w:eastAsia="Courier New"/>
          <w:sz w:val="16"/>
        </w:rPr>
        <w:t xml:space="preserve">    TestResampleIsotropic::test_anisotropic_spacing_upsamples_correct_axis</w:t>
      </w:r>
    </w:p>
    <w:p>
      <w:pPr>
        <w:pStyle w:val="CodeListing"/>
      </w:pPr>
      <w:r>
        <w:rPr>
          <w:rFonts w:ascii="Courier New" w:hAnsi="Courier New" w:cs="Courier New" w:eastAsia="Courier New"/>
          <w:sz w:val="16"/>
        </w:rPr>
        <w:t xml:space="preserve">    TestResampleIsotropic::test_isotropic_input_shape_unchanged</w:t>
      </w:r>
    </w:p>
    <w:p>
      <w:pPr>
        <w:pStyle w:val="CodeListing"/>
      </w:pPr>
      <w:r>
        <w:rPr>
          <w:rFonts w:ascii="Courier New" w:hAnsi="Courier New" w:cs="Courier New" w:eastAsia="Courier New"/>
          <w:sz w:val="16"/>
        </w:rPr>
        <w:t xml:space="preserve">    TestPreprocessMriVolume::test_output_shape_and_range</w:t>
      </w:r>
    </w:p>
    <w:p>
      <w:pPr>
        <w:pStyle w:val="CodeListing"/>
      </w:pPr>
      <w:r>
        <w:rPr>
          <w:rFonts w:ascii="Courier New" w:hAnsi="Courier New" w:cs="Courier New" w:eastAsia="Courier New"/>
          <w:sz w:val="16"/>
        </w:rPr>
        <w:t xml:space="preserve">    TestPreprocessMriVolume::test_output_shape_default_config</w:t>
      </w:r>
    </w:p>
    <w:p>
      <w:pPr>
        <w:pStyle w:val="CodeListing"/>
      </w:pPr>
      <w:r>
        <w:rPr>
          <w:rFonts w:ascii="Courier New" w:hAnsi="Courier New" w:cs="Courier New" w:eastAsia="Courier New"/>
          <w:sz w:val="16"/>
        </w:rPr>
        <w:t xml:space="preserve">    TestPreprocessMriVolume::test_constant_volume_does_not_produce_nans</w:t>
      </w:r>
    </w:p>
    <w:p>
      <w:pPr>
        <w:pStyle w:val="CodeListing"/>
      </w:pPr>
      <w:r>
        <w:rPr>
          <w:rFonts w:ascii="Courier New" w:hAnsi="Courier New" w:cs="Courier New" w:eastAsia="Courier New"/>
          <w:sz w:val="16"/>
        </w:rPr>
        <w:t xml:space="preserve">    TestPreprocessMriVolume::test_rejects_non_3d_volume</w:t>
      </w:r>
    </w:p>
    <w:p>
      <w:pPr>
        <w:pStyle w:val="CodeListing"/>
      </w:pPr>
      <w:r>
        <w:rPr>
          <w:rFonts w:ascii="Courier New" w:hAnsi="Courier New" w:cs="Courier New" w:eastAsia="Courier New"/>
          <w:sz w:val="16"/>
        </w:rPr>
        <w:t xml:space="preserve">    TestPreprocessMriFile::test_full_file_pipeline</w:t>
      </w:r>
    </w:p>
    <w:p>
      <w:pPr>
        <w:pStyle w:val="CodeListing"/>
      </w:pPr>
      <w:r>
        <w:rPr>
          <w:rFonts w:ascii="Courier New" w:hAnsi="Courier New" w:cs="Courier New" w:eastAsia="Courier New"/>
          <w:sz w:val="16"/>
        </w:rPr>
        <w:t>unit/test_cross_attention.py</w:t>
      </w:r>
    </w:p>
    <w:p>
      <w:pPr>
        <w:pStyle w:val="CodeListing"/>
      </w:pPr>
      <w:r>
        <w:rPr>
          <w:rFonts w:ascii="Courier New" w:hAnsi="Courier New" w:cs="Courier New" w:eastAsia="Courier New"/>
          <w:sz w:val="16"/>
        </w:rPr>
        <w:t xml:space="preserve">    TestMultiHeadCrossAttention::test_output_and_attention_shapes</w:t>
      </w:r>
    </w:p>
    <w:p>
      <w:pPr>
        <w:pStyle w:val="CodeListing"/>
      </w:pPr>
      <w:r>
        <w:rPr>
          <w:rFonts w:ascii="Courier New" w:hAnsi="Courier New" w:cs="Courier New" w:eastAsia="Courier New"/>
          <w:sz w:val="16"/>
        </w:rPr>
        <w:t xml:space="preserve">    TestMultiHeadCrossAttention::test_attention_weights_sum_to_one</w:t>
      </w:r>
    </w:p>
    <w:p>
      <w:pPr>
        <w:pStyle w:val="CodeListing"/>
      </w:pPr>
      <w:r>
        <w:rPr>
          <w:rFonts w:ascii="Courier New" w:hAnsi="Courier New" w:cs="Courier New" w:eastAsia="Courier New"/>
          <w:sz w:val="16"/>
        </w:rPr>
        <w:t xml:space="preserve">    TestMultiHeadCrossAttention::test_handles_mismatched_query_key_lengths</w:t>
      </w:r>
    </w:p>
    <w:p>
      <w:pPr>
        <w:pStyle w:val="CodeListing"/>
      </w:pPr>
      <w:r>
        <w:rPr>
          <w:rFonts w:ascii="Courier New" w:hAnsi="Courier New" w:cs="Courier New" w:eastAsia="Courier New"/>
          <w:sz w:val="16"/>
        </w:rPr>
        <w:t xml:space="preserve">    TestMultiHeadCrossAttention::test_rejects_non_divisible_heads</w:t>
      </w:r>
    </w:p>
    <w:p>
      <w:pPr>
        <w:pStyle w:val="CodeListing"/>
      </w:pPr>
      <w:r>
        <w:rPr>
          <w:rFonts w:ascii="Courier New" w:hAnsi="Courier New" w:cs="Courier New" w:eastAsia="Courier New"/>
          <w:sz w:val="16"/>
        </w:rPr>
        <w:t xml:space="preserve">    TestCrossAttentionFusion::test_output_shape_matches_query_tokens</w:t>
      </w:r>
    </w:p>
    <w:p>
      <w:pPr>
        <w:pStyle w:val="CodeListing"/>
      </w:pPr>
      <w:r>
        <w:rPr>
          <w:rFonts w:ascii="Courier New" w:hAnsi="Courier New" w:cs="Courier New" w:eastAsia="Courier New"/>
          <w:sz w:val="16"/>
        </w:rPr>
        <w:t xml:space="preserve">    TestCrossAttentionFusion::test_output_is_finite</w:t>
      </w:r>
    </w:p>
    <w:p>
      <w:pPr>
        <w:pStyle w:val="CodeListing"/>
      </w:pPr>
      <w:r>
        <w:rPr>
          <w:rFonts w:ascii="Courier New" w:hAnsi="Courier New" w:cs="Courier New" w:eastAsia="Courier New"/>
          <w:sz w:val="16"/>
        </w:rPr>
        <w:t xml:space="preserve">    TestCrossAttentionFusion::test_gradients_flow_to_all_parameters</w:t>
      </w:r>
    </w:p>
    <w:p>
      <w:pPr>
        <w:pStyle w:val="CodeListing"/>
      </w:pPr>
      <w:r>
        <w:rPr>
          <w:rFonts w:ascii="Courier New" w:hAnsi="Courier New" w:cs="Courier New" w:eastAsia="Courier New"/>
          <w:sz w:val="16"/>
        </w:rPr>
        <w:t xml:space="preserve">    TestCrossAttentionFusion::test_temporal_signal_actually_influences_output</w:t>
      </w:r>
    </w:p>
    <w:p>
      <w:pPr>
        <w:pStyle w:val="CodeListing"/>
      </w:pPr>
      <w:r>
        <w:rPr>
          <w:rFonts w:ascii="Courier New" w:hAnsi="Courier New" w:cs="Courier New" w:eastAsia="Courier New"/>
          <w:sz w:val="16"/>
        </w:rPr>
        <w:t>unit/test_grad_cam_3d.py</w:t>
      </w:r>
    </w:p>
    <w:p>
      <w:pPr>
        <w:pStyle w:val="CodeListing"/>
      </w:pPr>
      <w:r>
        <w:rPr>
          <w:rFonts w:ascii="Courier New" w:hAnsi="Courier New" w:cs="Courier New" w:eastAsia="Courier New"/>
          <w:sz w:val="16"/>
        </w:rPr>
        <w:t xml:space="preserve">    TestGradCAM3D::test_cam_shape_matches_input_volume</w:t>
      </w:r>
    </w:p>
    <w:p>
      <w:pPr>
        <w:pStyle w:val="CodeListing"/>
      </w:pPr>
      <w:r>
        <w:rPr>
          <w:rFonts w:ascii="Courier New" w:hAnsi="Courier New" w:cs="Courier New" w:eastAsia="Courier New"/>
          <w:sz w:val="16"/>
        </w:rPr>
        <w:t xml:space="preserve">    TestGradCAM3D::test_cam_values_in_unit_range</w:t>
      </w:r>
    </w:p>
    <w:p>
      <w:pPr>
        <w:pStyle w:val="CodeListing"/>
      </w:pPr>
      <w:r>
        <w:rPr>
          <w:rFonts w:ascii="Courier New" w:hAnsi="Courier New" w:cs="Courier New" w:eastAsia="Courier New"/>
          <w:sz w:val="16"/>
        </w:rPr>
        <w:t xml:space="preserve">    TestGradCAM3D::test_explicit_target_class_is_respected</w:t>
      </w:r>
    </w:p>
    <w:p>
      <w:pPr>
        <w:pStyle w:val="CodeListing"/>
      </w:pPr>
      <w:r>
        <w:rPr>
          <w:rFonts w:ascii="Courier New" w:hAnsi="Courier New" w:cs="Courier New" w:eastAsia="Courier New"/>
          <w:sz w:val="16"/>
        </w:rPr>
        <w:t xml:space="preserve">    TestGradCAM3D::test_hooks_are_removed_after_generate</w:t>
      </w:r>
    </w:p>
    <w:p>
      <w:pPr>
        <w:pStyle w:val="CodeListing"/>
      </w:pPr>
      <w:r>
        <w:rPr>
          <w:rFonts w:ascii="Courier New" w:hAnsi="Courier New" w:cs="Courier New" w:eastAsia="Courier New"/>
          <w:sz w:val="16"/>
        </w:rPr>
        <w:t xml:space="preserve">    TestGradCAM3D::test_model_left_in_original_training_mode</w:t>
      </w:r>
    </w:p>
    <w:p>
      <w:pPr>
        <w:pStyle w:val="CodeListing"/>
      </w:pPr>
      <w:r>
        <w:rPr>
          <w:rFonts w:ascii="Courier New" w:hAnsi="Courier New" w:cs="Courier New" w:eastAsia="Courier New"/>
          <w:sz w:val="16"/>
        </w:rPr>
        <w:t xml:space="preserve">    TestGradCAM3D::test_manual_engine_generate_and_remove</w:t>
      </w:r>
    </w:p>
    <w:p>
      <w:pPr>
        <w:pStyle w:val="CodeListing"/>
      </w:pPr>
      <w:r>
        <w:rPr>
          <w:rFonts w:ascii="Courier New" w:hAnsi="Courier New" w:cs="Courier New" w:eastAsia="Courier New"/>
          <w:sz w:val="16"/>
        </w:rPr>
        <w:t xml:space="preserve">    TestPlotGradcamSlices::test_saves_png_file</w:t>
      </w:r>
    </w:p>
    <w:p>
      <w:pPr>
        <w:pStyle w:val="CodeListing"/>
      </w:pPr>
      <w:r>
        <w:rPr>
          <w:rFonts w:ascii="Courier New" w:hAnsi="Courier New" w:cs="Courier New" w:eastAsia="Courier New"/>
          <w:sz w:val="16"/>
        </w:rPr>
        <w:t xml:space="preserve">    TestPlotGradcamSlices::test_rejects_mismatched_shapes</w:t>
      </w:r>
    </w:p>
    <w:p>
      <w:pPr>
        <w:pStyle w:val="CodeListing"/>
      </w:pPr>
      <w:r>
        <w:rPr>
          <w:rFonts w:ascii="Courier New" w:hAnsi="Courier New" w:cs="Courier New" w:eastAsia="Courier New"/>
          <w:sz w:val="16"/>
        </w:rPr>
        <w:t>unit/test_cafn_model.py</w:t>
      </w:r>
    </w:p>
    <w:p>
      <w:pPr>
        <w:pStyle w:val="CodeListing"/>
      </w:pPr>
      <w:r>
        <w:rPr>
          <w:rFonts w:ascii="Courier New" w:hAnsi="Courier New" w:cs="Courier New" w:eastAsia="Courier New"/>
          <w:sz w:val="16"/>
        </w:rPr>
        <w:t xml:space="preserve">    TestCAFNForward::test_output_keys_and_shapes</w:t>
      </w:r>
    </w:p>
    <w:p>
      <w:pPr>
        <w:pStyle w:val="CodeListing"/>
      </w:pPr>
      <w:r>
        <w:rPr>
          <w:rFonts w:ascii="Courier New" w:hAnsi="Courier New" w:cs="Courier New" w:eastAsia="Courier New"/>
          <w:sz w:val="16"/>
        </w:rPr>
        <w:t xml:space="preserve">    TestCAFNForward::test_batch_size_one</w:t>
      </w:r>
    </w:p>
    <w:p>
      <w:pPr>
        <w:pStyle w:val="CodeListing"/>
      </w:pPr>
      <w:r>
        <w:rPr>
          <w:rFonts w:ascii="Courier New" w:hAnsi="Courier New" w:cs="Courier New" w:eastAsia="Courier New"/>
          <w:sz w:val="16"/>
        </w:rPr>
        <w:t xml:space="preserve">    TestCAFNForward::test_logits_are_finite</w:t>
      </w:r>
    </w:p>
    <w:p>
      <w:pPr>
        <w:pStyle w:val="CodeListing"/>
      </w:pPr>
      <w:r>
        <w:rPr>
          <w:rFonts w:ascii="Courier New" w:hAnsi="Courier New" w:cs="Courier New" w:eastAsia="Courier New"/>
          <w:sz w:val="16"/>
        </w:rPr>
        <w:t xml:space="preserve">    TestCAFNMultiTaskLoss::test_loss_is_finite_scalar</w:t>
      </w:r>
    </w:p>
    <w:p>
      <w:pPr>
        <w:pStyle w:val="CodeListing"/>
      </w:pPr>
      <w:r>
        <w:rPr>
          <w:rFonts w:ascii="Courier New" w:hAnsi="Courier New" w:cs="Courier New" w:eastAsia="Courier New"/>
          <w:sz w:val="16"/>
        </w:rPr>
        <w:t xml:space="preserve">    TestCAFNMultiTaskLoss::test_loss_equals_weighted_sum_of_parts</w:t>
      </w:r>
    </w:p>
    <w:p>
      <w:pPr>
        <w:pStyle w:val="CodeListing"/>
      </w:pPr>
      <w:r>
        <w:rPr>
          <w:rFonts w:ascii="Courier New" w:hAnsi="Courier New" w:cs="Courier New" w:eastAsia="Courier New"/>
          <w:sz w:val="16"/>
        </w:rPr>
        <w:t xml:space="preserve">    TestCAFNMultiTaskLoss::test_backward_reaches_every_parameter</w:t>
      </w:r>
    </w:p>
    <w:p>
      <w:pPr>
        <w:pStyle w:val="CodeListing"/>
      </w:pPr>
      <w:r>
        <w:rPr>
          <w:rFonts w:ascii="Courier New" w:hAnsi="Courier New" w:cs="Courier New" w:eastAsia="Courier New"/>
          <w:sz w:val="16"/>
        </w:rPr>
        <w:t xml:space="preserve">    TestCAFNMultiTaskLoss::test_optimizer_step_changes_weights</w:t>
      </w:r>
    </w:p>
    <w:p>
      <w:pPr>
        <w:pStyle w:val="CodeListing"/>
      </w:pPr>
      <w:r>
        <w:rPr>
          <w:rFonts w:ascii="Courier New" w:hAnsi="Courier New" w:cs="Courier New" w:eastAsia="Courier New"/>
          <w:sz w:val="16"/>
        </w:rPr>
        <w:t>unit/test_dataset.py</w:t>
      </w:r>
    </w:p>
    <w:p>
      <w:pPr>
        <w:pStyle w:val="CodeListing"/>
      </w:pPr>
      <w:r>
        <w:rPr>
          <w:rFonts w:ascii="Courier New" w:hAnsi="Courier New" w:cs="Courier New" w:eastAsia="Courier New"/>
          <w:sz w:val="16"/>
        </w:rPr>
        <w:t xml:space="preserve">    TestSyntheticNeuroDataset::test_item_shapes_and_types</w:t>
      </w:r>
    </w:p>
    <w:p>
      <w:pPr>
        <w:pStyle w:val="CodeListing"/>
      </w:pPr>
      <w:r>
        <w:rPr>
          <w:rFonts w:ascii="Courier New" w:hAnsi="Courier New" w:cs="Courier New" w:eastAsia="Courier New"/>
          <w:sz w:val="16"/>
        </w:rPr>
        <w:t xml:space="preserve">    TestSyntheticNeuroDataset::test_length</w:t>
      </w:r>
    </w:p>
    <w:p>
      <w:pPr>
        <w:pStyle w:val="CodeListing"/>
      </w:pPr>
      <w:r>
        <w:rPr>
          <w:rFonts w:ascii="Courier New" w:hAnsi="Courier New" w:cs="Courier New" w:eastAsia="Courier New"/>
          <w:sz w:val="16"/>
        </w:rPr>
        <w:t xml:space="preserve">    TestSyntheticNeuroDataset::test_labels_are_balanced_across_classes</w:t>
      </w:r>
    </w:p>
    <w:p>
      <w:pPr>
        <w:pStyle w:val="CodeListing"/>
      </w:pPr>
      <w:r>
        <w:rPr>
          <w:rFonts w:ascii="Courier New" w:hAnsi="Courier New" w:cs="Courier New" w:eastAsia="Courier New"/>
          <w:sz w:val="16"/>
        </w:rPr>
        <w:t xml:space="preserve">    TestSyntheticNeuroDataset::test_dataloader_batches_correctly</w:t>
      </w:r>
    </w:p>
    <w:p>
      <w:pPr>
        <w:pStyle w:val="CodeListing"/>
      </w:pPr>
      <w:r>
        <w:rPr>
          <w:rFonts w:ascii="Courier New" w:hAnsi="Courier New" w:cs="Courier New" w:eastAsia="Courier New"/>
          <w:sz w:val="16"/>
        </w:rPr>
        <w:t xml:space="preserve">    TestSyntheticNeuroDataset::test_different_seeds_change_labels</w:t>
      </w:r>
    </w:p>
    <w:p>
      <w:pPr>
        <w:pStyle w:val="CodeListing"/>
      </w:pPr>
      <w:r>
        <w:rPr>
          <w:rFonts w:ascii="Courier New" w:hAnsi="Courier New" w:cs="Courier New" w:eastAsia="Courier New"/>
          <w:sz w:val="16"/>
        </w:rPr>
        <w:t xml:space="preserve">    TestPairedNeuroDataset::test_reads_manifest_and_preprocesses</w:t>
      </w:r>
    </w:p>
    <w:p>
      <w:pPr>
        <w:pStyle w:val="CodeListing"/>
      </w:pPr>
      <w:r>
        <w:rPr>
          <w:rFonts w:ascii="Courier New" w:hAnsi="Courier New" w:cs="Courier New" w:eastAsia="Courier New"/>
          <w:sz w:val="16"/>
        </w:rPr>
        <w:t xml:space="preserve">    TestPairedNeuroDataset::test_raises_on_empty_manifest</w:t>
      </w:r>
    </w:p>
    <w:p>
      <w:pPr>
        <w:pStyle w:val="CodeListing"/>
      </w:pPr>
      <w:r>
        <w:rPr>
          <w:rFonts w:ascii="Courier New" w:hAnsi="Courier New" w:cs="Courier New" w:eastAsia="Courier New"/>
          <w:sz w:val="16"/>
        </w:rPr>
        <w:t>unit/test_plot_attention.py</w:t>
      </w:r>
    </w:p>
    <w:p>
      <w:pPr>
        <w:pStyle w:val="CodeListing"/>
      </w:pPr>
      <w:r>
        <w:rPr>
          <w:rFonts w:ascii="Courier New" w:hAnsi="Courier New" w:cs="Courier New" w:eastAsia="Courier New"/>
          <w:sz w:val="16"/>
        </w:rPr>
        <w:t xml:space="preserve">    TestCrossAttentionHeatmap::test_output_shape_averages_batch_and_heads</w:t>
      </w:r>
    </w:p>
    <w:p>
      <w:pPr>
        <w:pStyle w:val="CodeListing"/>
      </w:pPr>
      <w:r>
        <w:rPr>
          <w:rFonts w:ascii="Courier New" w:hAnsi="Courier New" w:cs="Courier New" w:eastAsia="Courier New"/>
          <w:sz w:val="16"/>
        </w:rPr>
        <w:t xml:space="preserve">    TestCrossAttentionHeatmap::test_values_are_nonnegative</w:t>
      </w:r>
    </w:p>
    <w:p>
      <w:pPr>
        <w:pStyle w:val="CodeListing"/>
      </w:pPr>
      <w:r>
        <w:rPr>
          <w:rFonts w:ascii="Courier New" w:hAnsi="Courier New" w:cs="Courier New" w:eastAsia="Courier New"/>
          <w:sz w:val="16"/>
        </w:rPr>
        <w:t xml:space="preserve">    TestCrossAttentionHeatmap::test_rejects_wrong_dimensionality</w:t>
      </w:r>
    </w:p>
    <w:p>
      <w:pPr>
        <w:pStyle w:val="CodeListing"/>
      </w:pPr>
      <w:r>
        <w:rPr>
          <w:rFonts w:ascii="Courier New" w:hAnsi="Courier New" w:cs="Courier New" w:eastAsia="Courier New"/>
          <w:sz w:val="16"/>
        </w:rPr>
        <w:t xml:space="preserve">    TestPlotCrossAttention::test_saves_png_and_returns_heatmap</w:t>
      </w:r>
    </w:p>
    <w:p>
      <w:pPr>
        <w:pStyle w:val="CodeListing"/>
      </w:pPr>
      <w:r>
        <w:rPr>
          <w:rFonts w:ascii="Courier New" w:hAnsi="Courier New" w:cs="Courier New" w:eastAsia="Courier New"/>
          <w:sz w:val="16"/>
        </w:rPr>
        <w:t xml:space="preserve">    TestPlotCrossAttention::test_heatmap_matches_manual_reduction</w:t>
      </w:r>
    </w:p>
    <w:p>
      <w:pPr>
        <w:pStyle w:val="CodeListing"/>
      </w:pPr>
      <w:r>
        <w:rPr>
          <w:rFonts w:ascii="Courier New" w:hAnsi="Courier New" w:cs="Courier New" w:eastAsia="Courier New"/>
          <w:sz w:val="16"/>
        </w:rPr>
        <w:t>unit/test_spatial_encoder.py</w:t>
      </w:r>
    </w:p>
    <w:p>
      <w:pPr>
        <w:pStyle w:val="CodeListing"/>
      </w:pPr>
      <w:r>
        <w:rPr>
          <w:rFonts w:ascii="Courier New" w:hAnsi="Courier New" w:cs="Courier New" w:eastAsia="Courier New"/>
          <w:sz w:val="16"/>
        </w:rPr>
        <w:t xml:space="preserve">    TestSpatialEncoder3D::test_output_shape</w:t>
      </w:r>
    </w:p>
    <w:p>
      <w:pPr>
        <w:pStyle w:val="CodeListing"/>
      </w:pPr>
      <w:r>
        <w:rPr>
          <w:rFonts w:ascii="Courier New" w:hAnsi="Courier New" w:cs="Courier New" w:eastAsia="Courier New"/>
          <w:sz w:val="16"/>
        </w:rPr>
        <w:t xml:space="preserve">    TestSpatialEncoder3D::test_batch_size_one</w:t>
      </w:r>
    </w:p>
    <w:p>
      <w:pPr>
        <w:pStyle w:val="CodeListing"/>
      </w:pPr>
      <w:r>
        <w:rPr>
          <w:rFonts w:ascii="Courier New" w:hAnsi="Courier New" w:cs="Courier New" w:eastAsia="Courier New"/>
          <w:sz w:val="16"/>
        </w:rPr>
        <w:t xml:space="preserve">    TestSpatialEncoder3D::test_gradients_flow_to_all_parameters</w:t>
      </w:r>
    </w:p>
    <w:p>
      <w:pPr>
        <w:pStyle w:val="CodeListing"/>
      </w:pPr>
      <w:r>
        <w:rPr>
          <w:rFonts w:ascii="Courier New" w:hAnsi="Courier New" w:cs="Courier New" w:eastAsia="Courier New"/>
          <w:sz w:val="16"/>
        </w:rPr>
        <w:t xml:space="preserve">    TestSpatialEncoder3D::test_last_conv_hook_target_participates_in_forward</w:t>
      </w:r>
    </w:p>
    <w:p>
      <w:pPr>
        <w:pStyle w:val="CodeListing"/>
      </w:pPr>
      <w:r>
        <w:rPr>
          <w:rFonts w:ascii="Courier New" w:hAnsi="Courier New" w:cs="Courier New" w:eastAsia="Courier New"/>
          <w:sz w:val="16"/>
        </w:rPr>
        <w:t xml:space="preserve">    TestSpatialEncoder3D::test_deterministic_in_eval_mode</w:t>
      </w:r>
    </w:p>
    <w:p>
      <w:pPr>
        <w:pStyle w:val="CodeListing"/>
      </w:pPr>
      <w:r>
        <w:rPr>
          <w:rFonts w:ascii="Courier New" w:hAnsi="Courier New" w:cs="Courier New" w:eastAsia="Courier New"/>
          <w:sz w:val="16"/>
        </w:rPr>
        <w:t>unit/test_temporal_encoder.py</w:t>
      </w:r>
    </w:p>
    <w:p>
      <w:pPr>
        <w:pStyle w:val="CodeListing"/>
      </w:pPr>
      <w:r>
        <w:rPr>
          <w:rFonts w:ascii="Courier New" w:hAnsi="Courier New" w:cs="Courier New" w:eastAsia="Courier New"/>
          <w:sz w:val="16"/>
        </w:rPr>
        <w:t xml:space="preserve">    TestTemporalEncoder1D::test_output_shape</w:t>
      </w:r>
    </w:p>
    <w:p>
      <w:pPr>
        <w:pStyle w:val="CodeListing"/>
      </w:pPr>
      <w:r>
        <w:rPr>
          <w:rFonts w:ascii="Courier New" w:hAnsi="Courier New" w:cs="Courier New" w:eastAsia="Courier New"/>
          <w:sz w:val="16"/>
        </w:rPr>
        <w:t xml:space="preserve">    TestTemporalEncoder1D::test_batch_size_one</w:t>
      </w:r>
    </w:p>
    <w:p>
      <w:pPr>
        <w:pStyle w:val="CodeListing"/>
      </w:pPr>
      <w:r>
        <w:rPr>
          <w:rFonts w:ascii="Courier New" w:hAnsi="Courier New" w:cs="Courier New" w:eastAsia="Courier New"/>
          <w:sz w:val="16"/>
        </w:rPr>
        <w:t xml:space="preserve">    TestTemporalEncoder1D::test_gradients_flow_to_all_parameters</w:t>
      </w:r>
    </w:p>
    <w:p>
      <w:pPr>
        <w:pStyle w:val="CodeListing"/>
      </w:pPr>
      <w:r>
        <w:rPr>
          <w:rFonts w:ascii="Courier New" w:hAnsi="Courier New" w:cs="Courier New" w:eastAsia="Courier New"/>
          <w:sz w:val="16"/>
        </w:rPr>
        <w:t xml:space="preserve">    TestTemporalEncoder1D::test_robust_to_varying_input_length</w:t>
      </w:r>
    </w:p>
    <w:p>
      <w:pPr>
        <w:pStyle w:val="CodeListing"/>
      </w:pPr>
      <w:r>
        <w:rPr>
          <w:rFonts w:ascii="Courier New" w:hAnsi="Courier New" w:cs="Courier New" w:eastAsia="Courier New"/>
          <w:sz w:val="16"/>
        </w:rPr>
        <w:t>unit/test_train_utils.py</w:t>
      </w:r>
    </w:p>
    <w:p>
      <w:pPr>
        <w:pStyle w:val="CodeListing"/>
      </w:pPr>
      <w:r>
        <w:rPr>
          <w:rFonts w:ascii="Courier New" w:hAnsi="Courier New" w:cs="Courier New" w:eastAsia="Courier New"/>
          <w:sz w:val="16"/>
        </w:rPr>
        <w:t xml:space="preserve">    TestTrainValSplit::test_normal_split_partitions_dataset</w:t>
      </w:r>
    </w:p>
    <w:p>
      <w:pPr>
        <w:pStyle w:val="CodeListing"/>
      </w:pPr>
      <w:r>
        <w:rPr>
          <w:rFonts w:ascii="Courier New" w:hAnsi="Courier New" w:cs="Courier New" w:eastAsia="Courier New"/>
          <w:sz w:val="16"/>
        </w:rPr>
        <w:t xml:space="preserve">    TestTrainValSplit::test_single_sample_dataset_falls_back_to_all_train</w:t>
      </w:r>
    </w:p>
    <w:p>
      <w:pPr>
        <w:pStyle w:val="CodeListing"/>
      </w:pPr>
      <w:r>
        <w:rPr>
          <w:rFonts w:ascii="Courier New" w:hAnsi="Courier New" w:cs="Courier New" w:eastAsia="Courier New"/>
          <w:sz w:val="16"/>
        </w:rPr>
        <w:t xml:space="preserve">    TestTrainValSplit::test_split_is_deterministic_for_fixed_seed</w:t>
      </w:r>
    </w:p>
    <w:p>
      <w:pPr>
        <w:pStyle w:val="CodeListing"/>
      </w:pPr>
      <w:r>
        <w:rPr>
          <w:rFonts w:ascii="Courier New" w:hAnsi="Courier New" w:cs="Courier New" w:eastAsia="Courier New"/>
          <w:sz w:val="16"/>
        </w:rPr>
        <w:t xml:space="preserve">    TestEvaluate::test_empty_loader_returns_nan</w:t>
      </w:r>
    </w:p>
    <w:p>
      <w:pPr>
        <w:pStyle w:val="CodeListing"/>
      </w:pPr>
      <w:r>
        <w:rPr>
          <w:rFonts w:ascii="Courier New" w:hAnsi="Courier New" w:cs="Courier New" w:eastAsia="Courier New"/>
          <w:sz w:val="16"/>
        </w:rPr>
        <w:t>integration/test_pipeline_end_to_end.py</w:t>
      </w:r>
    </w:p>
    <w:p>
      <w:pPr>
        <w:pStyle w:val="CodeListing"/>
      </w:pPr>
      <w:r>
        <w:rPr>
          <w:rFonts w:ascii="Courier New" w:hAnsi="Courier New" w:cs="Courier New" w:eastAsia="Courier New"/>
          <w:sz w:val="16"/>
        </w:rPr>
        <w:t xml:space="preserve">    TestFullPipelineFromRawFiles::test_raw_files_to_trained_step</w:t>
      </w:r>
    </w:p>
    <w:p>
      <w:pPr>
        <w:pStyle w:val="CodeListing"/>
      </w:pPr>
      <w:r>
        <w:rPr>
          <w:rFonts w:ascii="Courier New" w:hAnsi="Courier New" w:cs="Courier New" w:eastAsia="Courier New"/>
          <w:sz w:val="16"/>
        </w:rPr>
        <w:t xml:space="preserve">    TestFullPipelineFromRawFiles::test_preprocessing_output_feeds_model_without_shape_errors</w:t>
      </w:r>
    </w:p>
    <w:p>
      <w:pPr>
        <w:pStyle w:val="CodeListing"/>
      </w:pPr>
      <w:r>
        <w:rPr>
          <w:rFonts w:ascii="Courier New" w:hAnsi="Courier New" w:cs="Courier New" w:eastAsia="Courier New"/>
          <w:sz w:val="16"/>
        </w:rPr>
        <w:t xml:space="preserve">    TestExplainabilityOnRealPipelineOutput::test_gradcam_and_attention_plot_from_dataset_sample</w:t>
      </w:r>
    </w:p>
    <w:p>
      <w:pPr>
        <w:pStyle w:val="CodeListing"/>
      </w:pPr>
      <w:r>
        <w:rPr>
          <w:rFonts w:ascii="Courier New" w:hAnsi="Courier New" w:cs="Courier New" w:eastAsia="Courier New"/>
          <w:sz w:val="16"/>
        </w:rPr>
        <w:t xml:space="preserve">    TestClassConditionedSignalIsLearnable::test_glaucoma_vs_neuritis_vep_signals_are_distinguishable</w:t>
      </w:r>
    </w:p>
    <w:p>
      <w:pPr>
        <w:pStyle w:val="CodeListing"/>
      </w:pPr>
      <w:r>
        <w:rPr>
          <w:rFonts w:ascii="Courier New" w:hAnsi="Courier New" w:cs="Courier New" w:eastAsia="Courier New"/>
          <w:sz w:val="16"/>
        </w:rPr>
        <w:t>integration/test_training_loop.py</w:t>
      </w:r>
    </w:p>
    <w:p>
      <w:pPr>
        <w:pStyle w:val="CodeListing"/>
      </w:pPr>
      <w:r>
        <w:rPr>
          <w:rFonts w:ascii="Courier New" w:hAnsi="Courier New" w:cs="Courier New" w:eastAsia="Courier New"/>
          <w:sz w:val="16"/>
        </w:rPr>
        <w:t xml:space="preserve">    TestTrainModel::test_training_loss_decreases_substantially</w:t>
      </w:r>
    </w:p>
    <w:p>
      <w:pPr>
        <w:pStyle w:val="CodeListing"/>
      </w:pPr>
      <w:r>
        <w:rPr>
          <w:rFonts w:ascii="Courier New" w:hAnsi="Courier New" w:cs="Courier New" w:eastAsia="Courier New"/>
          <w:sz w:val="16"/>
        </w:rPr>
        <w:t xml:space="preserve">    TestTrainModel::test_model_learns_to_separate_classes</w:t>
      </w:r>
    </w:p>
    <w:p>
      <w:pPr>
        <w:pStyle w:val="CodeListing"/>
      </w:pPr>
      <w:r>
        <w:rPr>
          <w:rFonts w:ascii="Courier New" w:hAnsi="Courier New" w:cs="Courier New" w:eastAsia="Courier New"/>
          <w:sz w:val="16"/>
        </w:rPr>
        <w:t xml:space="preserve">    TestTrainModel::test_runs_without_validation_set</w:t>
      </w:r>
    </w:p>
    <w:p>
      <w:pPr>
        <w:pStyle w:val="CodeListing"/>
      </w:pPr>
      <w:r>
        <w:rPr>
          <w:rFonts w:ascii="Courier New" w:hAnsi="Courier New" w:cs="Courier New" w:eastAsia="Courier New"/>
          <w:sz w:val="16"/>
        </w:rPr>
        <w:t xml:space="preserve">    TestCheckpointRoundTrip::test_save_and_load_preserves_behavior</w:t>
      </w:r>
    </w:p>
    <w:p>
      <w:pPr>
        <w:pStyle w:val="Heading1"/>
      </w:pPr>
      <w:r>
        <w:rPr>
          <w:rFonts w:ascii="Times New Roman" w:hAnsi="Times New Roman" w:cs="Times New Roman" w:eastAsia="Times New Roman"/>
          <w:b/>
          <w:sz w:val="24"/>
        </w:rPr>
        <w:t>APPENDIX 4</w:t>
        <w:br/>
      </w:r>
      <w:r>
        <w:rPr>
          <w:rFonts w:ascii="Times New Roman" w:hAnsi="Times New Roman" w:cs="Times New Roman" w:eastAsia="Times New Roman"/>
          <w:b/>
          <w:sz w:val="32"/>
        </w:rPr>
        <w:t>REPRODUCTION NOTES</w:t>
      </w:r>
    </w:p>
    <w:p>
      <w:pPr>
        <w:pStyle w:val="Heading2"/>
      </w:pPr>
      <w:r>
        <w:rPr>
          <w:rFonts w:ascii="Times New Roman" w:hAnsi="Times New Roman" w:cs="Times New Roman" w:eastAsia="Times New Roman"/>
          <w:b/>
          <w:sz w:val="28"/>
        </w:rPr>
        <w:t>A4.1  SOFTWARE ENVIRONMENT</w:t>
      </w:r>
    </w:p>
    <w:p>
      <w:pPr>
        <w:pStyle w:val="BodyJ"/>
        <w:ind w:firstLine="0"/>
      </w:pPr>
      <w:r>
        <w:rPr>
          <w:rFonts w:ascii="Times New Roman" w:hAnsi="Times New Roman" w:cs="Times New Roman" w:eastAsia="Times New Roman"/>
        </w:rPr>
        <w:t xml:space="preserve">The repository lists its dependencies in </w:t>
      </w:r>
      <w:r>
        <w:rPr>
          <w:rFonts w:ascii="Courier New" w:hAnsi="Courier New" w:cs="Courier New" w:eastAsia="Courier New"/>
        </w:rPr>
        <w:t xml:space="preserve">requirements.txt</w:t>
      </w:r>
      <w:r>
        <w:rPr>
          <w:rFonts w:ascii="Times New Roman" w:hAnsi="Times New Roman" w:cs="Times New Roman" w:eastAsia="Times New Roman"/>
        </w:rPr>
        <w:t xml:space="preserve">: torch, monai, nibabel, scipy, numpy, matplotlib, scikit-learn, mne, nilearn, pytest and pytest-cov, with version ranges; the versions installed at the time of a run are recorded in the environment snapshot that </w:t>
      </w:r>
      <w:r>
        <w:rPr>
          <w:rFonts w:ascii="Courier New" w:hAnsi="Courier New" w:cs="Courier New" w:eastAsia="Courier New"/>
        </w:rPr>
        <w:t xml:space="preserve">run_all.sh</w:t>
      </w:r>
      <w:r>
        <w:rPr>
          <w:rFonts w:ascii="Times New Roman" w:hAnsi="Times New Roman" w:cs="Times New Roman" w:eastAsia="Times New Roman"/>
        </w:rPr>
        <w:t xml:space="preserve"> writes. The results were produced on an NVIDIA RTX 3050 Laptop GPU (4 GB, thermally throttled during long runs), with some synthetic-benchmark runs on an Apple M3 Max, using Python 3.14 on macOS and Python 3.12 on Ubuntu 22.04 under WSL2 with CUDA. The model needs less than 1 GB of memory at batch size 8.</w:t>
      </w:r>
    </w:p>
    <w:p>
      <w:pPr>
        <w:pStyle w:val="Heading2"/>
      </w:pPr>
      <w:r>
        <w:rPr>
          <w:rFonts w:ascii="Times New Roman" w:hAnsi="Times New Roman" w:cs="Times New Roman" w:eastAsia="Times New Roman"/>
          <w:b/>
          <w:sz w:val="28"/>
        </w:rPr>
        <w:t>A4.2  COMMANDS</w:t>
      </w:r>
    </w:p>
    <w:p>
      <w:pPr>
        <w:keepNext/>
        <w:spacing w:before="160" w:after="60" w:line="240" w:lineRule="auto"/>
        <w:jc w:val="left"/>
      </w:pPr>
      <w:r>
        <w:rPr>
          <w:rFonts w:ascii="Times New Roman" w:hAnsi="Times New Roman" w:cs="Times New Roman" w:eastAsia="Times New Roman"/>
          <w:b/>
          <w:sz w:val="22"/>
        </w:rPr>
        <w:t xml:space="preserve">Listing A4.1: Commands used with the repository.</w:t>
      </w:r>
    </w:p>
    <w:p>
      <w:pPr>
        <w:pStyle w:val="CodeListing"/>
      </w:pPr>
      <w:r>
        <w:rPr>
          <w:rFonts w:ascii="Courier New" w:hAnsi="Courier New" w:cs="Courier New" w:eastAsia="Courier New"/>
          <w:sz w:val="16"/>
        </w:rPr>
        <w:t xml:space="preserve"># install the dependencies</w:t>
      </w:r>
    </w:p>
    <w:p>
      <w:pPr>
        <w:pStyle w:val="CodeListing"/>
      </w:pPr>
      <w:r>
        <w:rPr>
          <w:rFonts w:ascii="Courier New" w:hAnsi="Courier New" w:cs="Courier New" w:eastAsia="Courier New"/>
          <w:sz w:val="16"/>
        </w:rPr>
        <w:t xml:space="preserve">pip install -r requirements.txt</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run the test suite (340 tests), optionally with coverage</w:t>
      </w:r>
    </w:p>
    <w:p>
      <w:pPr>
        <w:pStyle w:val="CodeListing"/>
      </w:pPr>
      <w:r>
        <w:rPr>
          <w:rFonts w:ascii="Courier New" w:hAnsi="Courier New" w:cs="Courier New" w:eastAsia="Courier New"/>
          <w:sz w:val="16"/>
        </w:rPr>
        <w:t xml:space="preserve">pytest</w:t>
      </w:r>
    </w:p>
    <w:p>
      <w:pPr>
        <w:pStyle w:val="CodeListing"/>
      </w:pPr>
      <w:r>
        <w:rPr>
          <w:rFonts w:ascii="Courier New" w:hAnsi="Courier New" w:cs="Courier New" w:eastAsia="Courier New"/>
          <w:sz w:val="16"/>
        </w:rPr>
        <w:t xml:space="preserve">pytest --cov=src</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one-command real-cohort pipeline: download -&gt; preprocess -&gt; train -&gt; validate -&gt; test</w:t>
      </w:r>
    </w:p>
    <w:p>
      <w:pPr>
        <w:pStyle w:val="CodeListing"/>
      </w:pPr>
      <w:r>
        <w:rPr>
          <w:rFonts w:ascii="Courier New" w:hAnsi="Courier New" w:cs="Courier New" w:eastAsia="Courier New"/>
          <w:sz w:val="16"/>
        </w:rPr>
        <w:t xml:space="preserve">./run_all.sh              # full run (downloads about 68 GB, trains overnight; resumable)</w:t>
      </w:r>
    </w:p>
    <w:p>
      <w:pPr>
        <w:pStyle w:val="CodeListing"/>
      </w:pPr>
      <w:r>
        <w:rPr>
          <w:rFonts w:ascii="Courier New" w:hAnsi="Courier New" w:cs="Courier New" w:eastAsia="Courier New"/>
          <w:sz w:val="16"/>
        </w:rPr>
        <w:t xml:space="preserve">./run_all.sh --smoke      # 1 subject per group, 2 epochs: plumbing check</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the stages individually</w:t>
      </w:r>
    </w:p>
    <w:p>
      <w:pPr>
        <w:pStyle w:val="CodeListing"/>
      </w:pPr>
      <w:r>
        <w:rPr>
          <w:rFonts w:ascii="Courier New" w:hAnsi="Courier New" w:cs="Courier New" w:eastAsia="Courier New"/>
          <w:sz w:val="16"/>
        </w:rPr>
        <w:t xml:space="preserve">python scripts/download_datasets.py          # dry run: lists files and exact sizes</w:t>
      </w:r>
    </w:p>
    <w:p>
      <w:pPr>
        <w:pStyle w:val="CodeListing"/>
      </w:pPr>
      <w:r>
        <w:rPr>
          <w:rFonts w:ascii="Courier New" w:hAnsi="Courier New" w:cs="Courier New" w:eastAsia="Courier New"/>
          <w:sz w:val="16"/>
        </w:rPr>
        <w:t xml:space="preserve">python scripts/download_datasets.py --yes    # download the two core cohorts</w:t>
      </w:r>
    </w:p>
    <w:p>
      <w:pPr>
        <w:pStyle w:val="CodeListing"/>
      </w:pPr>
      <w:r>
        <w:rPr>
          <w:rFonts w:ascii="Courier New" w:hAnsi="Courier New" w:cs="Courier New" w:eastAsia="Courier New"/>
          <w:sz w:val="16"/>
        </w:rPr>
        <w:t xml:space="preserve">python -m src.data.cohorts --raw data/raw --out data/processed</w:t>
      </w:r>
    </w:p>
    <w:p>
      <w:pPr>
        <w:pStyle w:val="CodeListing"/>
      </w:pPr>
      <w:r>
        <w:rPr>
          <w:rFonts w:ascii="Courier New" w:hAnsi="Courier New" w:cs="Courier New" w:eastAsia="Courier New"/>
          <w:sz w:val="16"/>
        </w:rPr>
        <w:t xml:space="preserve">python -m src.cohort_experiments --manifest data/processed/manifest.csv --out results/cohorts</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Study B: repeated cross-validation, baselines, bootstrap, permutation tests</w:t>
      </w:r>
    </w:p>
    <w:p>
      <w:pPr>
        <w:pStyle w:val="CodeListing"/>
      </w:pPr>
      <w:r>
        <w:rPr>
          <w:rFonts w:ascii="Courier New" w:hAnsi="Courier New" w:cs="Courier New" w:eastAsia="Courier New"/>
          <w:sz w:val="16"/>
        </w:rPr>
        <w:t xml:space="preserve">python -m src.cv_real --manifest data/processed/manifest.csv --out results/real_cv</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Study A: controlled synthetic benchmark (pilot, then the main setting on five seeds)</w:t>
      </w:r>
    </w:p>
    <w:p>
      <w:pPr>
        <w:pStyle w:val="CodeListing"/>
      </w:pPr>
      <w:r>
        <w:rPr>
          <w:rFonts w:ascii="Courier New" w:hAnsi="Courier New" w:cs="Courier New" w:eastAsia="Courier New"/>
          <w:sz w:val="16"/>
        </w:rPr>
        <w:t xml:space="preserve">python -m src.ablation_synthetic --pilot --out results/synth_pilot</w:t>
      </w:r>
    </w:p>
    <w:p>
      <w:pPr>
        <w:pStyle w:val="CodeListing"/>
      </w:pPr>
      <w:r>
        <w:rPr>
          <w:rFonts w:ascii="Courier New" w:hAnsi="Courier New" w:cs="Courier New" w:eastAsia="Courier New"/>
          <w:sz w:val="16"/>
        </w:rPr>
        <w:t xml:space="preserve">python -m src.ablation_synthetic --out results/synth --settings 1.0:0.3 --seeds 0 1 2 3 4</w:t>
      </w:r>
    </w:p>
    <w:p>
      <w:pPr>
        <w:pStyle w:val="CodeListing"/>
      </w:pPr>
      <w:r>
        <w:rPr>
          <w:rFonts w:ascii="Courier New" w:hAnsi="Courier New" w:cs="Courier New" w:eastAsia="Courier New"/>
          <w:sz w:val="16"/>
        </w:rPr>
        <w:t xml:space="preserve"> </w:t>
      </w:r>
    </w:p>
    <w:p>
      <w:pPr>
        <w:pStyle w:val="CodeListing"/>
      </w:pPr>
      <w:r>
        <w:rPr>
          <w:rFonts w:ascii="Courier New" w:hAnsi="Courier New" w:cs="Courier New" w:eastAsia="Courier New"/>
          <w:sz w:val="16"/>
        </w:rPr>
        <w:t xml:space="preserve"># general training command line: synthetic data, or a manifest</w:t>
      </w:r>
    </w:p>
    <w:p>
      <w:pPr>
        <w:pStyle w:val="CodeListing"/>
      </w:pPr>
      <w:r>
        <w:rPr>
          <w:rFonts w:ascii="Courier New" w:hAnsi="Courier New" w:cs="Courier New" w:eastAsia="Courier New"/>
          <w:sz w:val="16"/>
        </w:rPr>
        <w:t xml:space="preserve">python -m src.train --epochs 20 --batch-size 8 --lr 1e-3 \</w:t>
      </w:r>
    </w:p>
    <w:p>
      <w:pPr>
        <w:pStyle w:val="CodeListing"/>
      </w:pPr>
      <w:r>
        <w:rPr>
          <w:rFonts w:ascii="Courier New" w:hAnsi="Courier New" w:cs="Courier New" w:eastAsia="Courier New"/>
          <w:sz w:val="16"/>
        </w:rPr>
        <w:t xml:space="preserve">    --synthetic-samples 64 --seed 42 --run-name demo</w:t>
      </w:r>
    </w:p>
    <w:p>
      <w:pPr>
        <w:pStyle w:val="CodeListing"/>
      </w:pPr>
      <w:r>
        <w:rPr>
          <w:rFonts w:ascii="Courier New" w:hAnsi="Courier New" w:cs="Courier New" w:eastAsia="Courier New"/>
          <w:sz w:val="16"/>
        </w:rPr>
        <w:t xml:space="preserve">python -m src.train --manifest data/processed/manifest.csv --amp --device auto --test-split 0.15</w:t>
      </w:r>
    </w:p>
    <w:p>
      <w:pPr>
        <w:pStyle w:val="Heading2"/>
      </w:pPr>
      <w:r>
        <w:rPr>
          <w:rFonts w:ascii="Times New Roman" w:hAnsi="Times New Roman" w:cs="Times New Roman" w:eastAsia="Times New Roman"/>
          <w:b/>
          <w:sz w:val="28"/>
        </w:rPr>
        <w:t>A4.3  MEASUREMENTS REPORTED IN CHAPTER 5</w:t>
      </w:r>
    </w:p>
    <w:p>
      <w:pPr>
        <w:pStyle w:val="BodyJ"/>
        <w:ind w:firstLine="0"/>
      </w:pPr>
      <w:r>
        <w:rPr>
          <w:rFonts w:ascii="Times New Roman" w:hAnsi="Times New Roman" w:cs="Times New Roman" w:eastAsia="Times New Roman"/>
        </w:rPr>
        <w:t xml:space="preserve">The signal-conditioning and synthetic-data measurements of Sections 5.2 and 5.3 were produced by a stand-alone script, </w:t>
      </w:r>
      <w:r>
        <w:rPr>
          <w:rFonts w:ascii="Courier New" w:hAnsi="Courier New" w:cs="Courier New" w:eastAsia="Courier New"/>
        </w:rPr>
        <w:t xml:space="preserve">report_experiments.py</w:t>
      </w:r>
      <w:r>
        <w:rPr>
          <w:rFonts w:ascii="Times New Roman" w:hAnsi="Times New Roman" w:cs="Times New Roman" w:eastAsia="Times New Roman"/>
        </w:rPr>
        <w:t xml:space="preserve">, which imports the repository's own </w:t>
      </w:r>
      <w:r>
        <w:rPr>
          <w:rFonts w:ascii="Courier New" w:hAnsi="Courier New" w:cs="Courier New" w:eastAsia="Courier New"/>
        </w:rPr>
        <w:t xml:space="preserve">clean_vep_signal</w:t>
      </w:r>
      <w:r>
        <w:rPr>
          <w:rFonts w:ascii="Times New Roman" w:hAnsi="Times New Roman" w:cs="Times New Roman" w:eastAsia="Times New Roman"/>
        </w:rPr>
        <w:t xml:space="preserve">, </w:t>
      </w:r>
      <w:r>
        <w:rPr>
          <w:rFonts w:ascii="Courier New" w:hAnsi="Courier New" w:cs="Courier New" w:eastAsia="Courier New"/>
        </w:rPr>
        <w:t xml:space="preserve">synthetic_vep_signal</w:t>
      </w:r>
      <w:r>
        <w:rPr>
          <w:rFonts w:ascii="Times New Roman" w:hAnsi="Times New Roman" w:cs="Times New Roman" w:eastAsia="Times New Roman"/>
        </w:rPr>
        <w:t xml:space="preserve">, </w:t>
      </w:r>
      <w:r>
        <w:rPr>
          <w:rFonts w:ascii="Courier New" w:hAnsi="Courier New" w:cs="Courier New" w:eastAsia="Courier New"/>
        </w:rPr>
        <w:t xml:space="preserve">synthetic_mri_volume</w:t>
      </w:r>
      <w:r>
        <w:rPr>
          <w:rFonts w:ascii="Times New Roman" w:hAnsi="Times New Roman" w:cs="Times New Roman" w:eastAsia="Times New Roman"/>
        </w:rPr>
        <w:t xml:space="preserve"> and </w:t>
      </w:r>
      <w:r>
        <w:rPr>
          <w:rFonts w:ascii="Courier New" w:hAnsi="Courier New" w:cs="Courier New" w:eastAsia="Courier New"/>
        </w:rPr>
        <w:t xml:space="preserve">foreground_mask_threshold</w:t>
      </w:r>
      <w:r>
        <w:rPr>
          <w:rFonts w:ascii="Times New Roman" w:hAnsi="Times New Roman" w:cs="Times New Roman" w:eastAsia="Times New Roman"/>
        </w:rPr>
        <w:t xml:space="preserve"> functions (in their original versions), generates 50 seeded records per class and writes figures and a JSON file of results. A second script, </w:t>
      </w:r>
      <w:r>
        <w:rPr>
          <w:rFonts w:ascii="Courier New" w:hAnsi="Courier New" w:cs="Courier New" w:eastAsia="Courier New"/>
        </w:rPr>
        <w:t xml:space="preserve">model_complexity.py</w:t>
      </w:r>
      <w:r>
        <w:rPr>
          <w:rFonts w:ascii="Times New Roman" w:hAnsi="Times New Roman" w:cs="Times New Roman" w:eastAsia="Times New Roman"/>
        </w:rPr>
        <w:t xml:space="preserve">, counts parameters and multiply-accumulate operations analytically from the layer definitions; its result for the final model is stored in </w:t>
      </w:r>
      <w:r>
        <w:rPr>
          <w:rFonts w:ascii="Courier New" w:hAnsi="Courier New" w:cs="Courier New" w:eastAsia="Courier New"/>
        </w:rPr>
        <w:t xml:space="preserve">docs/results_raw/model_complexity_v2.json</w:t>
      </w:r>
      <w:r>
        <w:rPr>
          <w:rFonts w:ascii="Times New Roman" w:hAnsi="Times New Roman" w:cs="Times New Roman" w:eastAsia="Times New Roman"/>
        </w:rPr>
        <w:t xml:space="preserve">. These scripts and the resulting data files are supplied with this report in the folder </w:t>
      </w:r>
      <w:r>
        <w:rPr>
          <w:rFonts w:ascii="Courier New" w:hAnsi="Courier New" w:cs="Courier New" w:eastAsia="Courier New"/>
        </w:rPr>
        <w:t xml:space="preserve">report_assets/</w:t>
      </w:r>
      <w:r>
        <w:rPr>
          <w:rFonts w:ascii="Times New Roman" w:hAnsi="Times New Roman" w:cs="Times New Roman" w:eastAsia="Times New Roman"/>
        </w:rPr>
        <w:t xml:space="preserve">. The scripts can be re-run with </w:t>
      </w:r>
      <w:r>
        <w:rPr>
          <w:rFonts w:ascii="Courier New" w:hAnsi="Courier New" w:cs="Courier New" w:eastAsia="Courier New"/>
        </w:rPr>
        <w:t xml:space="preserve">NEURO_REPO=&lt;path to repository&gt; python report_experiments.py &lt;output directory&gt;</w:t>
      </w:r>
      <w:r>
        <w:rPr>
          <w:rFonts w:ascii="Times New Roman" w:hAnsi="Times New Roman" w:cs="Times New Roman" w:eastAsia="Times New Roman"/>
        </w:rPr>
        <w:t xml:space="preserve">; they were written for the original code base, and because the synthetic generator has since changed (Section 3.5.4) they will not reproduce Tables 5.2 and 5.4 exactly with the current generator. The results of Sections 5.9 to 5.12 were produced by </w:t>
      </w:r>
      <w:r>
        <w:rPr>
          <w:rFonts w:ascii="Courier New" w:hAnsi="Courier New" w:cs="Courier New" w:eastAsia="Courier New"/>
        </w:rPr>
        <w:t xml:space="preserve">src/ablation_synthetic.py</w:t>
      </w:r>
      <w:r>
        <w:rPr>
          <w:rFonts w:ascii="Times New Roman" w:hAnsi="Times New Roman" w:cs="Times New Roman" w:eastAsia="Times New Roman"/>
        </w:rPr>
        <w:t xml:space="preserve">, </w:t>
      </w:r>
      <w:r>
        <w:rPr>
          <w:rFonts w:ascii="Courier New" w:hAnsi="Courier New" w:cs="Courier New" w:eastAsia="Courier New"/>
        </w:rPr>
        <w:t xml:space="preserve">src/cv_real.py</w:t>
      </w:r>
      <w:r>
        <w:rPr>
          <w:rFonts w:ascii="Times New Roman" w:hAnsi="Times New Roman" w:cs="Times New Roman" w:eastAsia="Times New Roman"/>
        </w:rPr>
        <w:t xml:space="preserve"> and </w:t>
      </w:r>
      <w:r>
        <w:rPr>
          <w:rFonts w:ascii="Courier New" w:hAnsi="Courier New" w:cs="Courier New" w:eastAsia="Courier New"/>
        </w:rPr>
        <w:t xml:space="preserve">src/cohort_experiments.py</w:t>
      </w:r>
      <w:r>
        <w:rPr>
          <w:rFonts w:ascii="Times New Roman" w:hAnsi="Times New Roman" w:cs="Times New Roman" w:eastAsia="Times New Roman"/>
        </w:rPr>
        <w:t xml:space="preserve"> (Listing A4.1); their raw outputs (JSON, CSV and summaries) are in </w:t>
      </w:r>
      <w:r>
        <w:rPr>
          <w:rFonts w:ascii="Courier New" w:hAnsi="Courier New" w:cs="Courier New" w:eastAsia="Courier New"/>
        </w:rPr>
        <w:t xml:space="preserve">docs/results_raw/</w:t>
      </w:r>
      <w:r>
        <w:rPr>
          <w:rFonts w:ascii="Times New Roman" w:hAnsi="Times New Roman" w:cs="Times New Roman" w:eastAsia="Times New Roman"/>
        </w:rPr>
        <w:t xml:space="preserve">.</w:t>
      </w:r>
    </w:p>
    <w:p>
      <w:pPr>
        <w:pStyle w:val="Heading2"/>
      </w:pPr>
      <w:r>
        <w:rPr>
          <w:rFonts w:ascii="Times New Roman" w:hAnsi="Times New Roman" w:cs="Times New Roman" w:eastAsia="Times New Roman"/>
          <w:b/>
          <w:sz w:val="28"/>
        </w:rPr>
        <w:t>A4.4  ITEMS NOT REPRODUCED HERE</w:t>
      </w:r>
    </w:p>
    <w:p>
      <w:pPr>
        <w:pStyle w:val="ListBullet"/>
      </w:pPr>
      <w:r>
        <w:rPr>
          <w:rFonts w:ascii="Times New Roman" w:hAnsi="Times New Roman" w:cs="Times New Roman" w:eastAsia="Times New Roman"/>
        </w:rPr>
        <w:t xml:space="preserve">The full real-cohort run downloads about 68 GB and trains overnight on a laptop GPU, so it is not reproduced inside the report; </w:t>
      </w:r>
      <w:r>
        <w:rPr>
          <w:rFonts w:ascii="Courier New" w:hAnsi="Courier New" w:cs="Courier New" w:eastAsia="Courier New"/>
        </w:rPr>
        <w:t xml:space="preserve">./run_all.sh --smoke</w:t>
      </w:r>
      <w:r>
        <w:rPr>
          <w:rFonts w:ascii="Times New Roman" w:hAnsi="Times New Roman" w:cs="Times New Roman" w:eastAsia="Times New Roman"/>
        </w:rPr>
        <w:t xml:space="preserve"> gives a quick plumbing check, and the raw outputs of the runs summarised in Chapter 5 are supplied in </w:t>
      </w:r>
      <w:r>
        <w:rPr>
          <w:rFonts w:ascii="Courier New" w:hAnsi="Courier New" w:cs="Courier New" w:eastAsia="Courier New"/>
        </w:rPr>
        <w:t xml:space="preserve">docs/results_raw/</w:t>
      </w:r>
      <w:r>
        <w:rPr>
          <w:rFonts w:ascii="Times New Roman" w:hAnsi="Times New Roman" w:cs="Times New Roman" w:eastAsia="Times New Roman"/>
        </w:rPr>
        <w:t xml:space="preserve">.</w:t>
      </w:r>
    </w:p>
    <w:p>
      <w:pPr>
        <w:pStyle w:val="ListBullet"/>
      </w:pPr>
      <w:r>
        <w:rPr>
          <w:rFonts w:ascii="Times New Roman" w:hAnsi="Times New Roman" w:cs="Times New Roman" w:eastAsia="Times New Roman"/>
        </w:rPr>
        <w:t xml:space="preserve">Statement coverage was not re-measured for the current code; the 95.1% figure applies to the original twelve modules (Section 5.6), and Appendices 2 and 3 reproduce the original source listings and the original 86-test inventory. The 340-test suite and the modules added since are available in the repository.</w:t>
      </w:r>
    </w:p>
    <w:sectPr w:rsidR="00FC693F" w:rsidRPr="0006063C" w:rsidSect="00034616">
      <w:footerReference w:type="default" r:id="rId12"/>
      <w:pgSz w:w="11906" w:h="16838"/>
      <w:pgMar w:top="1440" w:right="1440" w:bottom="1440" w:left="2160" w:header="709" w:footer="709"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both"/>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280" w:line="276" w:lineRule="auto"/>
      <w:ind w:firstLine="0"/>
      <w:jc w:val="center"/>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20" w:line="276" w:lineRule="auto"/>
      <w:ind w:firstLine="0"/>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00" w:after="80" w:line="276" w:lineRule="auto"/>
      <w:ind w:firstLine="0"/>
      <w:jc w:val="left"/>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360" w:lineRule="auto"/>
      <w:contextualSpacing/>
      <w:jc w:val="both"/>
    </w:pPr>
    <w:rPr>
      <w:rFonts w:ascii="Times New Roman" w:hAnsi="Times New Roman" w:cs="Times New Roman" w:eastAsia="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360" w:lineRule="auto"/>
      <w:contextualSpacing/>
      <w:jc w:val="both"/>
    </w:pPr>
    <w:rPr>
      <w:rFonts w:ascii="Times New Roman" w:hAnsi="Times New Roman" w:cs="Times New Roman" w:eastAsia="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40" w:lineRule="auto" w:before="60" w:after="200"/>
      <w:jc w:val="center"/>
    </w:pPr>
    <w:rPr>
      <w:rFonts w:ascii="Times New Roman" w:hAnsi="Times New Roman" w:cs="Times New Roman" w:eastAsia="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Heading1"/>
    <w:pPr/>
  </w:style>
  <w:style w:type="paragraph" w:customStyle="1" w:styleId="TableText">
    <w:name w:val="TableText"/>
    <w:basedOn w:val="Normal"/>
    <w:pPr>
      <w:widowControl/>
      <w:spacing w:before="0" w:after="0" w:line="240" w:lineRule="auto"/>
      <w:jc w:val="left"/>
    </w:pPr>
    <w:rPr>
      <w:rFonts w:ascii="Times New Roman" w:hAnsi="Times New Roman" w:cs="Times New Roman" w:eastAsia="Times New Roman"/>
      <w:b w:val="0"/>
      <w:i w:val="0"/>
      <w:color w:val="000000"/>
      <w:sz w:val="21"/>
    </w:rPr>
  </w:style>
  <w:style w:type="paragraph" w:customStyle="1" w:styleId="CodeListing">
    <w:name w:val="CodeListing"/>
    <w:basedOn w:val="Normal"/>
    <w:pPr>
      <w:widowControl/>
      <w:spacing w:before="0" w:after="0" w:line="240" w:lineRule="auto"/>
      <w:ind w:hanging="255" w:left="255"/>
      <w:jc w:val="left"/>
    </w:pPr>
    <w:rPr>
      <w:rFonts w:ascii="Courier New" w:hAnsi="Courier New" w:cs="Courier New" w:eastAsia="Courier New"/>
      <w:b w:val="0"/>
      <w:i w:val="0"/>
      <w:color w:val="000000"/>
      <w:sz w:val="16"/>
    </w:rPr>
  </w:style>
  <w:style w:type="paragraph" w:customStyle="1" w:styleId="BodyJ">
    <w:name w:val="BodyJ"/>
    <w:basedOn w:val="Normal"/>
    <w:pPr>
      <w:widowControl/>
      <w:spacing w:before="0" w:after="120" w:line="360" w:lineRule="auto"/>
      <w:ind w:firstLine="567"/>
      <w:jc w:val="both"/>
    </w:pPr>
    <w:rPr>
      <w:rFonts w:ascii="Times New Roman" w:hAnsi="Times New Roman" w:cs="Times New Roman" w:eastAsia="Times New Roman"/>
      <w:b w:val="0"/>
      <w:i w:val="0"/>
      <w:color w:val="000000"/>
      <w:sz w:val="24"/>
    </w:rPr>
  </w:style>
  <w:style w:type="paragraph" w:styleId="TOC1">
    <w:name w:val="toc 1"/>
    <w:basedOn w:val="Normal"/>
    <w:uiPriority w:val="39"/>
    <w:pPr>
      <w:widowControl/>
      <w:tabs>
        <w:tab w:pos="8306" w:val="right" w:leader="dot"/>
      </w:tabs>
      <w:spacing w:before="120" w:after="40" w:line="240" w:lineRule="auto"/>
      <w:ind w:left="0"/>
      <w:jc w:val="left"/>
    </w:pPr>
    <w:rPr>
      <w:rFonts w:ascii="Times New Roman" w:hAnsi="Times New Roman" w:cs="Times New Roman" w:eastAsia="Times New Roman"/>
      <w:b/>
      <w:i w:val="0"/>
      <w:color w:val="000000"/>
      <w:sz w:val="24"/>
    </w:rPr>
  </w:style>
  <w:style w:type="paragraph" w:styleId="TOC2">
    <w:name w:val="toc 2"/>
    <w:basedOn w:val="Normal"/>
    <w:uiPriority w:val="39"/>
    <w:pPr>
      <w:widowControl/>
      <w:tabs>
        <w:tab w:pos="8306" w:val="right" w:leader="dot"/>
      </w:tabs>
      <w:spacing w:before="0" w:after="40" w:line="240" w:lineRule="auto"/>
      <w:ind w:left="340"/>
      <w:jc w:val="left"/>
    </w:pPr>
    <w:rPr>
      <w:rFonts w:ascii="Times New Roman" w:hAnsi="Times New Roman" w:cs="Times New Roman" w:eastAsia="Times New Roman"/>
      <w:b w:val="0"/>
      <w:i w:val="0"/>
      <w:color w:val="000000"/>
      <w:sz w:val="24"/>
    </w:rPr>
  </w:style>
  <w:style w:type="paragraph" w:styleId="TOC3">
    <w:name w:val="toc 3"/>
    <w:basedOn w:val="Normal"/>
    <w:uiPriority w:val="39"/>
    <w:pPr>
      <w:widowControl/>
      <w:tabs>
        <w:tab w:pos="8306" w:val="right" w:leader="dot"/>
      </w:tabs>
      <w:spacing w:before="0" w:after="40" w:line="240" w:lineRule="auto"/>
      <w:ind w:left="794"/>
      <w:jc w:val="left"/>
    </w:pPr>
    <w:rPr>
      <w:rFonts w:ascii="Times New Roman" w:hAnsi="Times New Roman" w:cs="Times New Roman" w:eastAsia="Times New Roman"/>
      <w:b w:val="0"/>
      <w:i w:val="0"/>
      <w:color w:val="000000"/>
      <w:sz w:val="22"/>
    </w:rPr>
  </w:style>
  <w:style w:type="paragraph" w:customStyle="1" w:styleId="ListEntry">
    <w:name w:val="ListEntry"/>
    <w:basedOn w:val="Normal"/>
    <w:pPr>
      <w:widowControl/>
      <w:tabs>
        <w:tab w:pos="1417" w:val="left"/>
        <w:tab w:pos="8306" w:val="right" w:leader="dot"/>
      </w:tabs>
      <w:spacing w:before="0" w:after="120" w:line="240" w:lineRule="auto"/>
      <w:ind w:hanging="1417" w:left="1417"/>
      <w:jc w:val="left"/>
    </w:pPr>
    <w:rPr>
      <w:rFonts w:ascii="Times New Roman" w:hAnsi="Times New Roman" w:cs="Times New Roman" w:eastAsia="Times New Roman"/>
      <w:b w:val="0"/>
      <w:i w:val="0"/>
      <w:color w:val="000000"/>
      <w:sz w:val="24"/>
    </w:rPr>
  </w:style>
  <w:style w:type="paragraph" w:customStyle="1" w:styleId="RefEntry">
    <w:name w:val="RefEntry"/>
    <w:basedOn w:val="Normal"/>
    <w:pPr>
      <w:widowControl/>
      <w:spacing w:before="0" w:after="160" w:line="276" w:lineRule="auto"/>
      <w:ind w:hanging="567" w:left="567"/>
      <w:jc w:val="left"/>
    </w:pPr>
    <w:rPr>
      <w:rFonts w:ascii="Times New Roman" w:hAnsi="Times New Roman" w:cs="Times New Roman" w:eastAsia="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5" Type="http://schemas.openxmlformats.org/officeDocument/2006/relationships/image" Target="media/image4.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7" Type="http://schemas.openxmlformats.org/officeDocument/2006/relationships/image" Target="media/image16.png"/><Relationship Id="rId33" Type="http://schemas.openxmlformats.org/officeDocument/2006/relationships/image" Target="media/image22.png"/><Relationship Id="rId35" Type="http://schemas.openxmlformats.org/officeDocument/2006/relationships/image" Target="media/image24.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2" Type="http://schemas.openxmlformats.org/officeDocument/2006/relationships/image" Target="media/image31.png"/><Relationship Id="rId43" Type="http://schemas.openxmlformats.org/officeDocument/2006/relationships/image" Target="media/image32.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16" Type="http://schemas.openxmlformats.org/officeDocument/2006/relationships/image" Target="media/image5.png"/><Relationship Id="rId14"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Cross-Attention Deep Learning Framework for Multimodal Neuroimaging Fusion in Vision Defect Detection and Classification</dc:title>
  <dc:subject>BCSE497J Project Report</dc:subject>
  <dc:creator>Mishthi Jain</dc:creator>
  <cp:keywords/>
  <dc:description/>
  <cp:lastModifiedBy>Mishthi Jain</cp:lastModifiedBy>
  <cp:revision>2</cp:revision>
  <dcterms:created xsi:type="dcterms:W3CDTF">2026-10-13T09:00:00Z</dcterms:created>
  <dcterms:modified xsi:type="dcterms:W3CDTF">2026-10-15T06:00:00Z</dcterms:modified>
  <cp:category/>
</cp:coreProperties>
</file>