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footer+xml" PartName="/word/footer1.xml"/>
  <Override ContentType="application/vnd.openxmlformats-officedocument.wordprocessingml.header+xml" PartName="/word/header3.xml"/>
  <Override ContentType="application/vnd.openxmlformats-officedocument.wordprocessingml.footer+xml" PartName="/word/footer2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</w:tblGrid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  <w:tcW w:w="10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Inwestor:</w:t>
            </w:r>
          </w:p>
        </w:tc>
      </w:tr>
      <w:tr>
        <w:tc>
          <w:tcPr>
            <w:tcBorders>
              <w:top w:color="white"/>
              <w:right w:color="white"/>
            </w:tcBorders>
            <w:tcMar>
              <w:top w:w="20" w:type="dxa"/>
              <w:bottom w:w="18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38100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2857500" cy="38100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2857500" cy="38100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white"/>
              <w:left w:color="white"/>
            </w:tcBorders>
            <w:vAlign w:val="center"/>
            <w:tcMar>
              <w:top w:w="80" w:type="dxa"/>
              <w:bottom w:w="0" w:type="dxa"/>
              <w:end w:w="0" w:type="dxa"/>
              <w:start w:w="0" w:type="dxa"/>
            </w:tcMar>
          </w:tcPr>
          <w:p>
            <w:pPr>
              <w:jc w:val="center"/>
            </w:pPr>
            <w:r>
              <w:rPr>
                <w:b w:val="true"/>
                <w:bCs w:val="true"/>
                <w:rFonts w:ascii="Calibri" w:cs="Calibri" w:eastAsia="Calibri" w:hAnsi="Calibri"/>
              </w:rPr>
              <w:t xml:space="preserve">Generalny Dyrektor Dróg Krajowych i Autostrad 
                        ul. Wronia 53; 00-874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Wykonawca:</w:t>
            </w:r>
          </w:p>
        </w:tc>
      </w:tr>
      <w:tr>
        <w:tc>
          <w:tcPr>
            <w:tcBorders>
              <w:bottom w:color="white"/>
            </w:tcBorders>
            <w:tcMar>
              <w:top w:w="20" w:type="dxa"/>
              <w:bottom w:w="1180" w:type="dxa"/>
              <w:end w:w="80" w:type="dxa"/>
              <w:start w:w="80" w:type="dxa"/>
            </w:tcMar>
            <w:gridSpan w:val="3"/>
          </w:tcPr>
          <w:p>
            <w:r>
              <w:drawing>
                <wp:anchor distT="0" distB="0" distL="0" distR="0" simplePos="0" allowOverlap="1" behindDoc="0" locked="0" layoutInCell="1" relativeHeight="8572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5238750" cy="8572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5238750" cy="8572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</w:tr>
      <w:tr>
        <w:tc>
          <w:tcPr>
            <w:tcBorders>
              <w:top w:color="white"/>
              <w:right w:color="white"/>
            </w:tcBorders>
            <w:gridSpan w:val="1"/>
            <w:tcW w:w="40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Ağır Sanayi İnşaat ve Taahhüt A.Ş.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z siedzibą w Ankarze, Konya Devletyolu,
                        23. Km, no. 111, 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06830 Gölbaşı - Ankara, Turcja</w:t>
            </w:r>
          </w:p>
        </w:tc>
        <w:tc>
          <w:tcPr>
            <w:tcBorders>
              <w:top w:color="white"/>
              <w:left w:color="white"/>
              <w:right w:color="white"/>
            </w:tcBorders>
            <w:gridSpan w:val="1"/>
            <w:tcW w:w="18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Mosty Łódź S.A.
                        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Bratysławska 52, 
                        94-112 Łódź
                        </w:t>
            </w:r>
          </w:p>
        </w:tc>
        <w:tc>
          <w:tcPr>
            <w:tcBorders>
              <w:top w:color="white"/>
              <w:left w:color="white"/>
            </w:tcBorders>
            <w:gridSpan w:val="1"/>
            <w:tcW w:w="42" w:type="pct"/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Gülermak Spółka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Grzybowska 80/82,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00-844 Warszawa</w:t>
            </w:r>
          </w:p>
        </w:tc>
      </w:tr>
      <w:tr>
        <w:tc>
          <w:tcPr>
            <w:tcMar>
              <w:top w:w="40" w:type="dxa"/>
              <w:bottom w:w="40" w:type="dxa"/>
              <w:end w:w="40" w:type="dxa"/>
              <w:start w:w="40" w:type="dxa"/>
            </w:tcMar>
            <w:gridSpan w:val="3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Jednostka projektowa:</w:t>
            </w:r>
          </w:p>
        </w:tc>
      </w:tr>
      <w:tr>
        <w:tc>
          <w:tcPr>
            <w:tcBorders>
              <w:right w:color="white"/>
            </w:tcBorders>
            <w:tcMar>
              <w:top w:w="100" w:type="dxa"/>
              <w:bottom w:w="100" w:type="dxa"/>
              <w:end w:w="80" w:type="dxa"/>
              <w:start w:w="80" w:type="dxa"/>
            </w:tcMar>
            <w:gridSpan w:val="2"/>
          </w:tcPr>
          <w:p>
            <w:r>
              <w:drawing>
                <wp:anchor distT="0" distB="0" distL="0" distR="0" simplePos="0" allowOverlap="1" behindDoc="0" locked="0" layoutInCell="1" relativeHeight="285750">
                  <wp:simplePos x="0" y="0"/>
                  <wp:positionH relativeFrom="page">
                    <wp:align>center</wp:align>
                  </wp:positionH>
                  <wp:positionV relativeFrom="page">
                    <wp:align>center</wp:align>
                  </wp:positionV>
                  <wp:extent cx="1905000" cy="285750"/>
                  <wp:effectExtent b="0" l="0" r="0" t="0"/>
                  <wp:wrapNone/>
                  <wp:docPr id="0" name="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 desc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none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ext cx="1905000" cy="285750"/>
                            <a:off x="0" y="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left w:color="white"/>
            </w:tcBorders>
            <w:tcMar>
              <w:top w:w="0" w:type="dxa"/>
              <w:bottom w:w="0" w:type="dxa"/>
              <w:end w:w="0" w:type="dxa"/>
              <w:start w:w="0" w:type="dxa"/>
            </w:tcMar>
          </w:tcPr>
          <w:p>
            <w:pPr>
              <w:jc w:val="left"/>
            </w:pPr>
            <w:r>
              <w:rPr>
                <w:b w:val="true"/>
                <w:bCs w:val="true"/>
                <w:sz w:val="20"/>
                <w:szCs w:val="20"/>
                <w:rFonts w:ascii="Calibri" w:cs="Calibri" w:eastAsia="Calibri" w:hAnsi="Calibri"/>
              </w:rPr>
              <w:t xml:space="preserve">Multiconsult Polska sp. z o.o.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ul. Bonifraterska 17</w:t>
            </w:r>
          </w:p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00-203 Warszawa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</w:tblGrid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obiektu budowlanego:</w:t>
            </w:r>
          </w:p>
        </w:tc>
        <w:tc>
          <w:tcPr>
            <w:tcMar>
              <w:top w:w="100" w:type="dxa"/>
              <w:bottom w:w="10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2"/>
                <w:szCs w:val="22"/>
                <w:rFonts w:ascii="Calibri" w:cs="Calibri" w:eastAsia="Calibri" w:hAnsi="Calibri"/>
              </w:rPr>
              <w:t xml:space="preserve">Budowa drogi ekspresowej S52 odc. Północna Obwodnica Krakowa:
                        węzeł Modlnica - węzeł Kraków Mistrzejowice (bez węzła)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Stadium: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PROJEKT WYKONAWCZY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Adres obiektu budowlanego: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2"/>
                <w:szCs w:val="22"/>
                <w:rFonts w:ascii="Calibri" w:cs="Calibri" w:eastAsia="Calibri" w:hAnsi="Calibri"/>
              </w:rPr>
              <w:t xml:space="preserve">Województwo małopolskie; powiat krakowski – gm. Wielka Wieś,  gm. Zielonki, m. Kraków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Branża: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PZT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Nazwa opracowania: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Część I (km 2+134 - km 7+013)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Numer dokumentu: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E-KRAK-MCS-E-00E-MDE-SPC-0100</w:t>
            </w:r>
          </w:p>
        </w:tc>
      </w:tr>
      <w:tr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tcW w:w="30" w:type="pct"/>
          </w:tcPr>
          <w:p>
            <w:pPr>
              <w:jc w:val="left"/>
            </w:pPr>
            <w:r>
              <w:rPr>
                <w:sz w:val="20"/>
                <w:szCs w:val="20"/>
                <w:rFonts w:ascii="Calibri" w:cs="Calibri" w:eastAsia="Calibri" w:hAnsi="Calibri"/>
              </w:rPr>
              <w:t xml:space="preserve">Nr Umowy:</w:t>
            </w:r>
          </w:p>
        </w:tc>
        <w:tc>
          <w:tcPr>
            <w:tcMar>
              <w:top w:w="90" w:type="dxa"/>
              <w:bottom w:w="90" w:type="dxa"/>
              <w:end w:w="0" w:type="dxa"/>
              <w:start w:w="0" w:type="dxa"/>
            </w:tcMar>
            <w:gridSpan w:val="2"/>
            <w:tcW w:w="70" w:type="pct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I/262/ZI/I-4/2018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  <w:tcW w:w="18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Funkcja: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3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Imię i nazwisko: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Nr. uprawnień: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Specjalność: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  <w:tcW w:w="16" w:type="pct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Podpis: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Główny 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Projektant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  <w:tr>
        <w:tc>
          <w:tcPr>
            <w:vAlign w:val="center"/>
            <w:tcMar>
              <w:top w:w="100" w:type="dxa"/>
              <w:bottom w:w="100" w:type="dxa"/>
              <w:end w:w="10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Sprawdzający</w:t>
            </w:r>
          </w:p>
        </w:tc>
        <w:tc>
          <w:tcPr>
            <w:vAlign w:val="center"/>
            <w:tcMar>
              <w:top w:w="0" w:type="dxa"/>
              <w:bottom w:w="0" w:type="dxa"/>
              <w:end w:w="0" w:type="dxa"/>
              <w:start w:w="100" w:type="dxa"/>
            </w:tcMar>
            <w:gridSpan w:val="5"/>
          </w:tcPr>
          <w:p>
            <w:pPr>
              <w:jc w:val="left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  <w:tc>
          <w:tcPr>
            <w:vAlign w:val="center"/>
            <w:tcMar>
              <w:top w:w="0" w:type="dxa"/>
              <w:bottom w:w="0" w:type="dxa"/>
              <w:end w:w="100" w:type="dxa"/>
              <w:start w:w="100" w:type="dxa"/>
            </w:tcMar>
            <w:gridSpan w:val="5"/>
          </w:tcPr>
          <w:p>
            <w:pPr>
              <w:jc w:val="center"/>
            </w:pPr>
            <w:r>
              <w:rPr>
                <w:rFonts w:ascii="Calibri" w:cs="Calibri" w:eastAsia="Calibri" w:hAnsi="Calibri"/>
              </w:rPr>
              <w:t xml:space="preserve"> </w:t>
            </w:r>
          </w:p>
        </w:tc>
      </w:tr>
    </w:tbl>
    <w:p/>
    <w:p/>
    <w:tbl>
      <w:tblPr>
        <w:tblCellMar>
          <w:bottom w:type="auto" w:w="0"/>
          <w:top w:type="auto" w:w="0"/>
          <w:left w:type="auto" w:w="0"/>
          <w:right w:type="auto" w:w="0"/>
        </w:tblCellMar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W w:type="auto" w:w="100"/>
      </w:tblPr>
      <w:tblGrid>
        <w:gridCol w:w="100"/>
        <w:gridCol w:w="100"/>
        <w:gridCol w:w="100"/>
        <w:gridCol w:w="100"/>
        <w:gridCol w:w="100"/>
      </w:tblGrid>
      <w:tr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4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tomu: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4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Numer pakietu: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2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Data opracowania: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0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Rewizja:</w:t>
            </w:r>
          </w:p>
        </w:tc>
        <w:tc>
          <w:tcPr>
            <w:tcBorders>
              <w:bottom w:color="white"/>
            </w:tcBorders>
            <w:tcMar>
              <w:top w:w="0" w:type="dxa"/>
              <w:bottom w:w="0" w:type="dxa"/>
              <w:end w:w="0" w:type="dxa"/>
              <w:start w:w="100" w:type="dxa"/>
            </w:tcMar>
            <w:gridSpan w:val="5"/>
            <w:tcW w:w="15" w:type="pct"/>
          </w:tcPr>
          <w:p>
            <w:pPr>
              <w:jc w:val="left"/>
            </w:pPr>
            <w:r>
              <w:rPr>
                <w:sz w:val="18"/>
                <w:szCs w:val="18"/>
                <w:rFonts w:ascii="Calibri" w:cs="Calibri" w:eastAsia="Calibri" w:hAnsi="Calibri"/>
              </w:rPr>
              <w:t xml:space="preserve">Nr egzemplarza:</w:t>
            </w:r>
          </w:p>
        </w:tc>
      </w:tr>
      <w:tr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1.1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P-KRAK-MCS-E-00E-MDE-PCG-0100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sz w:val="24"/>
                <w:szCs w:val="24"/>
                <w:rFonts w:ascii="Calibri" w:cs="Calibri" w:eastAsia="Calibri" w:hAnsi="Calibri"/>
              </w:rPr>
              <w:t xml:space="preserve">Czerwiec, 2020r.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TEST2</w:t>
            </w:r>
          </w:p>
        </w:tc>
        <w:tc>
          <w:tcPr>
            <w:tcBorders>
              <w:top w:color="white"/>
            </w:tcBorders>
            <w:tcMar>
              <w:top w:w="100" w:type="dxa"/>
              <w:bottom w:w="100" w:type="dxa"/>
              <w:end w:w="0" w:type="dxa"/>
              <w:start w:w="0" w:type="dxa"/>
            </w:tcMar>
            <w:gridSpan w:val="5"/>
          </w:tcPr>
          <w:p>
            <w:pPr>
              <w:jc w:val="center"/>
            </w:pPr>
            <w:r>
              <w:rPr>
                <w:b w:val="true"/>
                <w:bCs w:val="true"/>
                <w:sz w:val="24"/>
                <w:szCs w:val="24"/>
                <w:rFonts w:ascii="Calibri" w:cs="Calibri" w:eastAsia="Calibri" w:hAnsi="Calibri"/>
              </w:rPr>
              <w:t xml:space="preserve">1</w:t>
            </w:r>
          </w:p>
        </w:tc>
      </w:tr>
    </w:tbl>
    <w:p>
      <w:pPr>
        <w:sectPr>
          <w:pgSz w:w="11906" w:h="16838" w:orient="portrait"/>
          <w:pgMar w:top="0" w:right="1000" w:bottom="0" w:left="1000" w:header="708" w:footer="708" w:gutter="0" w:mirrorMargins="false"/>
          <w:cols w:space="708" w:num="1"/>
          <w:docGrid w:linePitch="360"/>
          <w:headerReference w:type="default" r:id="rId5"/>
          <w:headerReference w:type="first" r:id="rId6"/>
          <w:footerReference w:type="default" r:id="rId7"/>
        </w:sectPr>
      </w:pP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8"/>
      <w:footerReference w:type="default" r:id="rId9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jc w:val="center"/>
    </w:pPr>
    <w:r>
      <w:fldChar w:fldCharType="begin"/>
      <w:instrText xml:space="preserve">PAGE</w:instrText>
      <w:fldChar w:fldCharType="separate"/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>
  <w:p>
    <w:pPr>
      <w:jc w:val="center"/>
    </w:pPr>
    <w:r>
      <w:rPr>
        <w:sz w:val="16"/>
        <w:szCs w:val="16"/>
        <w:rFonts w:ascii="Arial" w:cs="Arial" w:eastAsia="Arial" w:hAnsi="Arial"/>
      </w:rPr>
      <w:t xml:space="preserve">Budowa drogi ekspresowej S52 odc. Północna Obwodnica Krakowa: węzeł Modlnica - węzeł Kraków Mistrzejowice (bez węzła)</w:t>
    </w:r>
  </w:p>
  <w:p>
    <w:pPr>
      <w:jc w:val="center"/>
    </w:pPr>
    <w:r>
      <w:rPr>
        <w:sz w:val="16"/>
        <w:szCs w:val="16"/>
        <w:rFonts w:ascii="Arial" w:cs="Arial" w:eastAsia="Arial" w:hAnsi="Arial"/>
      </w:rPr>
      <w:t xml:space="preserve">Projekt Wykonawczy. TOM 1.1 Część I (km 2+134 - km 7+013)</w:t>
    </w:r>
  </w:p>
  <w:tbl>
    <w:tblPr>
      <w:tblCellMar>
        <w:bottom w:type="auto" w:w="0"/>
        <w:top w:type="auto" w:w="0"/>
        <w:left w:type="auto" w:w="0"/>
        <w:right w:type="auto" w:w="0"/>
      </w:tblCellMa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W w:type="auto" w:w="100"/>
    </w:tblPr>
    <w:tblGrid>
      <w:gridCol w:w="100"/>
      <w:gridCol w:w="100"/>
    </w:tblGrid>
    <w:tr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left"/>
          </w:pPr>
          <w:r>
            <w:rPr>
              <w:sz w:val="16"/>
              <w:szCs w:val="16"/>
              <w:rFonts w:ascii="Arial" w:cs="Arial" w:eastAsia="Arial" w:hAnsi="Arial"/>
            </w:rPr>
            <w:t xml:space="preserve">E-KRAK-MCS-E-00E-MDE-SPC-0100</w:t>
          </w:r>
        </w:p>
      </w:tc>
      <w:tc>
        <w:tcPr>
          <w:tcBorders>
            <w:top w:color="white"/>
            <w:bottom w:color="white"/>
            <w:left w:color="white"/>
            <w:right w:color="white"/>
          </w:tcBorders>
          <w:gridSpan w:val="2"/>
          <w:tcW w:w="50" w:type="pct"/>
        </w:tcPr>
        <w:p>
          <w:pPr>
            <w:jc w:val="right"/>
          </w:pPr>
          <w:r>
            <w:rPr>
              <w:sz w:val="16"/>
              <w:szCs w:val="16"/>
              <w:rFonts w:ascii="Arial" w:cs="Arial" w:eastAsia="Arial" w:hAnsi="Arial"/>
            </w:rPr>
            <w:t xml:space="preserve">Rewizja TEST2</w:t>
          </w:r>
        </w:p>
      </w:tc>
    </w:tr>
  </w:tbl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/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sz w:val="32"/>
      <w:szCs w:val="32"/>
      <w:color w:val="2E74B5"/>
    </w:rPr>
    <w:basedOn w:val="Normal"/>
    <w:next w:val="Normal"/>
    <w:qFormat/>
  </w:style>
  <w:style w:type="paragraph" w:styleId="Heading2">
    <w:name w:val="Heading 2"/>
    <w:rPr>
      <w:sz w:val="26"/>
      <w:szCs w:val="26"/>
      <w:color w:val="2E74B5"/>
    </w:rPr>
    <w:basedOn w:val="Normal"/>
    <w:next w:val="Normal"/>
    <w:qFormat/>
  </w:style>
  <w:style w:type="paragraph" w:styleId="Heading3">
    <w:name w:val="Heading 3"/>
    <w:rPr>
      <w:sz w:val="24"/>
      <w:szCs w:val="24"/>
      <w:color w:val="1F4D78"/>
    </w:rPr>
    <w:basedOn w:val="Normal"/>
    <w:next w:val="Normal"/>
    <w:qFormat/>
  </w:style>
  <w:style w:type="paragraph" w:styleId="Heading4">
    <w:name w:val="Heading 4"/>
    <w:rPr>
      <w:i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  <w:style w:type="paragraph"/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header" Target="header3.xml"/><Relationship Id="rId9" Type="http://schemas.openxmlformats.org/officeDocument/2006/relationships/footer" Target="footer2.xml"/><Relationship Id="rId10" Type="http://schemas.openxmlformats.org/officeDocument/2006/relationships/image" Target="media/hbp2u8gg6tw8g6gok0thk.png"/><Relationship Id="rId11" Type="http://schemas.openxmlformats.org/officeDocument/2006/relationships/image" Target="media/krb2rruxm0d325f35t42aj.png"/><Relationship Id="rId12" Type="http://schemas.openxmlformats.org/officeDocument/2006/relationships/image" Target="media/b39x6t4gthw4v1yvcvl6i.png"/></Relationships>
</file>

<file path=word/_rels/footer1.xml.rels><Relationships xmlns="http://schemas.openxmlformats.org/package/2006/relationships"/>
</file>

<file path=word/_rels/footer2.xml.rels><Relationships xmlns="http://schemas.openxmlformats.org/package/2006/relationships"/>
</file>

<file path=word/_rels/header1.xml.rels><Relationships xmlns="http://schemas.openxmlformats.org/package/2006/relationships"/>
</file>

<file path=word/_rels/header2.xml.rels><Relationships xmlns="http://schemas.openxmlformats.org/package/2006/relationships"/>
</file>

<file path=word/_rels/header3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2020-07-13T12:13:37Z</dcterms:created>
  <dcterms:modified xsi:type="dcterms:W3CDTF">2020-07-13T12:13:37Z</dcterms:modified>
</cp:coreProperties>
</file>