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de la línea PHYTOCHEMICAL.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 base de frutos e ingredientes naturales morados proporciona firmeza y elasticidad al rostro.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Facial mask of the PHYTOCHEMICAL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Based on purple fruits and natural ingredients, it provides firmness and elasticity to the face.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PHYTOCHEMICAL inguruko aurpegiko maskara.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Fruitu more eta osagai naturalekin, sendotasuna eta elastikotasuna ematen dio aurpegiari.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