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DEE0" w14:textId="491BE6BE" w:rsidR="00BF1F62" w:rsidRDefault="003F3070" w:rsidP="0CB31AB4">
      <w:pPr>
        <w:pStyle w:val="Heading1"/>
        <w:spacing w:before="0" w:after="120" w:line="420" w:lineRule="auto"/>
        <w:rPr>
          <w:rFonts w:ascii="Times New Roman" w:eastAsia="Times New Roman" w:hAnsi="Times New Roman" w:cs="Times New Roman"/>
          <w:b/>
          <w:bCs/>
          <w:color w:val="auto"/>
          <w:sz w:val="33"/>
          <w:szCs w:val="33"/>
        </w:rPr>
      </w:pPr>
      <w:r>
        <w:rPr>
          <w:rFonts w:ascii="Times New Roman" w:eastAsia="Times New Roman" w:hAnsi="Times New Roman" w:cs="Times New Roman"/>
          <w:b/>
          <w:bCs/>
          <w:noProof/>
          <w:color w:val="auto"/>
          <w:sz w:val="33"/>
          <w:szCs w:val="33"/>
        </w:rPr>
        <w:drawing>
          <wp:inline distT="0" distB="0" distL="0" distR="0" wp14:anchorId="6EDCA70B" wp14:editId="37B22AAC">
            <wp:extent cx="5724525" cy="6905625"/>
            <wp:effectExtent l="0" t="0" r="0" b="0"/>
            <wp:docPr id="210138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259F6F8E" w:rsidRPr="0CB31AB4">
        <w:rPr>
          <w:rFonts w:ascii="Times New Roman" w:eastAsia="Times New Roman" w:hAnsi="Times New Roman" w:cs="Times New Roman"/>
          <w:b/>
          <w:bCs/>
          <w:color w:val="auto"/>
          <w:sz w:val="33"/>
          <w:szCs w:val="33"/>
        </w:rPr>
        <w:t>Dokumentácia softvérovej architektúry: Simulátor matematického kyvadla</w:t>
      </w:r>
    </w:p>
    <w:p w14:paraId="48FF3F9F" w14:textId="61E38BA2" w:rsidR="00BF1F62" w:rsidRDefault="259F6F8E" w:rsidP="0CB31AB4">
      <w:pPr>
        <w:spacing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Fáza životného cyklu (SDLC):</w:t>
      </w:r>
      <w:r w:rsidRPr="0CB31AB4">
        <w:rPr>
          <w:rFonts w:ascii="Times New Roman" w:eastAsia="Times New Roman" w:hAnsi="Times New Roman" w:cs="Times New Roman"/>
        </w:rPr>
        <w:t xml:space="preserve"> Návrh systému (System Design / Architecture) </w:t>
      </w:r>
      <w:r w:rsidRPr="0CB31AB4">
        <w:rPr>
          <w:rFonts w:ascii="Times New Roman" w:eastAsia="Times New Roman" w:hAnsi="Times New Roman" w:cs="Times New Roman"/>
          <w:b/>
          <w:bCs/>
        </w:rPr>
        <w:t>Typ dokumentu:</w:t>
      </w:r>
      <w:r w:rsidRPr="0CB31AB4">
        <w:rPr>
          <w:rFonts w:ascii="Times New Roman" w:eastAsia="Times New Roman" w:hAnsi="Times New Roman" w:cs="Times New Roman"/>
        </w:rPr>
        <w:t xml:space="preserve"> Technický dizajn a architektonická špecifikácia </w:t>
      </w:r>
      <w:r w:rsidRPr="0CB31AB4">
        <w:rPr>
          <w:rFonts w:ascii="Times New Roman" w:eastAsia="Times New Roman" w:hAnsi="Times New Roman" w:cs="Times New Roman"/>
          <w:b/>
          <w:bCs/>
        </w:rPr>
        <w:t>Určenie:</w:t>
      </w:r>
      <w:r w:rsidRPr="0CB31AB4">
        <w:rPr>
          <w:rFonts w:ascii="Times New Roman" w:eastAsia="Times New Roman" w:hAnsi="Times New Roman" w:cs="Times New Roman"/>
        </w:rPr>
        <w:t xml:space="preserve"> Vývojový tím, projektový manažment, zadávateľ</w:t>
      </w:r>
    </w:p>
    <w:p w14:paraId="15F901DF" w14:textId="6B5CE391" w:rsidR="00BF1F62" w:rsidRDefault="00BF1F62" w:rsidP="0CB31AB4">
      <w:pPr>
        <w:spacing w:after="0"/>
      </w:pPr>
    </w:p>
    <w:p w14:paraId="7E480105" w14:textId="29C654D9" w:rsidR="00BF1F62" w:rsidRDefault="259F6F8E" w:rsidP="0CB31AB4">
      <w:pPr>
        <w:pStyle w:val="Heading2"/>
        <w:spacing w:before="420" w:after="120" w:line="420" w:lineRule="auto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1. Manažérske zhrnutie (Executive Summary)</w:t>
      </w:r>
    </w:p>
    <w:p w14:paraId="33FC3562" w14:textId="476903AC" w:rsidR="00BF1F62" w:rsidRDefault="259F6F8E" w:rsidP="0CB31AB4">
      <w:pPr>
        <w:spacing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</w:rPr>
        <w:t xml:space="preserve">Tento dokument definuje softvérovú architektúru webovej aplikácie určenej na real-time simuláciu matematického kyvadla. Systém má edukačný charakter a je navrhnutý tak, aby používateľom interaktívne demonštroval rozdiely medzi analytickým riešením (platným iba pre malé uhly, </w:t>
      </w:r>
      <w:r w:rsidRPr="0CB31AB4">
        <w:rPr>
          <w:rFonts w:ascii="Times New Roman" w:eastAsia="Times New Roman" w:hAnsi="Times New Roman" w:cs="Times New Roman"/>
          <w:i/>
          <w:iCs/>
        </w:rPr>
        <w:t>θ</w:t>
      </w:r>
      <w:r w:rsidRPr="0CB31AB4">
        <w:rPr>
          <w:rFonts w:ascii="Times New Roman" w:eastAsia="Times New Roman" w:hAnsi="Times New Roman" w:cs="Times New Roman"/>
        </w:rPr>
        <w:t>0</w:t>
      </w:r>
      <w:r w:rsidRPr="0CB31AB4">
        <w:rPr>
          <w:rFonts w:ascii="Times New Roman" w:eastAsia="Times New Roman" w:hAnsi="Times New Roman" w:cs="Times New Roman"/>
          <w:sz w:val="12"/>
          <w:szCs w:val="12"/>
        </w:rPr>
        <w:t xml:space="preserve"> </w:t>
      </w:r>
      <w:r w:rsidRPr="0CB31AB4">
        <w:rPr>
          <w:rFonts w:ascii="Times New Roman" w:eastAsia="Times New Roman" w:hAnsi="Times New Roman" w:cs="Times New Roman"/>
        </w:rPr>
        <w:t>&lt;5∘, kde platí izochronizmus) a numerickými metódami (potrebnými pre veľké výchylky a nelineárne správanie). Architektúra striktne oddeľuje definíciu fyzikálnej konfigurácie od samotného behu simulácie, čo umožňuje paralelné spúšťanie a exaktné porovnávanie rôznych simulačných metód nad identickými počiatočnými podmienkami.</w:t>
      </w:r>
    </w:p>
    <w:p w14:paraId="2200C97D" w14:textId="6418E3C1" w:rsidR="00BF1F62" w:rsidRDefault="259F6F8E" w:rsidP="0CB31AB4">
      <w:pPr>
        <w:pStyle w:val="Heading2"/>
        <w:spacing w:before="420" w:after="120" w:line="420" w:lineRule="auto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2. Architektonické ciele a obmedzenia</w:t>
      </w:r>
    </w:p>
    <w:p w14:paraId="3DFE22A6" w14:textId="5B048E63" w:rsidR="00BF1F62" w:rsidRDefault="259F6F8E" w:rsidP="0CB31AB4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Oddelenie zodpovedností (Separation of Concerns):</w:t>
      </w:r>
      <w:r w:rsidRPr="0CB31AB4">
        <w:rPr>
          <w:rFonts w:ascii="Times New Roman" w:eastAsia="Times New Roman" w:hAnsi="Times New Roman" w:cs="Times New Roman"/>
        </w:rPr>
        <w:t xml:space="preserve"> Striktné rozdelenie logiky do troch vrstiev – prezentačnej (Frontend), aplikačnej (Backend) a perzistenčnej (Databáza).</w:t>
      </w:r>
    </w:p>
    <w:p w14:paraId="2F2408B0" w14:textId="4145E86A" w:rsidR="00BF1F62" w:rsidRDefault="259F6F8E" w:rsidP="0CB31AB4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Asynchrónne spracovanie:</w:t>
      </w:r>
      <w:r w:rsidRPr="0CB31AB4">
        <w:rPr>
          <w:rFonts w:ascii="Times New Roman" w:eastAsia="Times New Roman" w:hAnsi="Times New Roman" w:cs="Times New Roman"/>
        </w:rPr>
        <w:t xml:space="preserve"> Presunutie výpočtovo náročných simulačných slučiek do procesov na pozadí (Background Workers), aby sa predišlo blokovaniu hlavného vlákna aplikačného servera.</w:t>
      </w:r>
    </w:p>
    <w:p w14:paraId="49A0F854" w14:textId="215D7AAB" w:rsidR="00BF1F62" w:rsidRDefault="259F6F8E" w:rsidP="0CB31AB4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Real-time vizualizácia:</w:t>
      </w:r>
      <w:r w:rsidRPr="0CB31AB4">
        <w:rPr>
          <w:rFonts w:ascii="Times New Roman" w:eastAsia="Times New Roman" w:hAnsi="Times New Roman" w:cs="Times New Roman"/>
        </w:rPr>
        <w:t xml:space="preserve"> Požiadavka na nízku latenciu. Prenos dátových balíkov musí prebiehať s frekvenciou 50 ms pre zabezpečenie plynulého klientskeho renderovania pri 60 snímkach za sekundu (FPS).</w:t>
      </w:r>
    </w:p>
    <w:p w14:paraId="00E226BB" w14:textId="63D19E10" w:rsidR="00BF1F62" w:rsidRDefault="259F6F8E" w:rsidP="0CB31AB4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Fyzikálna presnosť a heuristika:</w:t>
      </w:r>
      <w:r w:rsidRPr="0CB31AB4">
        <w:rPr>
          <w:rFonts w:ascii="Times New Roman" w:eastAsia="Times New Roman" w:hAnsi="Times New Roman" w:cs="Times New Roman"/>
        </w:rPr>
        <w:t xml:space="preserve"> Implementácia exaktných matematických modelov doplnená o ochrannú logiku, ktorá proaktívne varuje používateľa pri nevhodnom použití analytickej aproximácie pre veľké počiatočné uhly.</w:t>
      </w:r>
    </w:p>
    <w:p w14:paraId="06430066" w14:textId="4DC1AF71" w:rsidR="00BF1F62" w:rsidRDefault="259F6F8E" w:rsidP="0CB31AB4">
      <w:pPr>
        <w:pStyle w:val="Heading2"/>
        <w:spacing w:before="420" w:after="120" w:line="420" w:lineRule="auto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3. Návrh systému (High-Level Architektúra)</w:t>
      </w:r>
    </w:p>
    <w:p w14:paraId="358023DE" w14:textId="5ECEFEFE" w:rsidR="00BF1F62" w:rsidRDefault="259F6F8E" w:rsidP="0CB31AB4">
      <w:pPr>
        <w:spacing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</w:rPr>
        <w:t xml:space="preserve">Systém využíva štandardný vzor </w:t>
      </w:r>
      <w:r w:rsidRPr="0CB31AB4">
        <w:rPr>
          <w:rFonts w:ascii="Times New Roman" w:eastAsia="Times New Roman" w:hAnsi="Times New Roman" w:cs="Times New Roman"/>
          <w:b/>
          <w:bCs/>
        </w:rPr>
        <w:t>Klient-Server</w:t>
      </w:r>
      <w:r w:rsidRPr="0CB31AB4">
        <w:rPr>
          <w:rFonts w:ascii="Times New Roman" w:eastAsia="Times New Roman" w:hAnsi="Times New Roman" w:cs="Times New Roman"/>
        </w:rPr>
        <w:t xml:space="preserve"> s implementáciou dvoch paralelných komunikačných kanálov pre optimalizáciu dátového toku.</w:t>
      </w:r>
    </w:p>
    <w:p w14:paraId="622B5ECF" w14:textId="5F8791F8" w:rsidR="00BF1F62" w:rsidRDefault="259F6F8E" w:rsidP="0CB31AB4">
      <w:pPr>
        <w:pStyle w:val="Heading3"/>
        <w:spacing w:before="42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3.1 Technologický zásobník (Tech Stack)</w:t>
      </w:r>
    </w:p>
    <w:p w14:paraId="6E8376FA" w14:textId="2B7D7060" w:rsidR="00BF1F62" w:rsidRDefault="259F6F8E" w:rsidP="0CB31AB4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Klientska vrstva (Frontend):</w:t>
      </w:r>
      <w:r w:rsidRPr="0CB31AB4">
        <w:rPr>
          <w:rFonts w:ascii="Times New Roman" w:eastAsia="Times New Roman" w:hAnsi="Times New Roman" w:cs="Times New Roman"/>
        </w:rPr>
        <w:t xml:space="preserve"> JavaScript, HTML5, CSS3. Na vizualizáciu fyzikálneho modelu sa využíva HTML5 Canvas. Na analytické a fázové grafy sa využívajú vizualizačné knižnice (napr. Chart.js).</w:t>
      </w:r>
    </w:p>
    <w:p w14:paraId="55822A4C" w14:textId="3E0AF259" w:rsidR="00BF1F62" w:rsidRDefault="259F6F8E" w:rsidP="0CB31AB4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Aplikačná vrstva (Backend):</w:t>
      </w:r>
      <w:r w:rsidRPr="0CB31AB4">
        <w:rPr>
          <w:rFonts w:ascii="Times New Roman" w:eastAsia="Times New Roman" w:hAnsi="Times New Roman" w:cs="Times New Roman"/>
        </w:rPr>
        <w:t xml:space="preserve"> Python s využitím asynchrónneho frameworku (odporúčaný FastAPI) pre natívnu podporu WebSocketov a procesov na pozadí. Fyzikálne výpočty zabezpečujú numerické knižnice.</w:t>
      </w:r>
    </w:p>
    <w:p w14:paraId="29399779" w14:textId="1FC0ECC9" w:rsidR="00BF1F62" w:rsidRDefault="259F6F8E" w:rsidP="0CB31AB4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lastRenderedPageBreak/>
        <w:t>Dátová vrstva:</w:t>
      </w:r>
      <w:r w:rsidRPr="0CB31AB4">
        <w:rPr>
          <w:rFonts w:ascii="Times New Roman" w:eastAsia="Times New Roman" w:hAnsi="Times New Roman" w:cs="Times New Roman"/>
        </w:rPr>
        <w:t xml:space="preserve"> Relačný databázový systém pre perzistentné ukladanie používateľských konfigurácií a histórie behov (napr. PostgreSQL alebo SQLite).</w:t>
      </w:r>
    </w:p>
    <w:p w14:paraId="760FEA51" w14:textId="39542784" w:rsidR="00BF1F62" w:rsidRDefault="259F6F8E" w:rsidP="0CB31AB4">
      <w:pPr>
        <w:pStyle w:val="Heading2"/>
        <w:spacing w:before="420" w:after="120" w:line="420" w:lineRule="auto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4. Komunikačná infraštruktúra</w:t>
      </w:r>
    </w:p>
    <w:p w14:paraId="554AE3A7" w14:textId="189A4BF9" w:rsidR="00BF1F62" w:rsidRDefault="259F6F8E" w:rsidP="0CB31AB4">
      <w:pPr>
        <w:spacing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</w:rPr>
        <w:t>Komunikácia je dizajnovaná na základe povahy dátového toku do dvoch protokolov:</w:t>
      </w:r>
    </w:p>
    <w:p w14:paraId="6C6C0BE6" w14:textId="3A7645DC" w:rsidR="00BF1F62" w:rsidRDefault="259F6F8E" w:rsidP="0CB31AB4">
      <w:pPr>
        <w:pStyle w:val="Heading3"/>
        <w:spacing w:before="42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4.1 REST API (Transakčná vrstva)</w:t>
      </w:r>
    </w:p>
    <w:p w14:paraId="2D1BFC7F" w14:textId="289E4CED" w:rsidR="00BF1F62" w:rsidRDefault="259F6F8E" w:rsidP="0CB31AB4">
      <w:pPr>
        <w:spacing w:after="12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</w:rPr>
        <w:t>Zabezpečuje synchrónnu komunikáciu vo formáte JSON. Spracováva požiadavky na ukladanie, čítanie a validáciu stavu.</w:t>
      </w:r>
    </w:p>
    <w:p w14:paraId="69B753BB" w14:textId="3712E56D" w:rsidR="00BF1F62" w:rsidRDefault="259F6F8E" w:rsidP="0CB31AB4">
      <w:pPr>
        <w:pStyle w:val="ListParagraph"/>
        <w:numPr>
          <w:ilvl w:val="0"/>
          <w:numId w:val="5"/>
        </w:numPr>
        <w:spacing w:before="240" w:after="240" w:line="300" w:lineRule="auto"/>
        <w:rPr>
          <w:rFonts w:ascii="Times New Roman" w:eastAsia="Times New Roman" w:hAnsi="Times New Roman" w:cs="Times New Roman"/>
        </w:rPr>
      </w:pPr>
      <w:r w:rsidRPr="0CB31AB4">
        <w:rPr>
          <w:rFonts w:ascii="monospace" w:eastAsia="monospace" w:hAnsi="monospace" w:cs="monospace"/>
          <w:sz w:val="21"/>
          <w:szCs w:val="21"/>
        </w:rPr>
        <w:t>POST /api/pendulum/configurations</w:t>
      </w:r>
      <w:r w:rsidRPr="0CB31AB4">
        <w:rPr>
          <w:rFonts w:ascii="Times New Roman" w:eastAsia="Times New Roman" w:hAnsi="Times New Roman" w:cs="Times New Roman"/>
        </w:rPr>
        <w:t>: Validuje vstupné parametre, počíta statické charakteristiky a ukladá novú konfiguráciu.</w:t>
      </w:r>
    </w:p>
    <w:p w14:paraId="1DF10B36" w14:textId="3C7EB911" w:rsidR="00BF1F62" w:rsidRDefault="259F6F8E" w:rsidP="0CB31AB4">
      <w:pPr>
        <w:pStyle w:val="ListParagraph"/>
        <w:numPr>
          <w:ilvl w:val="0"/>
          <w:numId w:val="5"/>
        </w:numPr>
        <w:spacing w:before="240" w:after="240" w:line="300" w:lineRule="auto"/>
        <w:rPr>
          <w:rFonts w:ascii="Times New Roman" w:eastAsia="Times New Roman" w:hAnsi="Times New Roman" w:cs="Times New Roman"/>
        </w:rPr>
      </w:pPr>
      <w:r w:rsidRPr="0CB31AB4">
        <w:rPr>
          <w:rFonts w:ascii="monospace" w:eastAsia="monospace" w:hAnsi="monospace" w:cs="monospace"/>
          <w:sz w:val="21"/>
          <w:szCs w:val="21"/>
        </w:rPr>
        <w:t>GET /api/pendulum/configurations</w:t>
      </w:r>
      <w:r w:rsidRPr="0CB31AB4">
        <w:rPr>
          <w:rFonts w:ascii="Times New Roman" w:eastAsia="Times New Roman" w:hAnsi="Times New Roman" w:cs="Times New Roman"/>
        </w:rPr>
        <w:t>: Vracia zoznam uložených fyzikálnych modelov.</w:t>
      </w:r>
    </w:p>
    <w:p w14:paraId="59FB8E9C" w14:textId="71DE7F91" w:rsidR="00BF1F62" w:rsidRDefault="259F6F8E" w:rsidP="0CB31AB4">
      <w:pPr>
        <w:pStyle w:val="ListParagraph"/>
        <w:numPr>
          <w:ilvl w:val="0"/>
          <w:numId w:val="5"/>
        </w:numPr>
        <w:spacing w:before="240" w:after="240" w:line="300" w:lineRule="auto"/>
        <w:rPr>
          <w:rFonts w:ascii="Times New Roman" w:eastAsia="Times New Roman" w:hAnsi="Times New Roman" w:cs="Times New Roman"/>
        </w:rPr>
      </w:pPr>
      <w:r w:rsidRPr="0CB31AB4">
        <w:rPr>
          <w:rFonts w:ascii="monospace" w:eastAsia="monospace" w:hAnsi="monospace" w:cs="monospace"/>
          <w:sz w:val="21"/>
          <w:szCs w:val="21"/>
        </w:rPr>
        <w:t>POST /api/pendulum/simulations/start</w:t>
      </w:r>
      <w:r w:rsidRPr="0CB31AB4">
        <w:rPr>
          <w:rFonts w:ascii="Times New Roman" w:eastAsia="Times New Roman" w:hAnsi="Times New Roman" w:cs="Times New Roman"/>
        </w:rPr>
        <w:t>: Inicializuje asynchrónnu simulačnú úlohu a vracia klientovi prístupový identifikátor (URL) pre pripojenie k streamu.</w:t>
      </w:r>
    </w:p>
    <w:p w14:paraId="43438970" w14:textId="51265777" w:rsidR="00BF1F62" w:rsidRDefault="259F6F8E" w:rsidP="0CB31AB4">
      <w:pPr>
        <w:pStyle w:val="Heading3"/>
        <w:spacing w:before="42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4.2 WebSocket (Telemetrická vrstva)</w:t>
      </w:r>
    </w:p>
    <w:p w14:paraId="25799878" w14:textId="14FA4258" w:rsidR="00BF1F62" w:rsidRDefault="259F6F8E" w:rsidP="0CB31AB4">
      <w:pPr>
        <w:spacing w:after="12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</w:rPr>
        <w:t>Zabezpečuje asynchrónnu, jednosmernú komunikáciu (Server → Klient) navrhnutú exkluzívne pre prenos vysoko-frekvenčných simulačných dát.</w:t>
      </w:r>
    </w:p>
    <w:p w14:paraId="3CCEFE71" w14:textId="66C7E9CD" w:rsidR="00BF1F62" w:rsidRDefault="259F6F8E" w:rsidP="0CB31AB4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Cyklus správ:</w:t>
      </w:r>
      <w:r w:rsidRPr="0CB31AB4">
        <w:rPr>
          <w:rFonts w:ascii="Times New Roman" w:eastAsia="Times New Roman" w:hAnsi="Times New Roman" w:cs="Times New Roman"/>
        </w:rPr>
        <w:t xml:space="preserve"> Server odosiela JSON payload každých 50 ms.</w:t>
      </w:r>
    </w:p>
    <w:p w14:paraId="5F7E7AEB" w14:textId="01E1AFD8" w:rsidR="00BF1F62" w:rsidRDefault="259F6F8E" w:rsidP="0CB31AB4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Štruktúra payloadu:</w:t>
      </w:r>
      <w:r w:rsidRPr="0CB31AB4">
        <w:rPr>
          <w:rFonts w:ascii="Times New Roman" w:eastAsia="Times New Roman" w:hAnsi="Times New Roman" w:cs="Times New Roman"/>
        </w:rPr>
        <w:t xml:space="preserve"> Obsahuje simulačný čas, uhol, uhlovú rýchlosť, uhlové zrýchlenie, priestorové súradnice (x, y) a okamžitý stav energií (kinetická, potenciálna, celková).</w:t>
      </w:r>
    </w:p>
    <w:p w14:paraId="31385628" w14:textId="607AEFD0" w:rsidR="00BF1F62" w:rsidRDefault="259F6F8E" w:rsidP="0CB31AB4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Ukončenie:</w:t>
      </w:r>
      <w:r w:rsidRPr="0CB31AB4">
        <w:rPr>
          <w:rFonts w:ascii="Times New Roman" w:eastAsia="Times New Roman" w:hAnsi="Times New Roman" w:cs="Times New Roman"/>
        </w:rPr>
        <w:t xml:space="preserve"> Spojenie je iniciované klientom, ale terminované serverom po uplynutí doby simulácie odoslaním správy typu </w:t>
      </w:r>
      <w:r w:rsidRPr="0CB31AB4">
        <w:rPr>
          <w:rFonts w:ascii="monospace" w:eastAsia="monospace" w:hAnsi="monospace" w:cs="monospace"/>
          <w:sz w:val="21"/>
          <w:szCs w:val="21"/>
        </w:rPr>
        <w:t>completed</w:t>
      </w:r>
      <w:r w:rsidRPr="0CB31AB4">
        <w:rPr>
          <w:rFonts w:ascii="Times New Roman" w:eastAsia="Times New Roman" w:hAnsi="Times New Roman" w:cs="Times New Roman"/>
        </w:rPr>
        <w:t>.</w:t>
      </w:r>
    </w:p>
    <w:p w14:paraId="5864ED5E" w14:textId="0F9076FE" w:rsidR="00BF1F62" w:rsidRDefault="259F6F8E" w:rsidP="0CB31AB4">
      <w:pPr>
        <w:pStyle w:val="Heading2"/>
        <w:spacing w:before="420" w:after="120" w:line="420" w:lineRule="auto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5. Návrh jadrových modulov</w:t>
      </w:r>
    </w:p>
    <w:p w14:paraId="373116D7" w14:textId="3389D5C1" w:rsidR="00BF1F62" w:rsidRDefault="259F6F8E" w:rsidP="0CB31AB4">
      <w:pPr>
        <w:pStyle w:val="Heading3"/>
        <w:spacing w:before="42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5.1 Fyzikálny simulačný engine (Backend)</w:t>
      </w:r>
    </w:p>
    <w:p w14:paraId="0F5BCB5D" w14:textId="4DF2E766" w:rsidR="00BF1F62" w:rsidRDefault="259F6F8E" w:rsidP="0CB31AB4">
      <w:pPr>
        <w:spacing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</w:rPr>
        <w:t>Modul zabezpečuje riešenie diferenciálnej rovnice matematického kyvadla:</w:t>
      </w:r>
    </w:p>
    <w:p w14:paraId="50AF9421" w14:textId="5827C24E" w:rsidR="00BF1F62" w:rsidRDefault="259F6F8E" w:rsidP="0CB31AB4">
      <w:pPr>
        <w:spacing w:after="0"/>
        <w:jc w:val="center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i/>
          <w:iCs/>
        </w:rPr>
        <w:t>I</w:t>
      </w:r>
      <w:r w:rsidRPr="0CB31AB4">
        <w:rPr>
          <w:rFonts w:ascii="Times New Roman" w:eastAsia="Times New Roman" w:hAnsi="Times New Roman" w:cs="Times New Roman"/>
        </w:rPr>
        <w:t>⋅</w:t>
      </w:r>
      <w:r w:rsidRPr="0CB31AB4">
        <w:rPr>
          <w:rFonts w:ascii="Times New Roman" w:eastAsia="Times New Roman" w:hAnsi="Times New Roman" w:cs="Times New Roman"/>
          <w:i/>
          <w:iCs/>
        </w:rPr>
        <w:t>θ</w:t>
      </w:r>
      <w:r w:rsidRPr="0CB31AB4">
        <w:rPr>
          <w:rFonts w:ascii="Times New Roman" w:eastAsia="Times New Roman" w:hAnsi="Times New Roman" w:cs="Times New Roman"/>
        </w:rPr>
        <w:t>¨+</w:t>
      </w:r>
      <w:r w:rsidRPr="0CB31AB4">
        <w:rPr>
          <w:rFonts w:ascii="Times New Roman" w:eastAsia="Times New Roman" w:hAnsi="Times New Roman" w:cs="Times New Roman"/>
          <w:i/>
          <w:iCs/>
        </w:rPr>
        <w:t>c</w:t>
      </w:r>
      <w:r w:rsidRPr="0CB31AB4">
        <w:rPr>
          <w:rFonts w:ascii="Times New Roman" w:eastAsia="Times New Roman" w:hAnsi="Times New Roman" w:cs="Times New Roman"/>
        </w:rPr>
        <w:t>⋅</w:t>
      </w:r>
      <w:r w:rsidRPr="0CB31AB4">
        <w:rPr>
          <w:rFonts w:ascii="Times New Roman" w:eastAsia="Times New Roman" w:hAnsi="Times New Roman" w:cs="Times New Roman"/>
          <w:i/>
          <w:iCs/>
        </w:rPr>
        <w:t>θ</w:t>
      </w:r>
      <w:r w:rsidRPr="0CB31AB4">
        <w:rPr>
          <w:rFonts w:ascii="Times New Roman" w:eastAsia="Times New Roman" w:hAnsi="Times New Roman" w:cs="Times New Roman"/>
        </w:rPr>
        <w:t>˙+</w:t>
      </w:r>
      <w:r w:rsidRPr="0CB31AB4">
        <w:rPr>
          <w:rFonts w:ascii="Times New Roman" w:eastAsia="Times New Roman" w:hAnsi="Times New Roman" w:cs="Times New Roman"/>
          <w:i/>
          <w:iCs/>
        </w:rPr>
        <w:t>m</w:t>
      </w:r>
      <w:r w:rsidRPr="0CB31AB4">
        <w:rPr>
          <w:rFonts w:ascii="Times New Roman" w:eastAsia="Times New Roman" w:hAnsi="Times New Roman" w:cs="Times New Roman"/>
        </w:rPr>
        <w:t>⋅</w:t>
      </w:r>
      <w:r w:rsidRPr="0CB31AB4">
        <w:rPr>
          <w:rFonts w:ascii="Times New Roman" w:eastAsia="Times New Roman" w:hAnsi="Times New Roman" w:cs="Times New Roman"/>
          <w:i/>
          <w:iCs/>
        </w:rPr>
        <w:t>g</w:t>
      </w:r>
      <w:r w:rsidRPr="0CB31AB4">
        <w:rPr>
          <w:rFonts w:ascii="Times New Roman" w:eastAsia="Times New Roman" w:hAnsi="Times New Roman" w:cs="Times New Roman"/>
        </w:rPr>
        <w:t>⋅</w:t>
      </w:r>
      <w:r w:rsidRPr="0CB31AB4">
        <w:rPr>
          <w:rFonts w:ascii="Times New Roman" w:eastAsia="Times New Roman" w:hAnsi="Times New Roman" w:cs="Times New Roman"/>
          <w:i/>
          <w:iCs/>
        </w:rPr>
        <w:t>L</w:t>
      </w:r>
      <w:r w:rsidRPr="0CB31AB4">
        <w:rPr>
          <w:rFonts w:ascii="Times New Roman" w:eastAsia="Times New Roman" w:hAnsi="Times New Roman" w:cs="Times New Roman"/>
        </w:rPr>
        <w:t>⋅sin(</w:t>
      </w:r>
      <w:r w:rsidRPr="0CB31AB4">
        <w:rPr>
          <w:rFonts w:ascii="Times New Roman" w:eastAsia="Times New Roman" w:hAnsi="Times New Roman" w:cs="Times New Roman"/>
          <w:i/>
          <w:iCs/>
        </w:rPr>
        <w:t>θ</w:t>
      </w:r>
      <w:r w:rsidRPr="0CB31AB4">
        <w:rPr>
          <w:rFonts w:ascii="Times New Roman" w:eastAsia="Times New Roman" w:hAnsi="Times New Roman" w:cs="Times New Roman"/>
        </w:rPr>
        <w:t>)=0</w:t>
      </w:r>
    </w:p>
    <w:p w14:paraId="4F8CA25E" w14:textId="4B53A18B" w:rsidR="00BF1F62" w:rsidRDefault="259F6F8E" w:rsidP="0CB31AB4">
      <w:pPr>
        <w:spacing w:after="12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</w:rPr>
        <w:t>Engine implementuje polymorfné prepínanie výpočtových algoritmov:</w:t>
      </w:r>
    </w:p>
    <w:p w14:paraId="0FA9ED58" w14:textId="4753497A" w:rsidR="00BF1F62" w:rsidRDefault="259F6F8E" w:rsidP="0CB31AB4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Analytická metóda:</w:t>
      </w:r>
      <w:r w:rsidRPr="0CB31AB4">
        <w:rPr>
          <w:rFonts w:ascii="Times New Roman" w:eastAsia="Times New Roman" w:hAnsi="Times New Roman" w:cs="Times New Roman"/>
        </w:rPr>
        <w:t xml:space="preserve"> Očakáva lineárnu aproximáciu (sin(</w:t>
      </w:r>
      <w:r w:rsidRPr="0CB31AB4">
        <w:rPr>
          <w:rFonts w:ascii="Times New Roman" w:eastAsia="Times New Roman" w:hAnsi="Times New Roman" w:cs="Times New Roman"/>
          <w:i/>
          <w:iCs/>
        </w:rPr>
        <w:t>θ</w:t>
      </w:r>
      <w:r w:rsidRPr="0CB31AB4">
        <w:rPr>
          <w:rFonts w:ascii="Times New Roman" w:eastAsia="Times New Roman" w:hAnsi="Times New Roman" w:cs="Times New Roman"/>
        </w:rPr>
        <w:t>)≈</w:t>
      </w:r>
      <w:r w:rsidRPr="0CB31AB4">
        <w:rPr>
          <w:rFonts w:ascii="Times New Roman" w:eastAsia="Times New Roman" w:hAnsi="Times New Roman" w:cs="Times New Roman"/>
          <w:i/>
          <w:iCs/>
        </w:rPr>
        <w:t>θ</w:t>
      </w:r>
      <w:r w:rsidRPr="0CB31AB4">
        <w:rPr>
          <w:rFonts w:ascii="Times New Roman" w:eastAsia="Times New Roman" w:hAnsi="Times New Roman" w:cs="Times New Roman"/>
        </w:rPr>
        <w:t xml:space="preserve">). Vracia presné výsledky výhradne pre </w:t>
      </w:r>
      <w:r w:rsidRPr="0CB31AB4">
        <w:rPr>
          <w:rFonts w:ascii="Times New Roman" w:eastAsia="Times New Roman" w:hAnsi="Times New Roman" w:cs="Times New Roman"/>
          <w:i/>
          <w:iCs/>
        </w:rPr>
        <w:t>θ</w:t>
      </w:r>
      <w:r w:rsidRPr="0CB31AB4">
        <w:rPr>
          <w:rFonts w:ascii="Times New Roman" w:eastAsia="Times New Roman" w:hAnsi="Times New Roman" w:cs="Times New Roman"/>
        </w:rPr>
        <w:t>0</w:t>
      </w:r>
      <w:r w:rsidRPr="0CB31AB4">
        <w:rPr>
          <w:rFonts w:ascii="Times New Roman" w:eastAsia="Times New Roman" w:hAnsi="Times New Roman" w:cs="Times New Roman"/>
          <w:sz w:val="12"/>
          <w:szCs w:val="12"/>
        </w:rPr>
        <w:t xml:space="preserve"> </w:t>
      </w:r>
      <w:r w:rsidRPr="0CB31AB4">
        <w:rPr>
          <w:rFonts w:ascii="Times New Roman" w:eastAsia="Times New Roman" w:hAnsi="Times New Roman" w:cs="Times New Roman"/>
        </w:rPr>
        <w:t>&lt;5∘.</w:t>
      </w:r>
    </w:p>
    <w:p w14:paraId="15098CBC" w14:textId="1E5CDB58" w:rsidR="00BF1F62" w:rsidRDefault="259F6F8E" w:rsidP="0CB31AB4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lastRenderedPageBreak/>
        <w:t>Eulerova metóda (1. rád presnosti):</w:t>
      </w:r>
      <w:r w:rsidRPr="0CB31AB4">
        <w:rPr>
          <w:rFonts w:ascii="Times New Roman" w:eastAsia="Times New Roman" w:hAnsi="Times New Roman" w:cs="Times New Roman"/>
        </w:rPr>
        <w:t xml:space="preserve"> Slúži na demonštráciu kumulatívnej numerickej chyby pri nelineárnych systémoch.</w:t>
      </w:r>
    </w:p>
    <w:p w14:paraId="421C50E6" w14:textId="26D7C5D9" w:rsidR="00BF1F62" w:rsidRDefault="259F6F8E" w:rsidP="0CB31AB4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Runge-Kutta 4. rádu (RK4):</w:t>
      </w:r>
      <w:r w:rsidRPr="0CB31AB4">
        <w:rPr>
          <w:rFonts w:ascii="Times New Roman" w:eastAsia="Times New Roman" w:hAnsi="Times New Roman" w:cs="Times New Roman"/>
        </w:rPr>
        <w:t xml:space="preserve"> Kľúčový algoritmus na zachovanie energetickej stability a vysokej presnosti pri veľkých výchylkách.</w:t>
      </w:r>
    </w:p>
    <w:p w14:paraId="3DA861B7" w14:textId="5EB795C8" w:rsidR="00BF1F62" w:rsidRDefault="259F6F8E" w:rsidP="0CB31AB4">
      <w:pPr>
        <w:spacing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Detekcia hraničných stavov:</w:t>
      </w:r>
      <w:r w:rsidRPr="0CB31AB4">
        <w:rPr>
          <w:rFonts w:ascii="Times New Roman" w:eastAsia="Times New Roman" w:hAnsi="Times New Roman" w:cs="Times New Roman"/>
        </w:rPr>
        <w:t xml:space="preserve"> Ak požiadavka definuje </w:t>
      </w:r>
      <w:r w:rsidRPr="0CB31AB4">
        <w:rPr>
          <w:rFonts w:ascii="Times New Roman" w:eastAsia="Times New Roman" w:hAnsi="Times New Roman" w:cs="Times New Roman"/>
          <w:i/>
          <w:iCs/>
        </w:rPr>
        <w:t>θ</w:t>
      </w:r>
      <w:r w:rsidRPr="0CB31AB4">
        <w:rPr>
          <w:rFonts w:ascii="Times New Roman" w:eastAsia="Times New Roman" w:hAnsi="Times New Roman" w:cs="Times New Roman"/>
        </w:rPr>
        <w:t>0</w:t>
      </w:r>
      <w:r w:rsidRPr="0CB31AB4">
        <w:rPr>
          <w:rFonts w:ascii="Times New Roman" w:eastAsia="Times New Roman" w:hAnsi="Times New Roman" w:cs="Times New Roman"/>
          <w:sz w:val="12"/>
          <w:szCs w:val="12"/>
        </w:rPr>
        <w:t xml:space="preserve"> </w:t>
      </w:r>
      <w:r w:rsidRPr="0CB31AB4">
        <w:rPr>
          <w:rFonts w:ascii="Times New Roman" w:eastAsia="Times New Roman" w:hAnsi="Times New Roman" w:cs="Times New Roman"/>
        </w:rPr>
        <w:t>≥5∘ v kombinácii s analytickou metódou, systém vráti stav s varovaním (Warning) o narušení podmienok aproximácie.</w:t>
      </w:r>
    </w:p>
    <w:p w14:paraId="0AF59456" w14:textId="3A45AE6F" w:rsidR="00BF1F62" w:rsidRDefault="259F6F8E" w:rsidP="0CB31AB4">
      <w:pPr>
        <w:pStyle w:val="Heading3"/>
        <w:spacing w:before="42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5.2 Komponenty vizualizácie (Frontend)</w:t>
      </w:r>
    </w:p>
    <w:p w14:paraId="3C45BAA7" w14:textId="64537D2C" w:rsidR="00BF1F62" w:rsidRDefault="259F6F8E" w:rsidP="0CB31AB4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Configuration Dashboard:</w:t>
      </w:r>
      <w:r w:rsidRPr="0CB31AB4">
        <w:rPr>
          <w:rFonts w:ascii="Times New Roman" w:eastAsia="Times New Roman" w:hAnsi="Times New Roman" w:cs="Times New Roman"/>
        </w:rPr>
        <w:t xml:space="preserve"> Klientske používateľské rozhranie so zabudovanou heuristikou. Dynamický indikátor (farebná škála) varuje používateľa v reálnom čase pri prechode do oblasti nelineárneho správania.</w:t>
      </w:r>
    </w:p>
    <w:p w14:paraId="62F3422C" w14:textId="162F35C1" w:rsidR="00BF1F62" w:rsidRDefault="259F6F8E" w:rsidP="0CB31AB4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Canvas Simulation Renderer:</w:t>
      </w:r>
      <w:r w:rsidRPr="0CB31AB4">
        <w:rPr>
          <w:rFonts w:ascii="Times New Roman" w:eastAsia="Times New Roman" w:hAnsi="Times New Roman" w:cs="Times New Roman"/>
        </w:rPr>
        <w:t xml:space="preserve"> Vykresľovacie jadro, ktoré interpoluje prijaté diskrétne dáta na spojitú a plynulú vizualizáciu trajektórie a závažia.</w:t>
      </w:r>
    </w:p>
    <w:p w14:paraId="65FF4EDD" w14:textId="1CED3EE3" w:rsidR="00BF1F62" w:rsidRDefault="259F6F8E" w:rsidP="0CB31AB4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Telemetry Visualizer:</w:t>
      </w:r>
      <w:r w:rsidRPr="0CB31AB4">
        <w:rPr>
          <w:rFonts w:ascii="Times New Roman" w:eastAsia="Times New Roman" w:hAnsi="Times New Roman" w:cs="Times New Roman"/>
        </w:rPr>
        <w:t xml:space="preserve"> Modul vykresľujúci časové grafy, fázové portréty a energetické bilancie. Obsahuje funkcionalitu na vizuálne porovnanie dvoch paralelných simulačných stôp.</w:t>
      </w:r>
    </w:p>
    <w:p w14:paraId="1137E7E0" w14:textId="65099A71" w:rsidR="00BF1F62" w:rsidRDefault="259F6F8E" w:rsidP="0CB31AB4">
      <w:pPr>
        <w:pStyle w:val="Heading2"/>
        <w:spacing w:before="420" w:after="120" w:line="420" w:lineRule="auto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t>6. Model dátových entít</w:t>
      </w:r>
    </w:p>
    <w:p w14:paraId="04694D7D" w14:textId="5A5EFB24" w:rsidR="00BF1F62" w:rsidRDefault="259F6F8E" w:rsidP="0CB31AB4">
      <w:pPr>
        <w:spacing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</w:rPr>
        <w:t>Systém využíva normalizovanú relačnú štruktúru primárne zameranú na nasledujúce dve entity: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142"/>
        <w:gridCol w:w="1724"/>
        <w:gridCol w:w="2215"/>
        <w:gridCol w:w="2945"/>
      </w:tblGrid>
      <w:tr w:rsidR="0CB31AB4" w14:paraId="6BE9CC5F" w14:textId="77777777" w:rsidTr="0CB31AB4">
        <w:trPr>
          <w:trHeight w:val="300"/>
        </w:trPr>
        <w:tc>
          <w:tcPr>
            <w:tcW w:w="2595" w:type="dxa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5A529C44" w14:textId="3FF317D9" w:rsidR="0CB31AB4" w:rsidRDefault="0CB31AB4" w:rsidP="0CB31AB4">
            <w:pPr>
              <w:spacing w:after="0" w:line="300" w:lineRule="auto"/>
            </w:pPr>
            <w:r w:rsidRPr="0CB31AB4">
              <w:t>Entita / Tabuľka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2E50A181" w14:textId="72892DCD" w:rsidR="0CB31AB4" w:rsidRDefault="0CB31AB4" w:rsidP="0CB31AB4">
            <w:pPr>
              <w:spacing w:after="0" w:line="300" w:lineRule="auto"/>
            </w:pPr>
            <w:r w:rsidRPr="0CB31AB4">
              <w:t>Primárny kľúč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4098ABF4" w14:textId="4A6E8AFF" w:rsidR="0CB31AB4" w:rsidRDefault="0CB31AB4" w:rsidP="0CB31AB4">
            <w:pPr>
              <w:spacing w:after="0" w:line="300" w:lineRule="auto"/>
            </w:pPr>
            <w:r w:rsidRPr="0CB31AB4">
              <w:t>Kľúčové atribúty</w:t>
            </w:r>
          </w:p>
        </w:tc>
        <w:tc>
          <w:tcPr>
            <w:tcW w:w="2595" w:type="dxa"/>
            <w:tcBorders>
              <w:top w:val="nil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1B3B36CF" w14:textId="53F649A7" w:rsidR="0CB31AB4" w:rsidRDefault="0CB31AB4" w:rsidP="0CB31AB4">
            <w:pPr>
              <w:spacing w:after="0" w:line="300" w:lineRule="auto"/>
            </w:pPr>
            <w:r w:rsidRPr="0CB31AB4">
              <w:t>Popis a biznis význam</w:t>
            </w:r>
          </w:p>
        </w:tc>
      </w:tr>
      <w:tr w:rsidR="0CB31AB4" w14:paraId="4BFAEB7B" w14:textId="77777777" w:rsidTr="0CB31AB4">
        <w:trPr>
          <w:trHeight w:val="300"/>
        </w:trPr>
        <w:tc>
          <w:tcPr>
            <w:tcW w:w="2595" w:type="dxa"/>
            <w:tcBorders>
              <w:top w:val="single" w:sz="6" w:space="0" w:color="444746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655F90FF" w14:textId="3BC675F1" w:rsidR="0CB31AB4" w:rsidRDefault="0CB31AB4" w:rsidP="0CB31AB4">
            <w:pPr>
              <w:spacing w:after="0" w:line="300" w:lineRule="auto"/>
              <w:rPr>
                <w:b/>
                <w:bCs/>
              </w:rPr>
            </w:pPr>
            <w:r w:rsidRPr="0CB31AB4">
              <w:rPr>
                <w:b/>
                <w:bCs/>
              </w:rPr>
              <w:t>Configurations</w:t>
            </w:r>
          </w:p>
        </w:tc>
        <w:tc>
          <w:tcPr>
            <w:tcW w:w="2595" w:type="dxa"/>
            <w:tcBorders>
              <w:top w:val="single" w:sz="6" w:space="0" w:color="444746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41B9C212" w14:textId="0682756E" w:rsidR="0CB31AB4" w:rsidRDefault="0CB31AB4" w:rsidP="0CB31AB4">
            <w:pPr>
              <w:spacing w:after="0" w:line="300" w:lineRule="auto"/>
              <w:rPr>
                <w:rFonts w:ascii="monospace" w:eastAsia="monospace" w:hAnsi="monospace" w:cs="monospace"/>
                <w:sz w:val="21"/>
                <w:szCs w:val="21"/>
              </w:rPr>
            </w:pP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id</w:t>
            </w:r>
          </w:p>
        </w:tc>
        <w:tc>
          <w:tcPr>
            <w:tcW w:w="2595" w:type="dxa"/>
            <w:tcBorders>
              <w:top w:val="single" w:sz="6" w:space="0" w:color="444746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3ED941FE" w14:textId="4C8BD406" w:rsidR="0CB31AB4" w:rsidRDefault="0CB31AB4" w:rsidP="0CB31AB4">
            <w:pPr>
              <w:spacing w:after="0" w:line="300" w:lineRule="auto"/>
              <w:rPr>
                <w:rFonts w:ascii="monospace" w:eastAsia="monospace" w:hAnsi="monospace" w:cs="monospace"/>
                <w:sz w:val="21"/>
                <w:szCs w:val="21"/>
              </w:rPr>
            </w:pP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name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length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mass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damping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initial_angle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numerical_method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oscillation_type</w:t>
            </w:r>
          </w:p>
        </w:tc>
        <w:tc>
          <w:tcPr>
            <w:tcW w:w="2595" w:type="dxa"/>
            <w:tcBorders>
              <w:top w:val="single" w:sz="6" w:space="0" w:color="444746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651094D0" w14:textId="22EC6182" w:rsidR="0CB31AB4" w:rsidRDefault="0CB31AB4" w:rsidP="0CB31AB4">
            <w:pPr>
              <w:spacing w:after="0" w:line="300" w:lineRule="auto"/>
            </w:pPr>
            <w:r w:rsidRPr="0CB31AB4">
              <w:t xml:space="preserve">Uchováva fyzikálne vlastnosti systému a zvolenú metódu. Atribút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oscillation_type</w:t>
            </w:r>
            <w:r w:rsidRPr="0CB31AB4">
              <w:t xml:space="preserve"> určuje zaradenie (small_angle/large_angle).</w:t>
            </w:r>
          </w:p>
        </w:tc>
      </w:tr>
      <w:tr w:rsidR="0CB31AB4" w14:paraId="1DEB5A42" w14:textId="77777777" w:rsidTr="0CB31AB4">
        <w:trPr>
          <w:trHeight w:val="300"/>
        </w:trPr>
        <w:tc>
          <w:tcPr>
            <w:tcW w:w="2595" w:type="dxa"/>
            <w:tcBorders>
              <w:top w:val="single" w:sz="6" w:space="0" w:color="444746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72C551B6" w14:textId="2543525F" w:rsidR="0CB31AB4" w:rsidRDefault="0CB31AB4" w:rsidP="0CB31AB4">
            <w:pPr>
              <w:spacing w:after="0" w:line="300" w:lineRule="auto"/>
              <w:rPr>
                <w:b/>
                <w:bCs/>
              </w:rPr>
            </w:pPr>
            <w:r w:rsidRPr="0CB31AB4">
              <w:rPr>
                <w:b/>
                <w:bCs/>
              </w:rPr>
              <w:t>Simulations</w:t>
            </w:r>
          </w:p>
        </w:tc>
        <w:tc>
          <w:tcPr>
            <w:tcW w:w="2595" w:type="dxa"/>
            <w:tcBorders>
              <w:top w:val="single" w:sz="6" w:space="0" w:color="444746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1E326D25" w14:textId="4522422A" w:rsidR="0CB31AB4" w:rsidRDefault="0CB31AB4" w:rsidP="0CB31AB4">
            <w:pPr>
              <w:spacing w:after="0" w:line="300" w:lineRule="auto"/>
              <w:rPr>
                <w:rFonts w:ascii="monospace" w:eastAsia="monospace" w:hAnsi="monospace" w:cs="monospace"/>
                <w:sz w:val="21"/>
                <w:szCs w:val="21"/>
              </w:rPr>
            </w:pP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id</w:t>
            </w:r>
          </w:p>
        </w:tc>
        <w:tc>
          <w:tcPr>
            <w:tcW w:w="2595" w:type="dxa"/>
            <w:tcBorders>
              <w:top w:val="single" w:sz="6" w:space="0" w:color="444746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400FABB9" w14:textId="633DAC1A" w:rsidR="0CB31AB4" w:rsidRDefault="0CB31AB4" w:rsidP="0CB31AB4">
            <w:pPr>
              <w:spacing w:after="0" w:line="300" w:lineRule="auto"/>
              <w:rPr>
                <w:rFonts w:ascii="monospace" w:eastAsia="monospace" w:hAnsi="monospace" w:cs="monospace"/>
                <w:sz w:val="21"/>
                <w:szCs w:val="21"/>
              </w:rPr>
            </w:pP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config_id</w:t>
            </w:r>
            <w:r w:rsidRPr="0CB31AB4">
              <w:t xml:space="preserve"> (FK),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status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duration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started_at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total_steps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final_angle</w:t>
            </w:r>
            <w:r w:rsidRPr="0CB31AB4">
              <w:t xml:space="preserve">, </w:t>
            </w:r>
            <w:r w:rsidRPr="0CB31AB4">
              <w:rPr>
                <w:rFonts w:ascii="monospace" w:eastAsia="monospace" w:hAnsi="monospace" w:cs="monospace"/>
                <w:sz w:val="21"/>
                <w:szCs w:val="21"/>
              </w:rPr>
              <w:t>energy_loss</w:t>
            </w:r>
          </w:p>
        </w:tc>
        <w:tc>
          <w:tcPr>
            <w:tcW w:w="2595" w:type="dxa"/>
            <w:tcBorders>
              <w:top w:val="single" w:sz="6" w:space="0" w:color="444746"/>
              <w:left w:val="nil"/>
              <w:bottom w:val="single" w:sz="6" w:space="0" w:color="444746"/>
              <w:right w:val="nil"/>
            </w:tcBorders>
            <w:tcMar>
              <w:top w:w="240" w:type="dxa"/>
              <w:bottom w:w="240" w:type="dxa"/>
            </w:tcMar>
          </w:tcPr>
          <w:p w14:paraId="3B573CD5" w14:textId="72E87DC6" w:rsidR="0CB31AB4" w:rsidRDefault="0CB31AB4" w:rsidP="0CB31AB4">
            <w:pPr>
              <w:spacing w:after="0" w:line="300" w:lineRule="auto"/>
            </w:pPr>
            <w:r w:rsidRPr="0CB31AB4">
              <w:t>Udržuje prevádzkové metadáta a finálny stav konkrétneho behu (inštancie) simulácie.</w:t>
            </w:r>
          </w:p>
        </w:tc>
      </w:tr>
    </w:tbl>
    <w:p w14:paraId="6D1F9209" w14:textId="0BA99D18" w:rsidR="00BF1F62" w:rsidRDefault="259F6F8E" w:rsidP="0CB31AB4">
      <w:pPr>
        <w:pStyle w:val="Heading2"/>
        <w:spacing w:before="420" w:after="120" w:line="420" w:lineRule="auto"/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</w:pPr>
      <w:r w:rsidRPr="0CB31AB4">
        <w:rPr>
          <w:rFonts w:ascii="Times New Roman" w:eastAsia="Times New Roman" w:hAnsi="Times New Roman" w:cs="Times New Roman"/>
          <w:b/>
          <w:bCs/>
          <w:color w:val="auto"/>
          <w:sz w:val="30"/>
          <w:szCs w:val="30"/>
        </w:rPr>
        <w:lastRenderedPageBreak/>
        <w:t>7. Bezpečnosť a spracovanie chýb (Non-Functional Requirements)</w:t>
      </w:r>
    </w:p>
    <w:p w14:paraId="5C4647AC" w14:textId="16193739" w:rsidR="00BF1F62" w:rsidRDefault="259F6F8E" w:rsidP="0CB31AB4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Validácia vstupov (Boundary Checking):</w:t>
      </w:r>
      <w:r w:rsidRPr="0CB31AB4">
        <w:rPr>
          <w:rFonts w:ascii="Times New Roman" w:eastAsia="Times New Roman" w:hAnsi="Times New Roman" w:cs="Times New Roman"/>
        </w:rPr>
        <w:t xml:space="preserve"> Striktná kontrola medzných hodnôt na frontende aj backende. Systém odmietne fyzikálne nereálne hodnoty (napr. záporná dĺžka </w:t>
      </w:r>
      <w:r w:rsidRPr="0CB31AB4">
        <w:rPr>
          <w:rFonts w:ascii="Times New Roman" w:eastAsia="Times New Roman" w:hAnsi="Times New Roman" w:cs="Times New Roman"/>
          <w:i/>
          <w:iCs/>
        </w:rPr>
        <w:t>L</w:t>
      </w:r>
      <w:r w:rsidRPr="0CB31AB4">
        <w:rPr>
          <w:rFonts w:ascii="Times New Roman" w:eastAsia="Times New Roman" w:hAnsi="Times New Roman" w:cs="Times New Roman"/>
        </w:rPr>
        <w:t>≤0 alebo krok Δ</w:t>
      </w:r>
      <w:r w:rsidRPr="0CB31AB4">
        <w:rPr>
          <w:rFonts w:ascii="Times New Roman" w:eastAsia="Times New Roman" w:hAnsi="Times New Roman" w:cs="Times New Roman"/>
          <w:i/>
          <w:iCs/>
        </w:rPr>
        <w:t>t</w:t>
      </w:r>
      <w:r w:rsidRPr="0CB31AB4">
        <w:rPr>
          <w:rFonts w:ascii="Times New Roman" w:eastAsia="Times New Roman" w:hAnsi="Times New Roman" w:cs="Times New Roman"/>
        </w:rPr>
        <w:t xml:space="preserve"> mimo definovaného intervalu stabilného pre numeriku).</w:t>
      </w:r>
    </w:p>
    <w:p w14:paraId="21B28D59" w14:textId="5D831EB7" w:rsidR="00BF1F62" w:rsidRDefault="259F6F8E" w:rsidP="0CB31AB4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Odolnosť voči zlyhaniu (Fault Tolerance):</w:t>
      </w:r>
      <w:r w:rsidRPr="0CB31AB4">
        <w:rPr>
          <w:rFonts w:ascii="Times New Roman" w:eastAsia="Times New Roman" w:hAnsi="Times New Roman" w:cs="Times New Roman"/>
        </w:rPr>
        <w:t xml:space="preserve"> Pri strate spojenia (napríklad pri zatvorení karty prehliadača klientom) backend identifikuje prerušený WebSocket kanál a okamžite bezpečne ukončí asynchrónnu úlohu (Worker Thread). Tento mechanizmus zabraňuje vzniku "zombie" procesov a chráni pamäť servera (Memory Leak protection).</w:t>
      </w:r>
    </w:p>
    <w:p w14:paraId="18D57BBA" w14:textId="4189389F" w:rsidR="00BF1F62" w:rsidRDefault="259F6F8E" w:rsidP="0CB31AB4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0CB31AB4">
        <w:rPr>
          <w:rFonts w:ascii="Times New Roman" w:eastAsia="Times New Roman" w:hAnsi="Times New Roman" w:cs="Times New Roman"/>
          <w:b/>
          <w:bCs/>
        </w:rPr>
        <w:t>Škálovateľnosť výpočtov:</w:t>
      </w:r>
      <w:r w:rsidRPr="0CB31AB4">
        <w:rPr>
          <w:rFonts w:ascii="Times New Roman" w:eastAsia="Times New Roman" w:hAnsi="Times New Roman" w:cs="Times New Roman"/>
        </w:rPr>
        <w:t xml:space="preserve"> Časová zložitosť algoritmov je </w:t>
      </w:r>
      <w:r w:rsidRPr="0CB31AB4">
        <w:rPr>
          <w:rFonts w:ascii="Times New Roman" w:eastAsia="Times New Roman" w:hAnsi="Times New Roman" w:cs="Times New Roman"/>
          <w:i/>
          <w:iCs/>
        </w:rPr>
        <w:t>O</w:t>
      </w:r>
      <w:r w:rsidRPr="0CB31AB4">
        <w:rPr>
          <w:rFonts w:ascii="Times New Roman" w:eastAsia="Times New Roman" w:hAnsi="Times New Roman" w:cs="Times New Roman"/>
        </w:rPr>
        <w:t>(</w:t>
      </w:r>
      <w:r w:rsidRPr="0CB31AB4">
        <w:rPr>
          <w:rFonts w:ascii="Times New Roman" w:eastAsia="Times New Roman" w:hAnsi="Times New Roman" w:cs="Times New Roman"/>
          <w:i/>
          <w:iCs/>
        </w:rPr>
        <w:t>N</w:t>
      </w:r>
      <w:r w:rsidRPr="0CB31AB4">
        <w:rPr>
          <w:rFonts w:ascii="Times New Roman" w:eastAsia="Times New Roman" w:hAnsi="Times New Roman" w:cs="Times New Roman"/>
        </w:rPr>
        <w:t xml:space="preserve">), kde </w:t>
      </w:r>
      <w:r w:rsidRPr="0CB31AB4">
        <w:rPr>
          <w:rFonts w:ascii="Times New Roman" w:eastAsia="Times New Roman" w:hAnsi="Times New Roman" w:cs="Times New Roman"/>
          <w:i/>
          <w:iCs/>
        </w:rPr>
        <w:t>N</w:t>
      </w:r>
      <w:r w:rsidRPr="0CB31AB4">
        <w:rPr>
          <w:rFonts w:ascii="Times New Roman" w:eastAsia="Times New Roman" w:hAnsi="Times New Roman" w:cs="Times New Roman"/>
        </w:rPr>
        <w:t xml:space="preserve"> je počet časových krokov. Absencia potreby obojsmerného potvrdzovania pri WebSocket komunikácii umožňuje aplikačnému serveru obsluhovať vysoký počet súbežných experimentov s nízkou réžiou CPU.</w:t>
      </w:r>
      <w:r w:rsidR="00000000">
        <w:br/>
      </w:r>
      <w:r w:rsidR="00000000">
        <w:br/>
      </w:r>
    </w:p>
    <w:p w14:paraId="080F756B" w14:textId="69799929" w:rsidR="00BF1F62" w:rsidRDefault="070468FF" w:rsidP="0CB31AB4">
      <w:r w:rsidRPr="0CB31AB4">
        <w:t>8. UML Diagram</w:t>
      </w:r>
      <w:r w:rsidR="00000000">
        <w:br/>
      </w:r>
    </w:p>
    <w:p w14:paraId="17013AAC" w14:textId="78F5BAFE" w:rsidR="00BF1F62" w:rsidRDefault="003F3070" w:rsidP="0CB31AB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8FAA20B" wp14:editId="423ED1C3">
            <wp:simplePos x="0" y="0"/>
            <wp:positionH relativeFrom="page">
              <wp:align>left</wp:align>
            </wp:positionH>
            <wp:positionV relativeFrom="paragraph">
              <wp:posOffset>1021080</wp:posOffset>
            </wp:positionV>
            <wp:extent cx="7939095" cy="7839075"/>
            <wp:effectExtent l="0" t="0" r="5080" b="0"/>
            <wp:wrapSquare wrapText="bothSides"/>
            <wp:docPr id="1254081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9095" cy="783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F1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spac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3BBF"/>
    <w:multiLevelType w:val="hybridMultilevel"/>
    <w:tmpl w:val="1230076C"/>
    <w:lvl w:ilvl="0" w:tplc="1FECEC46">
      <w:start w:val="1"/>
      <w:numFmt w:val="decimal"/>
      <w:lvlText w:val="%1."/>
      <w:lvlJc w:val="left"/>
      <w:pPr>
        <w:ind w:left="720" w:hanging="360"/>
      </w:pPr>
    </w:lvl>
    <w:lvl w:ilvl="1" w:tplc="B9CC3B6E">
      <w:start w:val="1"/>
      <w:numFmt w:val="lowerLetter"/>
      <w:lvlText w:val="%2."/>
      <w:lvlJc w:val="left"/>
      <w:pPr>
        <w:ind w:left="1440" w:hanging="360"/>
      </w:pPr>
    </w:lvl>
    <w:lvl w:ilvl="2" w:tplc="49849FE8">
      <w:start w:val="1"/>
      <w:numFmt w:val="lowerRoman"/>
      <w:lvlText w:val="%3."/>
      <w:lvlJc w:val="right"/>
      <w:pPr>
        <w:ind w:left="2160" w:hanging="180"/>
      </w:pPr>
    </w:lvl>
    <w:lvl w:ilvl="3" w:tplc="01486F44">
      <w:start w:val="1"/>
      <w:numFmt w:val="decimal"/>
      <w:lvlText w:val="%4."/>
      <w:lvlJc w:val="left"/>
      <w:pPr>
        <w:ind w:left="2880" w:hanging="360"/>
      </w:pPr>
    </w:lvl>
    <w:lvl w:ilvl="4" w:tplc="DCE4B8A8">
      <w:start w:val="1"/>
      <w:numFmt w:val="lowerLetter"/>
      <w:lvlText w:val="%5."/>
      <w:lvlJc w:val="left"/>
      <w:pPr>
        <w:ind w:left="3600" w:hanging="360"/>
      </w:pPr>
    </w:lvl>
    <w:lvl w:ilvl="5" w:tplc="A7A02BA8">
      <w:start w:val="1"/>
      <w:numFmt w:val="lowerRoman"/>
      <w:lvlText w:val="%6."/>
      <w:lvlJc w:val="right"/>
      <w:pPr>
        <w:ind w:left="4320" w:hanging="180"/>
      </w:pPr>
    </w:lvl>
    <w:lvl w:ilvl="6" w:tplc="2152C30A">
      <w:start w:val="1"/>
      <w:numFmt w:val="decimal"/>
      <w:lvlText w:val="%7."/>
      <w:lvlJc w:val="left"/>
      <w:pPr>
        <w:ind w:left="5040" w:hanging="360"/>
      </w:pPr>
    </w:lvl>
    <w:lvl w:ilvl="7" w:tplc="E1FE91E8">
      <w:start w:val="1"/>
      <w:numFmt w:val="lowerLetter"/>
      <w:lvlText w:val="%8."/>
      <w:lvlJc w:val="left"/>
      <w:pPr>
        <w:ind w:left="5760" w:hanging="360"/>
      </w:pPr>
    </w:lvl>
    <w:lvl w:ilvl="8" w:tplc="D6EA5A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BB6C8"/>
    <w:multiLevelType w:val="hybridMultilevel"/>
    <w:tmpl w:val="D694A362"/>
    <w:lvl w:ilvl="0" w:tplc="60FE5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E20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0AD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8F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1AF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3EAD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A0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ECB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3E5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6FAD9"/>
    <w:multiLevelType w:val="hybridMultilevel"/>
    <w:tmpl w:val="4A2E3776"/>
    <w:lvl w:ilvl="0" w:tplc="06F8B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B1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FE2F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44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66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28B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0CE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A63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887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FB6D3"/>
    <w:multiLevelType w:val="hybridMultilevel"/>
    <w:tmpl w:val="4EAEDA5C"/>
    <w:lvl w:ilvl="0" w:tplc="B7B8C23E">
      <w:start w:val="1"/>
      <w:numFmt w:val="decimal"/>
      <w:lvlText w:val="%1."/>
      <w:lvlJc w:val="left"/>
      <w:pPr>
        <w:ind w:left="720" w:hanging="360"/>
      </w:pPr>
    </w:lvl>
    <w:lvl w:ilvl="1" w:tplc="75665932">
      <w:start w:val="1"/>
      <w:numFmt w:val="lowerLetter"/>
      <w:lvlText w:val="%2."/>
      <w:lvlJc w:val="left"/>
      <w:pPr>
        <w:ind w:left="1440" w:hanging="360"/>
      </w:pPr>
    </w:lvl>
    <w:lvl w:ilvl="2" w:tplc="538E065A">
      <w:start w:val="1"/>
      <w:numFmt w:val="lowerRoman"/>
      <w:lvlText w:val="%3."/>
      <w:lvlJc w:val="right"/>
      <w:pPr>
        <w:ind w:left="2160" w:hanging="180"/>
      </w:pPr>
    </w:lvl>
    <w:lvl w:ilvl="3" w:tplc="E4BC8B4E">
      <w:start w:val="1"/>
      <w:numFmt w:val="decimal"/>
      <w:lvlText w:val="%4."/>
      <w:lvlJc w:val="left"/>
      <w:pPr>
        <w:ind w:left="2880" w:hanging="360"/>
      </w:pPr>
    </w:lvl>
    <w:lvl w:ilvl="4" w:tplc="994EE846">
      <w:start w:val="1"/>
      <w:numFmt w:val="lowerLetter"/>
      <w:lvlText w:val="%5."/>
      <w:lvlJc w:val="left"/>
      <w:pPr>
        <w:ind w:left="3600" w:hanging="360"/>
      </w:pPr>
    </w:lvl>
    <w:lvl w:ilvl="5" w:tplc="7106764E">
      <w:start w:val="1"/>
      <w:numFmt w:val="lowerRoman"/>
      <w:lvlText w:val="%6."/>
      <w:lvlJc w:val="right"/>
      <w:pPr>
        <w:ind w:left="4320" w:hanging="180"/>
      </w:pPr>
    </w:lvl>
    <w:lvl w:ilvl="6" w:tplc="F54ABB60">
      <w:start w:val="1"/>
      <w:numFmt w:val="decimal"/>
      <w:lvlText w:val="%7."/>
      <w:lvlJc w:val="left"/>
      <w:pPr>
        <w:ind w:left="5040" w:hanging="360"/>
      </w:pPr>
    </w:lvl>
    <w:lvl w:ilvl="7" w:tplc="04E40814">
      <w:start w:val="1"/>
      <w:numFmt w:val="lowerLetter"/>
      <w:lvlText w:val="%8."/>
      <w:lvlJc w:val="left"/>
      <w:pPr>
        <w:ind w:left="5760" w:hanging="360"/>
      </w:pPr>
    </w:lvl>
    <w:lvl w:ilvl="8" w:tplc="3252CA8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9D2A8"/>
    <w:multiLevelType w:val="hybridMultilevel"/>
    <w:tmpl w:val="437A0438"/>
    <w:lvl w:ilvl="0" w:tplc="23969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083A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AA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A4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8F9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248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40C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EC6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761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769E1A"/>
    <w:multiLevelType w:val="hybridMultilevel"/>
    <w:tmpl w:val="A7A63C04"/>
    <w:lvl w:ilvl="0" w:tplc="D40A3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C83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5A7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9E93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63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03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60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26E9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7EFB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8B8B26"/>
    <w:multiLevelType w:val="hybridMultilevel"/>
    <w:tmpl w:val="9F2AAFDA"/>
    <w:lvl w:ilvl="0" w:tplc="DD6CF3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E07F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208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742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BCF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C86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167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5886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587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83272">
    <w:abstractNumId w:val="0"/>
  </w:num>
  <w:num w:numId="2" w16cid:durableId="597300469">
    <w:abstractNumId w:val="1"/>
  </w:num>
  <w:num w:numId="3" w16cid:durableId="1688483885">
    <w:abstractNumId w:val="3"/>
  </w:num>
  <w:num w:numId="4" w16cid:durableId="1524171080">
    <w:abstractNumId w:val="2"/>
  </w:num>
  <w:num w:numId="5" w16cid:durableId="1126697004">
    <w:abstractNumId w:val="4"/>
  </w:num>
  <w:num w:numId="6" w16cid:durableId="605380839">
    <w:abstractNumId w:val="5"/>
  </w:num>
  <w:num w:numId="7" w16cid:durableId="7323934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28D7DC"/>
    <w:rsid w:val="003F3070"/>
    <w:rsid w:val="00A73853"/>
    <w:rsid w:val="00BF1F62"/>
    <w:rsid w:val="01D380A4"/>
    <w:rsid w:val="070468FF"/>
    <w:rsid w:val="0CB31AB4"/>
    <w:rsid w:val="13B77C17"/>
    <w:rsid w:val="259F6F8E"/>
    <w:rsid w:val="2A6385AF"/>
    <w:rsid w:val="3328D7DC"/>
    <w:rsid w:val="3B299D28"/>
    <w:rsid w:val="63F7EBB4"/>
    <w:rsid w:val="7B34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8D7DC"/>
  <w15:chartTrackingRefBased/>
  <w15:docId w15:val="{80B3DC6E-0520-4B46-B9E3-FEE181B41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CB31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CB31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CB31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CB31AB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Dupaj</dc:creator>
  <cp:keywords/>
  <dc:description/>
  <cp:lastModifiedBy>Tomáš Patkoš</cp:lastModifiedBy>
  <cp:revision>2</cp:revision>
  <dcterms:created xsi:type="dcterms:W3CDTF">2026-03-31T18:06:00Z</dcterms:created>
  <dcterms:modified xsi:type="dcterms:W3CDTF">2026-03-31T19:12:00Z</dcterms:modified>
</cp:coreProperties>
</file>