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75.png" ContentType="image/png"/>
  <Override PartName="/word/media/rId25.png" ContentType="image/png"/>
  <Override PartName="/word/media/rId29.png" ContentType="image/png"/>
  <Override PartName="/word/media/rId71.png" ContentType="image/png"/>
  <Override PartName="/word/media/rId63.png" ContentType="image/png"/>
  <Override PartName="/word/media/rId67.png" ContentType="image/png"/>
  <Override PartName="/word/media/rId59.png" ContentType="image/png"/>
  <Override PartName="/word/media/rId47.png" ContentType="image/png"/>
  <Override PartName="/word/media/rId51.png" ContentType="image/png"/>
  <Override PartName="/word/media/rId43.png" ContentType="image/png"/>
  <Override PartName="/word/media/rId3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Struktura</w:t>
      </w:r>
      <w:r>
        <w:t xml:space="preserve"> </w:t>
      </w:r>
      <w:r>
        <w:t xml:space="preserve">i</w:t>
      </w:r>
      <w:r>
        <w:t xml:space="preserve"> </w:t>
      </w:r>
      <w:r>
        <w:t xml:space="preserve">dinamika</w:t>
      </w:r>
      <w:r>
        <w:t xml:space="preserve"> </w:t>
      </w:r>
      <w:r>
        <w:t xml:space="preserve">privrednih</w:t>
      </w:r>
      <w:r>
        <w:t xml:space="preserve"> </w:t>
      </w:r>
      <w:r>
        <w:t xml:space="preserve">djelatnosti</w:t>
      </w:r>
      <w:r>
        <w:t xml:space="preserve"> </w:t>
      </w:r>
      <w:r>
        <w:t xml:space="preserve">u</w:t>
      </w:r>
      <w:r>
        <w:t xml:space="preserve"> </w:t>
      </w:r>
      <w:r>
        <w:t xml:space="preserve">Hrvatskoj</w:t>
      </w:r>
    </w:p>
    <w:p>
      <w:pPr>
        <w:pStyle w:val="Author"/>
      </w:pPr>
      <w:r>
        <w:t xml:space="preserve">Josip</w:t>
      </w:r>
      <w:r>
        <w:t xml:space="preserve"> </w:t>
      </w:r>
      <w:r>
        <w:t xml:space="preserve">Tica</w:t>
      </w:r>
    </w:p>
    <w:bookmarkStart w:id="20" w:name="sažetak"/>
    <w:p>
      <w:pPr>
        <w:pStyle w:val="Heading2"/>
      </w:pPr>
      <w:r>
        <w:t xml:space="preserve">Sažetak</w:t>
      </w:r>
    </w:p>
    <w:p>
      <w:pPr>
        <w:pStyle w:val="FirstParagraph"/>
      </w:pPr>
      <w:r>
        <w:t xml:space="preserve">U ovom se radu analizira strukturna promjena proizvodnih sektora na agregatnoj razini Hrvatskog gospodarstva sa fokusom na tercijarizacijski proces u recentnom 20 godišnjem razdoblju (2001–2018). Istraživanje polazi od ekonomske teorije rasta i dugoročne strukturne promjene te empirijski istražuje unutar sektorsku dinamiku uslužnog sektora. Proces tercijarizacije definiran kao povećanje ekonomske aktivnosti uslužnog sektora u razvijenim zemljama i zemljama u razvoju empirijski je dobro dokumentiran u ekonomskoj literaturi. Tercijarizacijski proces je karakteristika dugoročne strukturne promjene u Hrvatskom gospodarstvu koja je započela 1970ih pri čemu se u razdoblju nakon 2000ih povećava unutarsektorska heterogenost te određeni podsektori uslužnog sektora dobivaju na važnosti. To je slučaj sa financijskim uslugama u prvom desetljeću i porastom važnosti računalnih usluga u drugom desetljeću 2000ih.U istraživanju se koriste disagregirani podaci na razini poduzeća iz godišnjih financijskih izvještaja poslovnih subjekata sa ciljem analize doprinosa sektorske u i unutarsektorske aktivnosti ekonomskim agregatima. Kvalitetni mikroekonomski podaci omogućuju detaljnu sektorsku analizu, uvažavajući čitav niz hetereogenosti. Rezultati istraživanja upućuju na važnost vertikalne industrijske politike u Hrvatskoj, koja je prekomjerno usmjerena na proizvodnji i turistički sektor kao perspektivne industrije, a nedovoljno uvažava sektor računalnog programiranja, koji zbog rastuće globalizacije i digitalizacije ima posebno važnu ulogu za budući ekonomski rast u Hrvatskoj.</w:t>
      </w:r>
    </w:p>
    <w:bookmarkEnd w:id="20"/>
    <w:bookmarkStart w:id="21" w:name="uvod"/>
    <w:p>
      <w:pPr>
        <w:pStyle w:val="Heading2"/>
      </w:pPr>
      <w:r>
        <w:t xml:space="preserve">Uvod</w:t>
      </w:r>
    </w:p>
    <w:p>
      <w:pPr>
        <w:pStyle w:val="FirstParagraph"/>
      </w:pPr>
      <w:r>
        <w:t xml:space="preserve">Nakon 90-ih godina do danas tercijarizacija postaje dominantan čimbenik promjene u strukturi privrednih djelatnosti. Tercijarizacija označava strukturnu promjenu u gospodarstvu u kojoj uslužne djelatnosti povećavaju razmjernu važnost u agregatnoj strukturi gospodarstva. Iako predmet interdisciplinarnog interesa, tercijarizacijskim procesom se prvenstveno bavi ekonomska literatura koja potvrđuje kako moderni gospodarski razvoj podrazumijeva smanjenje udjela</w:t>
      </w:r>
      <w:r>
        <w:t xml:space="preserve"> </w:t>
      </w:r>
      <w:r>
        <w:rPr>
          <w:iCs/>
          <w:i/>
        </w:rPr>
        <w:t xml:space="preserve">outputa</w:t>
      </w:r>
      <w:r>
        <w:t xml:space="preserve"> </w:t>
      </w:r>
      <w:r>
        <w:t xml:space="preserve">primarnih i sekundarnih djelatnosti, odnosno da tercijarne djelatnosti apsorbiraju radnu snagu iz primarnih i sekundarnih djelatnosti, zapošljavajući je s većom proizvodnošću što rezultira rastom proizvodnog outputa i općenito, gospodarskim rastom i razvojem.</w:t>
      </w:r>
    </w:p>
    <w:p>
      <w:pPr>
        <w:pStyle w:val="BodyText"/>
      </w:pPr>
      <w:r>
        <w:t xml:space="preserve">Ekonomska literatura naglašava brojne druge aspekte tercijarizacijskog procesa: relativno nižu produktivnost uslužnog sektora u odnosu na proizvodni (Krüger, 2008), postojanje značajnih unutarsektorskih razlika u tehnološkim kapacitetima, produktivnosti i obilježjima radne snage (Pillat and Wolf, 2005), važnost geografskih faktora (Herrendorf et al., 2014), značajne razlike u procesu tercijarizacije između razvijenih zemalja i zemalja u razvoju i dr. Upravo su specifičnosti procesa tercijarizacije u tranzicijskim i zemljama u razvoju te nedostatak istraživanja u domaćoj literaturi motivi za dublju analizu ovog procesa u Hrvatskoj. Te se specifičnosti odnose se na povijesne, institucionalne i političke karakteristike domaće ekonomije, tranzicijsko razdoblje obilježeno ratnim zbivanjima, zakašnjelo uključivanje u globalne financijske tokove, zakašnjelo pristupanje u EU i dr.</w:t>
      </w:r>
    </w:p>
    <w:p>
      <w:pPr>
        <w:pStyle w:val="BodyText"/>
      </w:pPr>
      <w:r>
        <w:t xml:space="preserve">Osim pregleda strukture i dinamike na razini privrednih djelatnosti, ovo se istraživanje fokusira na dva uslužna podsektora - turizma i programiranja. Dok je turizam već dugo prepoznat kao strateška indsutrija s zahtjevanim visokim investicijama javnog sektora, programiranje tek nedavno dolazi u fokus ekonomske politike u RH. U radu se stoga istražuju pokazatelji produktivnosti, dodane vrijednosti, neto izvoza i profitabilnosti poslovanja na razini privrednih djelatnosti i u navedenim podsektorima uslužnih djelatnosti.</w:t>
      </w:r>
    </w:p>
    <w:bookmarkEnd w:id="21"/>
    <w:bookmarkStart w:id="22" w:name="pregled-literature"/>
    <w:p>
      <w:pPr>
        <w:pStyle w:val="Heading2"/>
      </w:pPr>
      <w:r>
        <w:t xml:space="preserve">Pregled literature</w:t>
      </w:r>
    </w:p>
    <w:p>
      <w:pPr>
        <w:pStyle w:val="FirstParagraph"/>
      </w:pPr>
      <w:r>
        <w:t xml:space="preserve">Gospodarski razvoj podrazumijeva smanjenje udjela primarnih (poljoprivrede, šumarstva, lova i ribolova te rudarstva) i sekundarnih (industrija i građevinarstvo) djelatnosti u formiranju nacionalnog proizvoda (Fisher, 1939.;Clark 1940;Rostow;1997). Nakon 1970ih, razvoj svjetskih privreda empirijski pokazuje da uslužne djelatnosti postaju dominantan sektor, kako u pogledu zaposlenosti tako i u doprinosu u BDP-u. Ekonomska teorija ističe četiri glavna objašnjenja povećanja relativne važnosti uslužnih djelatnosti u strukturi privrednih djelatnosti.</w:t>
      </w:r>
    </w:p>
    <w:p>
      <w:pPr>
        <w:pStyle w:val="BodyText"/>
      </w:pPr>
      <w:r>
        <w:t xml:space="preserve">Prvo se objašnjenje (Baumol, 1967; Summers, 1985) odnosi na stranu ekonomske ponude. Uslijed porasta produktivnosti, proizvođački sektor smanjuje potrebe za radnom snagom, koja zbog toga prelazi u uslužni sektor. Time se povećavaju zaposlenost i drugi pokazatelji u tercijarnom sektoru pa on preuzima dominantnu ulogu u gospodarstvu. Drugo objašnjenje (Fisher, 1939; Clark, 1940; Fuchs, 1968; Schettkat, 2002) promatra potražnu stranu ekonomije. Zbog porasta agregatnog dohotka, preferencije potrošača pomiču se u smjeru proizvoda uslužnog sektora što povećava njegovu potražnju (outputom) i relativnu važnost u strukturi gospodarstva. Treće objašnjenje (Castells, 2000; Elfring, 1988; Singelmann, 1978) razmatra sektorsku strukturu uslužnih djelatnosti i analizira promjene u proizvodnim, distributivnim, javnim, informacijskim i drugim uslužnim podsektorima ističući da tehnologija, nove prilike i potrebe u društvu dovode do rasta tih podsektora što povećava pokazatelje relativne veličine uslužnog sektora i dovodi do njegova rasta. Četvrto se objašnjenje (Francois and Reinert, 1996; Pilat and Wölfl, 2005) zasniva na analizi sektorske strukture proizvođačkih i uslužnih djelatnosti u okviru input-output tablica. U okviru njega se znatan dio rasta uslužnog sektora može objasniti povećanim potrebama proizvodnog sektora za intermedijarnim uslužnim djelatnostima odnosno poslovnim uslugama, uglavnom povezanima s tehnološkim napretkom i povećanjem specifičnih potreba (npr. financijska intermedijacija, digitalni marketing) proizvođačkog sektora.</w:t>
      </w:r>
    </w:p>
    <w:p>
      <w:pPr>
        <w:pStyle w:val="BodyText"/>
      </w:pPr>
      <w:r>
        <w:t xml:space="preserve">U novijoj se literaturi naglašava niz dodatnih aspekata procesa tercijarizacije odnosno deindustrijalizacije. Rowthorn i Couttus (2004) navode četiri glavna uzroka dindustrijalizacije u bogatim i razvijenim zemljama: podugovaranje (outsourcing) proizvodnje prerađivačkog sektora, pad proizvođačkih cijena, rast svjetske trgovine i rastući konkurentski pritisak te pad investicija koji više utječe na proizvođački sektor. Palma (2008) naglašava rast temeljen na prirodnim resursima (Dutch disease), podugovaranje u globalnom privrednom sistemu, tehnološki napredak i neintervencionističke ekonomske politike. Rodrik (2016) ističe liberalizaciju trgovinskih režima i ulazak Kine na globalno tržište. Felipe i dr. (2014) zauzimaju ponešto drugačiju poziciju i tvrde da se zaposlenost u proizvođačkom sektoru nije osjetno promijenila na globalnoj razini nego da je došlo do znatnih promjena u distribuciji i intenzitetu u pojedinim zemljama, uglavnom pod utjecajem globalizacije trgovine i ekonomske aktivnosti općenito.</w:t>
      </w:r>
    </w:p>
    <w:p>
      <w:pPr>
        <w:pStyle w:val="BodyText"/>
      </w:pPr>
      <w:r>
        <w:t xml:space="preserve">Na empirijskoj strani analize tercijarizacijskog procesa je moguće identificirati tri (čvrste) stilizirane (empirijske) činjenice, pretežito potvrđene za bogate i razvijene zemlje: 1) povećanje udjela sektora usluga u ukupnoj dodatnoj vrijednosti i zaposlenosti, 2) glavnu ulogu u rastu uslužnog sektora imaju visokotehnološki podsektori uslužnih djelatnosti (financijske djelatnosti, informatičke djelatnosti, zdravstvo, obrazovne djelatnosti) dok sektori manjeg tehnološkog kapaciteta opadaju u važnosti, 3) postojanje rastuće premije na tehnološki specifične vještine proizvodnog faktora rada.</w:t>
      </w:r>
    </w:p>
    <w:p>
      <w:pPr>
        <w:pStyle w:val="BodyText"/>
      </w:pPr>
      <w:r>
        <w:t xml:space="preserve">Prethodno navedena objašnjenja i stilizirane empirijske činjenice uglavnom se odnose na bogate i razvijene zemlje, no za njihovu valjanost u zemljama u razvoju i tranziciji, poput Hrvatske, znatno je manje dokaza (Rodrik, 2016) ili su uglavnom neistražena. Razlog su tomu specifičnosti povijesnog naslijeđa, institucionalne strukture (Hall i Soskice, 2001), stadiji razvoja u zemljama u razvoju i dr. Primjerice, ekspanzija proizvodnog sektora u tranzicijskoj zemlji može se razvijati paralelno sa sektorom usluga (Dasgupta i Singh, 2006), umjesto da mu prethodi – kako nalaže teorija. Petpostavka o većoj produktivnosti i njezinu bržem rastu u uslužnom sektoru karakteristična je za visokotehnološke uslužne djelatnosti u razvijenim zemljama koje inoviraju samostalno i posjeduju odgovarajuću infrastrukturu za tehnološki napredak. S druge strane, zemlje u razvoju znatno više ovise o transferu tehnologije (tehnologiji koju nisu proizvele same). Nadalje, ova pretpostavka ne uzima u obzir postojanje značajnih unutarsektorskih razlika u distribuciji produktivnosti, a dodatno je suočena s problemima mjerenja produktivnosti u uslužnom sektoru. Također, valja napomenuti da su navedene pretpostavke izvedene u teorijskom okviru autarkične ekonomije i ne uzimaju obzir efekt potražnje za outputom proizvođačkog sektora na globalnim tržištima.</w:t>
      </w:r>
    </w:p>
    <w:p>
      <w:pPr>
        <w:pStyle w:val="BodyText"/>
      </w:pPr>
      <w:r>
        <w:t xml:space="preserve">Dosadašnje analize tercijarizacijskog procesa, odnosno strukturne promjene u Hrvatskoj pokazuju da se ta tema uglavnom interdisciplinarno istraživala u okviru demografije, sociologije i ekonomije. Prema Wertheimer-Baletić (2017), hrvatsko društvo se nalazi u tzv. posttranzicijskoj etapi razvoja koju obilježavaju niske i uravnotežene stope rodnosti i smrtnosti na gotovo podjednakoj razini, a stopa prirodnog prirasta teži prema nuli. Jedna od zasigurno značajnijih posljedica demografske tranzicije jest starenje stanovništva (npr. Bara i Podgorelec, 2015; Nejašmić i Toskić, 2013) koje, između ostaloga, zahtjeva i nove obrasce zdravstvene i socijalne skrbi (Puljiz, 2000) te općenito potražnju za takvim tipom usluga koje pogoduju ulasku žena u radnoaktivni kontingent stanovništva (Akrap, 2011). Sve to zajedno utječe na povećanje potražnje za uslugama i uslužnim djelatnostima odnosno na proces tercijarizacije (koji također uključuje i djelatnosti kvartarnog i kvintarnog sektora). Sociološka istraživanja te procese promatraju u kontekstu promjena u socio-profesionalnoj strukturi (Peračković, 2010), odnosno obrazovnoj i ekonomskoj strukturi (Majetić, 2015) te u strukturi zaposlenosti i tržišta rada (Matković, 2003), dok ekonomska istraživanja (Gelo i Družić, 2016) tercijarizacijski proces analiziraju u okviru faktorske produktivnosti u privrednim sektorima.</w:t>
      </w:r>
    </w:p>
    <w:p>
      <w:pPr>
        <w:pStyle w:val="BodyText"/>
      </w:pPr>
      <w:r>
        <w:t xml:space="preserve">Ovo će istraživanje, uz prethodno navedene, obuhvatiti i druge, dimenzije procesa tercijarizacije u Hrvatskoj za razdoblje od 2001. do 2019. godine. Te dimenzije uključuju: analizu dodane vrijednosti i drugih pokazatelja proizvodnog outputa koja će pokazati glavne trendove procesa tercijarizacije; analizu produktivnosti koja pruža nove uvide u prirodu tehnološke promjene unutar uslužnog sektora; analizu kretanja zaposlenosti i strukture proizvodnog faktora rada; analizu vanjskotrgovinske dinamike u strukturi gospodarskih djelatnosti kako bi se olakšalo razumijevanje relativne važnosti domaćeg i globalnog tržišta u procesu tercijarizacije; analizu domaćih i stranih investicija u strukturi privrednih djelatnosti koja će, osim spoznaja o dinamici akumulacije kapitala, pružiti i nove uvide o važnosti transfera tehnologije u industrijskim sektorima djelatnosti; prostornu analizu procesa tercijarizacije prema geografskim odrednicama kako bi se bolje razumjelo prostorno prostorno rasprostiranje strukturne promjene. Istraživanje će tako omogućiti šire i složenije razumijevanje tercijarizacijskog procesa i strukturne promjene u Hrvatskoj. Takvi uvidi iznimno su važni za za nositelje ekonomske politike ali i dublje razumijevanje tercijarizacijskog procesa.</w:t>
      </w:r>
    </w:p>
    <w:bookmarkEnd w:id="22"/>
    <w:bookmarkStart w:id="23" w:name="podatci"/>
    <w:p>
      <w:pPr>
        <w:pStyle w:val="Heading2"/>
      </w:pPr>
      <w:r>
        <w:t xml:space="preserve">Podatci</w:t>
      </w:r>
    </w:p>
    <w:p>
      <w:pPr>
        <w:pStyle w:val="FirstParagraph"/>
      </w:pPr>
      <w:r>
        <w:t xml:space="preserve">Glavni izvor kvantitativnih sekundarnih podataka su: popisi stanovništva Hrvatske i računovodstveno-financijski izvještaji (bilanca, račun dobiti i gubitka, procijenjeni izvještaj o novčanom toku) i dodatnih izvještaja (dodatni podaci financijskog izvještaja poduzetnika – obrazac POD-DOP), na godišnjoj razinii na temelju kojih će se deskriptivno i statistički analizirati struktura i dinamika u sektorima privrednih djelatnosti. Godišnji izvještaji uključuju sva trgovačka društva (društva s ograničenom odgovornošću i dionička društva), obrte koji su po zakonu dužni izrađivati i predavati financijska izvješća mjerodavnim institucijama i zadružna poduzeća. Svi su financijski izvještaji nekonsolidirani.</w:t>
      </w:r>
    </w:p>
    <w:bookmarkEnd w:id="23"/>
    <w:bookmarkStart w:id="24" w:name="struktura-i-dinamika-ekonomske-strukture"/>
    <w:p>
      <w:pPr>
        <w:pStyle w:val="Heading2"/>
      </w:pPr>
      <w:r>
        <w:t xml:space="preserve">Struktura i dinamika ekonomske strukture</w:t>
      </w:r>
    </w:p>
    <w:p>
      <w:pPr>
        <w:pStyle w:val="FirstParagraph"/>
      </w:pPr>
      <w:r>
        <w:t xml:space="preserve">Strukturu gospodarstva na razini proizvodnih djelatnosti sačinjavaju sektori i podsektori:</w:t>
      </w:r>
    </w:p>
    <w:p>
      <w:pPr>
        <w:numPr>
          <w:ilvl w:val="0"/>
          <w:numId w:val="1001"/>
        </w:numPr>
        <w:pStyle w:val="Compact"/>
      </w:pPr>
      <w:r>
        <w:t xml:space="preserve">primarni sektor: A</w:t>
      </w:r>
    </w:p>
    <w:p>
      <w:pPr>
        <w:numPr>
          <w:ilvl w:val="0"/>
          <w:numId w:val="1001"/>
        </w:numPr>
        <w:pStyle w:val="Compact"/>
      </w:pPr>
      <w:r>
        <w:t xml:space="preserve">sekundarni sektor: B, C, D i E,</w:t>
      </w:r>
    </w:p>
    <w:p>
      <w:pPr>
        <w:numPr>
          <w:ilvl w:val="0"/>
          <w:numId w:val="1001"/>
        </w:numPr>
        <w:pStyle w:val="Compact"/>
      </w:pPr>
      <w:r>
        <w:t xml:space="preserve">tercijarni sektor: G, H, I i J,</w:t>
      </w:r>
    </w:p>
    <w:p>
      <w:pPr>
        <w:numPr>
          <w:ilvl w:val="0"/>
          <w:numId w:val="1001"/>
        </w:numPr>
        <w:pStyle w:val="Compact"/>
      </w:pPr>
      <w:r>
        <w:t xml:space="preserve">kvartarni sektor: K, L, M i N,</w:t>
      </w:r>
    </w:p>
    <w:p>
      <w:pPr>
        <w:numPr>
          <w:ilvl w:val="0"/>
          <w:numId w:val="1001"/>
        </w:numPr>
        <w:pStyle w:val="Compact"/>
      </w:pPr>
      <w:r>
        <w:t xml:space="preserve">kvintarni sektori O, P, Q, S i I.</w:t>
      </w:r>
    </w:p>
    <w:p>
      <w:pPr>
        <w:pStyle w:val="FirstParagraph"/>
      </w:pPr>
      <w:r>
        <w:t xml:space="preserve">Pri tome se kvartarni i kvintarni sektori smatraju djelom tercijarnog sektora.</w:t>
      </w:r>
    </w:p>
    <w:bookmarkEnd w:id="24"/>
    <w:bookmarkStart w:id="33" w:name="prikaz-na-razini-privrednih-sektora"/>
    <w:p>
      <w:pPr>
        <w:pStyle w:val="Heading2"/>
      </w:pPr>
      <w:r>
        <w:t xml:space="preserve">Prikaz na razini privrednih sektora</w:t>
      </w:r>
    </w:p>
    <w:p>
      <w:pPr>
        <w:pStyle w:val="FirstParagraph"/>
      </w:pPr>
      <w:r>
        <w:t xml:space="preserve">Udio pojedinog sektora u ukupnoj ekonomskoj strukturi može se analizirati na različite načine. U prvom dijelu analize, daje se prikaz na razini privrednih djelatnosti (5 sektora) 4 varijable: zaposlenost, ukupni prihodi, dodanu vrijednost i izvoz.</w:t>
      </w:r>
    </w:p>
    <w:tbl>
      <w:tblPr>
        <w:tblStyle w:val="Table"/>
        <w:tblW w:type="pct" w:w="5000"/>
        <w:tblLook w:firstRow="0" w:lastRow="0" w:firstColumn="0" w:lastColumn="0" w:noHBand="0" w:noVBand="0" w:val="0000"/>
      </w:tblPr>
      <w:tblGrid>
        <w:gridCol w:w="7920"/>
      </w:tblGrid>
      <w:tr>
        <w:tc>
          <w:tcPr/>
          <w:bookmarkStart w:id="28" w:name="fig-ekonomska-struktura"/>
          <w:p>
            <w:pPr>
              <w:pStyle w:val="Figure"/>
              <w:jc w:val="center"/>
            </w:pPr>
            <w:r>
              <w:drawing>
                <wp:inline>
                  <wp:extent cx="5334000" cy="5926666"/>
                  <wp:effectExtent b="0" l="0" r="0" t="0"/>
                  <wp:docPr descr="" title="" id="26" name="Picture"/>
                  <a:graphic>
                    <a:graphicData uri="http://schemas.openxmlformats.org/drawingml/2006/picture">
                      <pic:pic>
                        <pic:nvPicPr>
                          <pic:cNvPr descr="opatija2022_files/figure-docx/fig-ekonomska-struktura-1.png" id="27" name="Picture"/>
                          <pic:cNvPicPr>
                            <a:picLocks noChangeArrowheads="1" noChangeAspect="1"/>
                          </pic:cNvPicPr>
                        </pic:nvPicPr>
                        <pic:blipFill>
                          <a:blip r:embed="rId25"/>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1: Ekonomska struktura u RH za razdoblje 2000-2019</w:t>
            </w:r>
          </w:p>
          <w:bookmarkEnd w:id="28"/>
        </w:tc>
      </w:tr>
    </w:tbl>
    <w:p>
      <w:pPr>
        <w:pStyle w:val="BodyText"/>
      </w:pPr>
      <w:r>
        <w:t xml:space="preserve">Kao kriteriji za analizu sektorskih udjela korišteni su: ukupni prihod, dodana vrijednost, zaposlenost i izvoz. Ako se kao kriterij koristi ukupni prihod, vidljivo je da u ekonomskoj strukturi najveći udio imaju sekundarni i tercijarni sektor. Slijedi kvartarni sektor, dok ostali (primarni i kvintarni) imaju vrlo niske udjele. Na početku razdoblja (2000.), najveći udio ima tercijarni sektor (47%) slijedi sekundarni sektor sa 43%, kvartarni sa 6%, primarni 3% i kvintarni 1%. Na kraju razdoblja (2019 godina), udjeli su sljedeći: tercijarni sektor čini 49% udjela, sekundarni 38% udjela kvartarni 8%, primarni 3% i kvintarni 2%. Moguće je zaključiti kako je u 20 godina tercijarni sektor blago povećao svoj udjel i postao najveći sektor po udjelu ukupnih prihoda u ukupnim prihodima svih djelatnosti. Drugi najveći je sekundarni sektor, ali ima sve manji udio kroz vrijeme. Kvartarni i kvintarni sektor rastu, dok primarni stagnira.</w:t>
      </w:r>
    </w:p>
    <w:p>
      <w:pPr>
        <w:pStyle w:val="BodyText"/>
      </w:pPr>
      <w:r>
        <w:t xml:space="preserve">Raščlanjivanje ekonomske strukture po dodanoj vrijednosti prati sličnu dinamiku, ali pokazuje različite vrijednosti udjela. Na početku razdoblja prednjači sekundarni sektor sa 52% udjela, a slijede tercijarni sa 35% i kvartarni sa 10%. Na kraju razdoblja sekundarni sektor gubi na značaju i čini 38%, a tercijarni sektor ga prestiže i čini 40% udjela. Kvartarni dobiva na značenju i čini 14% udjela. Isto kao i kvintarni koji raste sa 1% na 4%. Ukratko, prema kriteriju dodane vrijednosti tercijarni sektor prestiže sekundarni i postaje dominantni sektor u RH. Sekundarni sektor gubi na veličini, ali još uvijek ima veliki udio.</w:t>
      </w:r>
    </w:p>
    <w:p>
      <w:pPr>
        <w:pStyle w:val="BodyText"/>
      </w:pPr>
      <w:r>
        <w:t xml:space="preserve">Prema kriteriju zaposlenosti, nalazi su isti kao i kod dodane vrijednosti. Međutim, za varijablu izvoza su rezultati nešto drugačiji. Na početku razdoblja (2000. godina), sekundarni sektor ima najveći udio izvoza, čak 70%. Slijedi tercijarni sektor sa 25%, kvartarni sektor sa 4%, dok primarni i kvintarni zajedno čine 1%. Na kraju razdoblja, udio izvoza sekundarnog sektora pada na 55%, tercijarni sektor sve više izvozi i raste do 33%, kvartarni također raste, na 8%, dok ostali stagniraju. Sekundarni sektor dakle čini glavninu izvoza, ali ga sve više zamjenjuju tercijarni i kvartarni sektor.</w:t>
      </w:r>
    </w:p>
    <w:tbl>
      <w:tblPr>
        <w:tblStyle w:val="Table"/>
        <w:tblW w:type="pct" w:w="5000"/>
        <w:tblLook w:firstRow="0" w:lastRow="0" w:firstColumn="0" w:lastColumn="0" w:noHBand="0" w:noVBand="0" w:val="0000"/>
      </w:tblPr>
      <w:tblGrid>
        <w:gridCol w:w="7920"/>
      </w:tblGrid>
      <w:tr>
        <w:tc>
          <w:tcPr/>
          <w:bookmarkStart w:id="32" w:name="fig-ekonomska-struktura-zup"/>
          <w:p>
            <w:pPr>
              <w:pStyle w:val="Figure"/>
              <w:jc w:val="center"/>
            </w:pPr>
            <w:r>
              <w:drawing>
                <wp:inline>
                  <wp:extent cx="5334000" cy="5926666"/>
                  <wp:effectExtent b="0" l="0" r="0" t="0"/>
                  <wp:docPr descr="" title="" id="30" name="Picture"/>
                  <a:graphic>
                    <a:graphicData uri="http://schemas.openxmlformats.org/drawingml/2006/picture">
                      <pic:pic>
                        <pic:nvPicPr>
                          <pic:cNvPr descr="opatija2022_files/figure-docx/fig-ekonomska-struktura-zup-1.png" id="31" name="Picture"/>
                          <pic:cNvPicPr>
                            <a:picLocks noChangeArrowheads="1" noChangeAspect="1"/>
                          </pic:cNvPicPr>
                        </pic:nvPicPr>
                        <pic:blipFill>
                          <a:blip r:embed="rId29"/>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2: Ekonomska struktura u RH po županijama za razdoblje 2000-2019</w:t>
            </w:r>
          </w:p>
          <w:bookmarkEnd w:id="32"/>
        </w:tc>
      </w:tr>
    </w:tbl>
    <w:p>
      <w:pPr>
        <w:pStyle w:val="BodyText"/>
      </w:pPr>
      <w:r>
        <w:t xml:space="preserve">Na slici</w:t>
      </w:r>
      <w:r>
        <w:t xml:space="preserve"> </w:t>
      </w:r>
      <w:hyperlink w:anchor="fig-ekonomska-struktura-zup">
        <w:r>
          <w:rPr>
            <w:rStyle w:val="Hyperlink"/>
          </w:rPr>
          <w:t xml:space="preserve">2</w:t>
        </w:r>
      </w:hyperlink>
      <w:r>
        <w:t xml:space="preserve"> </w:t>
      </w:r>
      <w:r>
        <w:t xml:space="preserve">je prikazana ekonomska struktura prema geografskim obilježjima. Budući da zaposlenost, ukupni prihodi i dodana vrijednost imaju sličnu dinamiku, razmatraju se dva pokazatelja - ukupni prihodi i izvoz. Grafikoni se odnose na prostornu raspodjelu vrijednosti po županijama u 2019. godini. Gornji grafikon prikazuje udio pojedinog sektora (primarni, sekundarni, tercijarni, kvartarni, kvintarni) u ekonomskoj strukturi za svaku županiju i upućuje na postojanje značajnih razlika po županijama. Na primjer, najveći udio tercijarnih djelatnosti prema ukupnom prihodu imaju zagrebačka i dubrovačko-neretvanska županija. Međimurska i osječko-baranjska imaju najveći udio sekundarnog sektora. Slika upućuje i na postojanje korelacije između udjela tercijarnog sektora i razvijenosti županije.</w:t>
      </w:r>
    </w:p>
    <w:p>
      <w:pPr>
        <w:pStyle w:val="BodyText"/>
      </w:pPr>
      <w:r>
        <w:t xml:space="preserve">Donji dio slike prikazuje ekonomsku strukturu prema udjelu izvoza u svakom sektoru, u 2019. godini. Posebno valja primijetiti dubrovačko-neretvansku županiju u kojoj zbog velikog značaja turizma, tercijarni sektor ostvaruje 70% izvoza. Slična je interpretacija i za istarsku županiju. S druge strane, neke županije glavninu izvoza ostvaruju u sekundarnom sektoru poput virovitičko-podravske i vukovarsko-srijemske . Može se zaključiti da kod vanjskotrgovinske aktivnosti postoje jznačajne geografske razlike u strukturi privrednih djelatnosti.</w:t>
      </w:r>
    </w:p>
    <w:bookmarkEnd w:id="33"/>
    <w:bookmarkStart w:id="38" w:name="prikaz-na-razini-tercijarnog-sektora"/>
    <w:p>
      <w:pPr>
        <w:pStyle w:val="Heading2"/>
      </w:pPr>
      <w:r>
        <w:t xml:space="preserve">Prikaz na razini tercijarnog sektora</w:t>
      </w:r>
    </w:p>
    <w:tbl>
      <w:tblPr>
        <w:tblStyle w:val="Table"/>
        <w:tblW w:type="pct" w:w="5000"/>
        <w:tblLook w:firstRow="0" w:lastRow="0" w:firstColumn="0" w:lastColumn="0" w:noHBand="0" w:noVBand="0" w:val="0000"/>
      </w:tblPr>
      <w:tblGrid>
        <w:gridCol w:w="7920"/>
      </w:tblGrid>
      <w:tr>
        <w:tc>
          <w:tcPr/>
          <w:bookmarkStart w:id="37" w:name="fig-struktura-tercijarni"/>
          <w:p>
            <w:pPr>
              <w:pStyle w:val="Figure"/>
              <w:jc w:val="center"/>
            </w:pPr>
            <w:r>
              <w:drawing>
                <wp:inline>
                  <wp:extent cx="5334000" cy="5926666"/>
                  <wp:effectExtent b="0" l="0" r="0" t="0"/>
                  <wp:docPr descr="" title="" id="35" name="Picture"/>
                  <a:graphic>
                    <a:graphicData uri="http://schemas.openxmlformats.org/drawingml/2006/picture">
                      <pic:pic>
                        <pic:nvPicPr>
                          <pic:cNvPr descr="opatija2022_files/figure-docx/fig-struktura-tercijarni-1.png" id="36" name="Picture"/>
                          <pic:cNvPicPr>
                            <a:picLocks noChangeArrowheads="1" noChangeAspect="1"/>
                          </pic:cNvPicPr>
                        </pic:nvPicPr>
                        <pic:blipFill>
                          <a:blip r:embed="rId34"/>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3: Struktura tercijarnog sektora u RH za razdoblje 2000-2019</w:t>
            </w:r>
          </w:p>
          <w:bookmarkEnd w:id="37"/>
        </w:tc>
      </w:tr>
    </w:tbl>
    <w:p>
      <w:pPr>
        <w:pStyle w:val="BodyText"/>
      </w:pPr>
      <w:r>
        <w:t xml:space="preserve">Dosadašnja analiza je potvrdila rastuću važnost tercijarnog sektora u ekonomskoj strukturi s jedne strane, te ukazala na vezu ekonomske razvijenosti pojedinih županije i udjela tercijarnog sektora s druge strane. Zbog važnosti tercijarnog sektora, u nastavku se detaljnije analizira njegova unutarsektorska struktura i dinamika. Prvo je prikazana ekonomska struktura tercijarnog sektora prema dodanoj vrijednosti, zaposlenosti, izvozu i ukupnom prohodu, a nakon toga su detaljnije analizirani podsektori turizma i programiranja.</w:t>
      </w:r>
    </w:p>
    <w:p>
      <w:pPr>
        <w:pStyle w:val="BodyText"/>
      </w:pPr>
      <w:r>
        <w:t xml:space="preserve">Slika</w:t>
      </w:r>
      <w:r>
        <w:t xml:space="preserve"> </w:t>
      </w:r>
      <w:hyperlink w:anchor="fig-struktura-tercijarni">
        <w:r>
          <w:rPr>
            <w:rStyle w:val="Hyperlink"/>
          </w:rPr>
          <w:t xml:space="preserve">3</w:t>
        </w:r>
      </w:hyperlink>
      <w:r>
        <w:t xml:space="preserve"> </w:t>
      </w:r>
      <w:r>
        <w:t xml:space="preserve">prikazuje unutarsektorsku dinamiku tercijarnog sektora. Prema svim varijablama, sektor trgovine čini najveći udio. Međutim, podatci pokazuju da ostali sektori poprimaju sve važniju ulogu. Prema udjelu dodane vrijednosti, u promatranom razdoblju sektor trgovine pada sa 75% dodane vrijednosti na 72%, sektor smještaja raste s 4% na 8%, dok ostali sektori ostaju nepromijenjeni. Prema kriteriju izvoza, trgovina čini sve veći udio izvoza, dok prijevoz čini sve manji udio.</w:t>
      </w:r>
    </w:p>
    <w:bookmarkEnd w:id="38"/>
    <w:bookmarkStart w:id="79" w:name="analiza-ključnih-izvoznih-sektora"/>
    <w:p>
      <w:pPr>
        <w:pStyle w:val="Heading2"/>
      </w:pPr>
      <w:r>
        <w:t xml:space="preserve">Analiza ključnih izvoznih sektora</w:t>
      </w:r>
    </w:p>
    <w:p>
      <w:pPr>
        <w:pStyle w:val="FirstParagraph"/>
      </w:pPr>
      <w:r>
        <w:t xml:space="preserve">Prethodno prikazani podatci čine osnovu za detaljniju analizu strukture tercijarnog sektora, odnosno dva podsektora (druga NACEREV razina): turizma i programiranja i njegovu usporedbu sa prerađivačkim sektorom, kao najvećim sektorom prema NACEREV2007 djelatnostima. Turizam je ekonomska grana od strateškog značenja za RH. Ovdje valja istaknuti kako je prihode od turizma vrlo teško mjeriti jer postoje snažni efekti prelijevanja između turističkog i drugih sektora, a analizu dodatno otežava što znatan broj</w:t>
      </w:r>
      <w:r>
        <w:t xml:space="preserve"> </w:t>
      </w:r>
      <w:r>
        <w:t xml:space="preserve">“</w:t>
      </w:r>
      <w:r>
        <w:t xml:space="preserve">malih</w:t>
      </w:r>
      <w:r>
        <w:t xml:space="preserve">”</w:t>
      </w:r>
      <w:r>
        <w:t xml:space="preserve"> </w:t>
      </w:r>
      <w:r>
        <w:t xml:space="preserve">iznajmljivača ne predaje podatke o prihodima. U ovoj se analizi pod sektorom turizma podrazumijevaja sektor I - djelatnosti pružanja smještaja te pripreme i usluživanja hrane. Sektor programiranja nije grana od strateškog značenje za RH no pokazuje se kao izrazito bitan čimbenik domaćeg ekonomskog rasta. Sektor programiranja čine podsektori: 62 - Računalno programiranje, savjetovanje i djelatnosti povezane s njima i 63.1 - Obrada podataka, usluge poslužitelja i djelatnosti povezane s njima; internetski portali. Prerađivački sektor (NACEREV razina C) će označavati kao</w:t>
      </w:r>
      <w:r>
        <w:t xml:space="preserve"> </w:t>
      </w:r>
      <w:r>
        <w:t xml:space="preserve">“</w:t>
      </w:r>
      <w:r>
        <w:t xml:space="preserve">Industrija</w:t>
      </w:r>
      <w:r>
        <w:t xml:space="preserve">”</w:t>
      </w:r>
      <w:r>
        <w:t xml:space="preserve">.</w:t>
      </w:r>
    </w:p>
    <w:tbl>
      <w:tblPr>
        <w:tblStyle w:val="Table"/>
        <w:tblW w:type="pct" w:w="5000"/>
        <w:tblLook w:firstRow="0" w:lastRow="0" w:firstColumn="0" w:lastColumn="0" w:noHBand="0" w:noVBand="0" w:val="0000"/>
      </w:tblPr>
      <w:tblGrid>
        <w:gridCol w:w="7920"/>
      </w:tblGrid>
      <w:tr>
        <w:tc>
          <w:tcPr/>
          <w:bookmarkStart w:id="42" w:name="fig-struktura-turizam-programiranje"/>
          <w:p>
            <w:pPr>
              <w:pStyle w:val="Figure"/>
              <w:jc w:val="center"/>
            </w:pPr>
            <w:r>
              <w:drawing>
                <wp:inline>
                  <wp:extent cx="5334000" cy="5926666"/>
                  <wp:effectExtent b="0" l="0" r="0" t="0"/>
                  <wp:docPr descr="" title="" id="40" name="Picture"/>
                  <a:graphic>
                    <a:graphicData uri="http://schemas.openxmlformats.org/drawingml/2006/picture">
                      <pic:pic>
                        <pic:nvPicPr>
                          <pic:cNvPr descr="opatija2022_files/figure-docx/fig-struktura-turizam-programiranje-1.png" id="41" name="Picture"/>
                          <pic:cNvPicPr>
                            <a:picLocks noChangeArrowheads="1" noChangeAspect="1"/>
                          </pic:cNvPicPr>
                        </pic:nvPicPr>
                        <pic:blipFill>
                          <a:blip r:embed="rId39"/>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4: Ekonomska struktura sektora turizma i programiranja u RH za razdoblje 2000-2019</w:t>
            </w:r>
          </w:p>
          <w:bookmarkEnd w:id="42"/>
        </w:tc>
      </w:tr>
    </w:tbl>
    <w:p>
      <w:pPr>
        <w:pStyle w:val="BodyText"/>
      </w:pPr>
      <w:r>
        <w:t xml:space="preserve">Dinamika kretanja dodane vrijednosti, zaposlenosti, ukupnog prihoda i izvoza u podsektorima turizma i programiranja je prikazana na slici</w:t>
      </w:r>
      <w:r>
        <w:t xml:space="preserve"> </w:t>
      </w:r>
      <w:hyperlink w:anchor="fig-struktura-turizam-programiranje">
        <w:r>
          <w:rPr>
            <w:rStyle w:val="Hyperlink"/>
          </w:rPr>
          <w:t xml:space="preserve">4</w:t>
        </w:r>
      </w:hyperlink>
      <w:r>
        <w:t xml:space="preserve">. Turizam ostvaruje mnogo veće vrijednosti prema svim pokazateljima, ali postoji izražen trend relativno bržeg rasta programiranja. Primjerice, na početku razdoblja odnos ukupnih prihoda između turizma i programiranja iznosio je 20% programiranje, 80% turizam), dok je na kraju razdoblja odnos 30% - 70%. Kod izvoza je promjena još naglašenija. Odnos je na početku razdoblja bio 88% turizam / 12% programiranje, dok je 2019. odnos 62% turizam / 38% programiranje. Može se zaključiti da turizam još uvijek čini mnogo veći udio u ekonomskoj strukturi, ali programiranje bilježi veće stope rata i konvergira sektoru turizma prema svim promatranim parametrima.</w:t>
      </w:r>
    </w:p>
    <w:tbl>
      <w:tblPr>
        <w:tblStyle w:val="Table"/>
        <w:tblW w:type="pct" w:w="5000"/>
        <w:tblLook w:firstRow="0" w:lastRow="0" w:firstColumn="0" w:lastColumn="0" w:noHBand="0" w:noVBand="0" w:val="0000"/>
      </w:tblPr>
      <w:tblGrid>
        <w:gridCol w:w="7920"/>
      </w:tblGrid>
      <w:tr>
        <w:tc>
          <w:tcPr/>
          <w:bookmarkStart w:id="46" w:name="fig-struktura-dv-3s"/>
          <w:p>
            <w:pPr>
              <w:pStyle w:val="Figure"/>
              <w:jc w:val="center"/>
            </w:pPr>
            <w:r>
              <w:drawing>
                <wp:inline>
                  <wp:extent cx="5334000" cy="4148666"/>
                  <wp:effectExtent b="0" l="0" r="0" t="0"/>
                  <wp:docPr descr="" title="" id="44" name="Picture"/>
                  <a:graphic>
                    <a:graphicData uri="http://schemas.openxmlformats.org/drawingml/2006/picture">
                      <pic:pic>
                        <pic:nvPicPr>
                          <pic:cNvPr descr="opatija2022_files/figure-docx/fig-struktura-dv-3s-1.png" id="45" name="Picture"/>
                          <pic:cNvPicPr>
                            <a:picLocks noChangeArrowheads="1" noChangeAspect="1"/>
                          </pic:cNvPicPr>
                        </pic:nvPicPr>
                        <pic:blipFill>
                          <a:blip r:embed="rId43"/>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5: Strutkura dodane vrijednosti za sektor turizma, sektor programiranja i prerađivački sektor u RH za razdoblje 2000-2019</w:t>
            </w:r>
          </w:p>
          <w:bookmarkEnd w:id="46"/>
        </w:tc>
      </w:tr>
    </w:tbl>
    <w:p>
      <w:pPr>
        <w:pStyle w:val="BodyText"/>
      </w:pPr>
      <w:r>
        <w:t xml:space="preserve">Slika</w:t>
      </w:r>
      <w:r>
        <w:t xml:space="preserve"> </w:t>
      </w:r>
      <w:hyperlink w:anchor="fig-struktura-dv-3s">
        <w:r>
          <w:rPr>
            <w:rStyle w:val="Hyperlink"/>
          </w:rPr>
          <w:t xml:space="preserve">5</w:t>
        </w:r>
      </w:hyperlink>
      <w:r>
        <w:t xml:space="preserve"> </w:t>
      </w:r>
      <w:r>
        <w:t xml:space="preserve">prikazuje strukturu dodane vrijednosti prema tipu dohotka koji generira dodanu vrijednost (bruto dobit, trošak osoblja, neto financijski prihodi, amortizacija). Struktura dodane vrijednosti pokazuje da najveći udio u oba sektora ima trošak osoblja. Udio troškova osoblja je oko 55% dodane nove vrijednosti kod sektora turizma te oko 60% kod sektora programiranja. Kod turizma, po visini udjela slijedi amortizacija, koja čini cca 25% dodane vrijednosti, dok je kod sektora programiranja udio amortizacije tek oko 8%. Bruto dobit pokazuje značajne oscilacije kod svih sektora. U sektoru programiranja bruto dobit čini 28% dodane vrijednosti, a kod turizma 15% na kraju razdoblja, što ukazuje na veću profitabilnost sektora programiranja u odnosu na sektor turizma. Zanimljivo je primijetiti i da je sektor turizma bilježio negativnu agregatnu bruto dobit nekoliko godina za redom, dok je kod sektora programiranja bruto dobit vrlo stabilna. Neto financijski rashodi su mali udio ukupne dodane vrijednosti.</w:t>
      </w:r>
    </w:p>
    <w:p>
      <w:pPr>
        <w:pStyle w:val="BodyText"/>
      </w:pPr>
      <w:r>
        <w:t xml:space="preserve">Agregatne razine varijabli ne daju kompletan uvid u perspektivnost pojedinih (pod)sektora. Usporedba performansi zahtijeva upotrebu pokazatelja poslovanja, koji odražavaju količinu kvalitete ekonomskih procesa. Na sljedećoj slici su prikazani odabrani pokazatelji poslovanja oba sektora: udio dodane nove vrijednosti u ukupnim prihodima, neto marža, produktivnost i udio neto izvoza u prihodima.</w:t>
      </w:r>
    </w:p>
    <w:tbl>
      <w:tblPr>
        <w:tblStyle w:val="Table"/>
        <w:tblW w:type="pct" w:w="5000"/>
        <w:tblLook w:firstRow="0" w:lastRow="0" w:firstColumn="0" w:lastColumn="0" w:noHBand="0" w:noVBand="0" w:val="0000"/>
      </w:tblPr>
      <w:tblGrid>
        <w:gridCol w:w="7920"/>
      </w:tblGrid>
      <w:tr>
        <w:tc>
          <w:tcPr/>
          <w:bookmarkStart w:id="50" w:name="fig-prosjecna-placa"/>
          <w:p>
            <w:pPr>
              <w:pStyle w:val="Figure"/>
              <w:jc w:val="center"/>
            </w:pPr>
            <w:r>
              <w:drawing>
                <wp:inline>
                  <wp:extent cx="5334000" cy="4148666"/>
                  <wp:effectExtent b="0" l="0" r="0" t="0"/>
                  <wp:docPr descr="" title="" id="48" name="Picture"/>
                  <a:graphic>
                    <a:graphicData uri="http://schemas.openxmlformats.org/drawingml/2006/picture">
                      <pic:pic>
                        <pic:nvPicPr>
                          <pic:cNvPr descr="opatija2022_files/figure-docx/fig-prosjecna-placa-1.png" id="49" name="Picture"/>
                          <pic:cNvPicPr>
                            <a:picLocks noChangeArrowheads="1" noChangeAspect="1"/>
                          </pic:cNvPicPr>
                        </pic:nvPicPr>
                        <pic:blipFill>
                          <a:blip r:embed="rId47"/>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6: Prosječna plaća za sektor turizma, sektor programiranja i prerađivački sektor u RH za razdoblje 2000-2019</w:t>
            </w:r>
          </w:p>
          <w:bookmarkEnd w:id="50"/>
        </w:tc>
      </w:tr>
    </w:tbl>
    <w:p>
      <w:pPr>
        <w:pStyle w:val="BodyText"/>
      </w:pPr>
      <w:r>
        <w:t xml:space="preserve">Na slici</w:t>
      </w:r>
      <w:r>
        <w:t xml:space="preserve"> </w:t>
      </w:r>
      <w:hyperlink w:anchor="fig-prosjecna-placa">
        <w:r>
          <w:rPr>
            <w:rStyle w:val="Hyperlink"/>
          </w:rPr>
          <w:t xml:space="preserve">6</w:t>
        </w:r>
      </w:hyperlink>
      <w:r>
        <w:t xml:space="preserve"> </w:t>
      </w:r>
      <w:r>
        <w:t xml:space="preserve">je prikazana prosječna plaća.</w:t>
      </w:r>
    </w:p>
    <w:tbl>
      <w:tblPr>
        <w:tblStyle w:val="Table"/>
        <w:tblW w:type="pct" w:w="5000"/>
        <w:tblLook w:firstRow="0" w:lastRow="0" w:firstColumn="0" w:lastColumn="0" w:noHBand="0" w:noVBand="0" w:val="0000"/>
      </w:tblPr>
      <w:tblGrid>
        <w:gridCol w:w="7920"/>
      </w:tblGrid>
      <w:tr>
        <w:tc>
          <w:tcPr/>
          <w:bookmarkStart w:id="54" w:name="fig-sr-zaposlenost"/>
          <w:p>
            <w:pPr>
              <w:pStyle w:val="Figure"/>
              <w:jc w:val="center"/>
            </w:pPr>
            <w:r>
              <w:drawing>
                <wp:inline>
                  <wp:extent cx="5334000" cy="4148666"/>
                  <wp:effectExtent b="0" l="0" r="0" t="0"/>
                  <wp:docPr descr="" title="" id="52" name="Picture"/>
                  <a:graphic>
                    <a:graphicData uri="http://schemas.openxmlformats.org/drawingml/2006/picture">
                      <pic:pic>
                        <pic:nvPicPr>
                          <pic:cNvPr descr="opatija2022_files/figure-docx/fig-sr-zaposlenost-1.png" id="53" name="Picture"/>
                          <pic:cNvPicPr>
                            <a:picLocks noChangeArrowheads="1" noChangeAspect="1"/>
                          </pic:cNvPicPr>
                        </pic:nvPicPr>
                        <pic:blipFill>
                          <a:blip r:embed="rId51"/>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7: Prosječna plaća za sektor turizma, sektor programiranja i prerađivački sektor u RH za razdoblje 2000-2019</w:t>
            </w:r>
          </w:p>
          <w:bookmarkEnd w:id="54"/>
        </w:tc>
      </w:tr>
    </w:tbl>
    <w:p>
      <w:pPr>
        <w:pStyle w:val="BodyText"/>
      </w:pPr>
      <w:r>
        <w:t xml:space="preserve">Na slici</w:t>
      </w:r>
      <w:r>
        <w:t xml:space="preserve"> </w:t>
      </w:r>
      <w:hyperlink w:anchor="fig-sr-zaposlenost">
        <w:r>
          <w:rPr>
            <w:rStyle w:val="Hyperlink"/>
          </w:rPr>
          <w:t xml:space="preserve">7</w:t>
        </w:r>
      </w:hyperlink>
      <w:r>
        <w:t xml:space="preserve"> </w:t>
      </w:r>
      <w:r>
        <w:t xml:space="preserve">je prikazana stopa rasta zaposlenosti.</w:t>
      </w:r>
    </w:p>
    <w:tbl>
      <w:tblPr>
        <w:tblStyle w:val="Table"/>
        <w:tblW w:type="pct" w:w="5000"/>
        <w:tblLook w:firstRow="0" w:lastRow="0" w:firstColumn="0" w:lastColumn="0" w:noHBand="0" w:noVBand="0" w:val="0000"/>
      </w:tblPr>
      <w:tblGrid>
        <w:gridCol w:w="7920"/>
      </w:tblGrid>
      <w:tr>
        <w:tc>
          <w:tcPr/>
          <w:bookmarkStart w:id="58" w:name="fig-dv-3s"/>
          <w:p>
            <w:pPr>
              <w:pStyle w:val="Figure"/>
              <w:jc w:val="center"/>
            </w:pPr>
            <w:r>
              <w:drawing>
                <wp:inline>
                  <wp:extent cx="5334000" cy="4148666"/>
                  <wp:effectExtent b="0" l="0" r="0" t="0"/>
                  <wp:docPr descr="" title="" id="56" name="Picture"/>
                  <a:graphic>
                    <a:graphicData uri="http://schemas.openxmlformats.org/drawingml/2006/picture">
                      <pic:pic>
                        <pic:nvPicPr>
                          <pic:cNvPr descr="opatija2022_files/figure-docx/fig-dv-3s-1.png" id="57" name="Picture"/>
                          <pic:cNvPicPr>
                            <a:picLocks noChangeArrowheads="1" noChangeAspect="1"/>
                          </pic:cNvPicPr>
                        </pic:nvPicPr>
                        <pic:blipFill>
                          <a:blip r:embed="rId55"/>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8: Stopa rasta zaposlenosti za sektor turizma, sektor programiranja i prerađivački sektor u RH za razdoblje 2000-2019</w:t>
            </w:r>
          </w:p>
          <w:bookmarkEnd w:id="58"/>
        </w:tc>
      </w:tr>
    </w:tbl>
    <w:p>
      <w:pPr>
        <w:pStyle w:val="BodyText"/>
      </w:pPr>
      <w:r>
        <w:t xml:space="preserve">Slika</w:t>
      </w:r>
      <w:r>
        <w:t xml:space="preserve"> </w:t>
      </w:r>
      <w:hyperlink w:anchor="fig-dv-3s">
        <w:r>
          <w:rPr>
            <w:rStyle w:val="Hyperlink"/>
          </w:rPr>
          <w:t xml:space="preserve">8</w:t>
        </w:r>
      </w:hyperlink>
    </w:p>
    <w:tbl>
      <w:tblPr>
        <w:tblStyle w:val="Table"/>
        <w:tblW w:type="pct" w:w="5000"/>
        <w:tblLook w:firstRow="0" w:lastRow="0" w:firstColumn="0" w:lastColumn="0" w:noHBand="0" w:noVBand="0" w:val="0000"/>
      </w:tblPr>
      <w:tblGrid>
        <w:gridCol w:w="7920"/>
      </w:tblGrid>
      <w:tr>
        <w:tc>
          <w:tcPr/>
          <w:bookmarkStart w:id="62" w:name="fig-porez-3s"/>
          <w:p>
            <w:pPr>
              <w:pStyle w:val="Figure"/>
              <w:jc w:val="center"/>
            </w:pPr>
            <w:r>
              <w:drawing>
                <wp:inline>
                  <wp:extent cx="5334000" cy="4148666"/>
                  <wp:effectExtent b="0" l="0" r="0" t="0"/>
                  <wp:docPr descr="" title="" id="60" name="Picture"/>
                  <a:graphic>
                    <a:graphicData uri="http://schemas.openxmlformats.org/drawingml/2006/picture">
                      <pic:pic>
                        <pic:nvPicPr>
                          <pic:cNvPr descr="opatija2022_files/figure-docx/fig-porez-3s-1.png" id="61" name="Picture"/>
                          <pic:cNvPicPr>
                            <a:picLocks noChangeArrowheads="1" noChangeAspect="1"/>
                          </pic:cNvPicPr>
                        </pic:nvPicPr>
                        <pic:blipFill>
                          <a:blip r:embed="rId59"/>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9: Porez na dobit za sektor turizma, sektor programiranja i prerađivački sektor u RH za razdoblje 2000-2019</w:t>
            </w:r>
          </w:p>
          <w:bookmarkEnd w:id="62"/>
        </w:tc>
      </w:tr>
    </w:tbl>
    <w:p>
      <w:pPr>
        <w:pStyle w:val="BodyText"/>
      </w:pPr>
      <w:r>
        <w:t xml:space="preserve">Slika</w:t>
      </w:r>
      <w:r>
        <w:t xml:space="preserve"> </w:t>
      </w:r>
      <w:hyperlink w:anchor="fig-porez-3s">
        <w:r>
          <w:rPr>
            <w:rStyle w:val="Hyperlink"/>
          </w:rPr>
          <w:t xml:space="preserve">9</w:t>
        </w:r>
      </w:hyperlink>
    </w:p>
    <w:tbl>
      <w:tblPr>
        <w:tblStyle w:val="Table"/>
        <w:tblW w:type="pct" w:w="5000"/>
        <w:tblLook w:firstRow="0" w:lastRow="0" w:firstColumn="0" w:lastColumn="0" w:noHBand="0" w:noVBand="0" w:val="0000"/>
      </w:tblPr>
      <w:tblGrid>
        <w:gridCol w:w="7920"/>
      </w:tblGrid>
      <w:tr>
        <w:tc>
          <w:tcPr/>
          <w:bookmarkStart w:id="66" w:name="fig-nm-3s"/>
          <w:p>
            <w:pPr>
              <w:pStyle w:val="Figure"/>
              <w:jc w:val="center"/>
            </w:pPr>
            <w:r>
              <w:drawing>
                <wp:inline>
                  <wp:extent cx="5334000" cy="4148666"/>
                  <wp:effectExtent b="0" l="0" r="0" t="0"/>
                  <wp:docPr descr="" title="" id="64" name="Picture"/>
                  <a:graphic>
                    <a:graphicData uri="http://schemas.openxmlformats.org/drawingml/2006/picture">
                      <pic:pic>
                        <pic:nvPicPr>
                          <pic:cNvPr descr="opatija2022_files/figure-docx/fig-nm-3s-1.png" id="65" name="Picture"/>
                          <pic:cNvPicPr>
                            <a:picLocks noChangeArrowheads="1" noChangeAspect="1"/>
                          </pic:cNvPicPr>
                        </pic:nvPicPr>
                        <pic:blipFill>
                          <a:blip r:embed="rId63"/>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10: Neto marža za sektor turizma, sektor programiranja i prerađivački sektor u RH za razdoblje 2000-2019</w:t>
            </w:r>
          </w:p>
          <w:bookmarkEnd w:id="66"/>
        </w:tc>
      </w:tr>
    </w:tbl>
    <w:p>
      <w:pPr>
        <w:pStyle w:val="BodyText"/>
      </w:pPr>
      <w:r>
        <w:t xml:space="preserve">Prvi graf na slici</w:t>
      </w:r>
      <w:r>
        <w:t xml:space="preserve"> </w:t>
      </w:r>
      <w:hyperlink w:anchor="fig-nm-3s">
        <w:r>
          <w:rPr>
            <w:rStyle w:val="Hyperlink"/>
          </w:rPr>
          <w:t xml:space="preserve">10</w:t>
        </w:r>
      </w:hyperlink>
      <w:r>
        <w:t xml:space="preserve"> </w:t>
      </w:r>
      <w:r>
        <w:t xml:space="preserve">pokazuje dinamiku neto marže u promatranom razdoblju. Sektor programiranja konzistentno ostvaruje veće neto marže od sektora turizma. Zanimljivo je primijetiti kako je turizam u polovici promatranog razdoblja ostvarivao negativne neto marže.</w:t>
      </w:r>
    </w:p>
    <w:tbl>
      <w:tblPr>
        <w:tblStyle w:val="Table"/>
        <w:tblW w:type="pct" w:w="5000"/>
        <w:tblLook w:firstRow="0" w:lastRow="0" w:firstColumn="0" w:lastColumn="0" w:noHBand="0" w:noVBand="0" w:val="0000"/>
      </w:tblPr>
      <w:tblGrid>
        <w:gridCol w:w="7920"/>
      </w:tblGrid>
      <w:tr>
        <w:tc>
          <w:tcPr/>
          <w:bookmarkStart w:id="70" w:name="fig-p-3s"/>
          <w:p>
            <w:pPr>
              <w:pStyle w:val="Figure"/>
              <w:jc w:val="center"/>
            </w:pPr>
            <w:r>
              <w:drawing>
                <wp:inline>
                  <wp:extent cx="5334000" cy="4148666"/>
                  <wp:effectExtent b="0" l="0" r="0" t="0"/>
                  <wp:docPr descr="" title="" id="68" name="Picture"/>
                  <a:graphic>
                    <a:graphicData uri="http://schemas.openxmlformats.org/drawingml/2006/picture">
                      <pic:pic>
                        <pic:nvPicPr>
                          <pic:cNvPr descr="opatija2022_files/figure-docx/fig-p-3s-1.png" id="69" name="Picture"/>
                          <pic:cNvPicPr>
                            <a:picLocks noChangeArrowheads="1" noChangeAspect="1"/>
                          </pic:cNvPicPr>
                        </pic:nvPicPr>
                        <pic:blipFill>
                          <a:blip r:embed="rId67"/>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11: Produktivnost za sektor turizma, sektor programiranja i prerađivački sektor u RH za razdoblje 2000-2019</w:t>
            </w:r>
          </w:p>
          <w:bookmarkEnd w:id="70"/>
        </w:tc>
      </w:tr>
    </w:tbl>
    <w:p>
      <w:pPr>
        <w:pStyle w:val="BodyText"/>
      </w:pPr>
      <w:r>
        <w:t xml:space="preserve">Slika</w:t>
      </w:r>
      <w:r>
        <w:t xml:space="preserve"> </w:t>
      </w:r>
      <w:hyperlink w:anchor="fig-p-3s">
        <w:r>
          <w:rPr>
            <w:rStyle w:val="Hyperlink"/>
          </w:rPr>
          <w:t xml:space="preserve">11</w:t>
        </w:r>
      </w:hyperlink>
      <w:r>
        <w:t xml:space="preserve"> </w:t>
      </w:r>
      <w:r>
        <w:t xml:space="preserve">Produktivnost se smatra temeljnim faktorom dugoročnog ekonomskog rasta, stoga je na drugom grafu slike xx. prikazana dinamika produktivnosti za 2 temeljna sektora. Kao mjera produktivnosti jekorištena produktivnost rada, odnosno omjer ukupnih rashoda zaposlenih (bruto plaće i ostala davanja) i prosječnog broja zaposlenih prema satima rada, na kraju razdoblja. Graf pokazuje da sektor programiranja ostvaruje znatno veću produktivnost od sektora programiranja.</w:t>
      </w:r>
    </w:p>
    <w:tbl>
      <w:tblPr>
        <w:tblStyle w:val="Table"/>
        <w:tblW w:type="pct" w:w="5000"/>
        <w:tblLook w:firstRow="0" w:lastRow="0" w:firstColumn="0" w:lastColumn="0" w:noHBand="0" w:noVBand="0" w:val="0000"/>
      </w:tblPr>
      <w:tblGrid>
        <w:gridCol w:w="7920"/>
      </w:tblGrid>
      <w:tr>
        <w:tc>
          <w:tcPr/>
          <w:bookmarkStart w:id="74" w:name="fig-nip-3s"/>
          <w:p>
            <w:pPr>
              <w:pStyle w:val="Figure"/>
              <w:jc w:val="center"/>
            </w:pPr>
            <w:r>
              <w:drawing>
                <wp:inline>
                  <wp:extent cx="5334000" cy="4148666"/>
                  <wp:effectExtent b="0" l="0" r="0" t="0"/>
                  <wp:docPr descr="" title="" id="72" name="Picture"/>
                  <a:graphic>
                    <a:graphicData uri="http://schemas.openxmlformats.org/drawingml/2006/picture">
                      <pic:pic>
                        <pic:nvPicPr>
                          <pic:cNvPr descr="opatija2022_files/figure-docx/fig-nip-3s-1.png" id="73" name="Picture"/>
                          <pic:cNvPicPr>
                            <a:picLocks noChangeArrowheads="1" noChangeAspect="1"/>
                          </pic:cNvPicPr>
                        </pic:nvPicPr>
                        <pic:blipFill>
                          <a:blip r:embed="rId71"/>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12: Omer neto izvoza i prihoda za sektor turizma, sektor programiranja i prerađivački sektor u RH za razdoblje 2000-2019</w:t>
            </w:r>
          </w:p>
          <w:bookmarkEnd w:id="74"/>
        </w:tc>
      </w:tr>
    </w:tbl>
    <w:p>
      <w:pPr>
        <w:pStyle w:val="BodyText"/>
      </w:pPr>
      <w:r>
        <w:t xml:space="preserve">Sljedeća slika (</w:t>
      </w:r>
      <w:r>
        <w:t xml:space="preserve"> </w:t>
      </w:r>
      <w:hyperlink w:anchor="fig-nip-3s">
        <w:r>
          <w:rPr>
            <w:rStyle w:val="Hyperlink"/>
          </w:rPr>
          <w:t xml:space="preserve">12</w:t>
        </w:r>
      </w:hyperlink>
      <w:r>
        <w:t xml:space="preserve"> </w:t>
      </w:r>
      <w:r>
        <w:t xml:space="preserve">) pokazuje odnos neto izvoza i prihoda. Turizam ostvaruje veće udjele neto izvoza od sektora programiranja sve do 2015. godine ali i nakon 2016. godine. Trend pokazuje da programiranje ostvaruje sve bolje izvozne performanse, dok su neto izvozne performanse sektora turizma stabilne. Iako se izvozni potencijal ističe kao glavni faktor važnosti turizma, očito je da programiranje prema istom zaslužuje istu potporu iz javnih resursa.</w:t>
      </w:r>
    </w:p>
    <w:tbl>
      <w:tblPr>
        <w:tblStyle w:val="Table"/>
        <w:tblW w:type="pct" w:w="5000"/>
        <w:tblLook w:firstRow="0" w:lastRow="0" w:firstColumn="0" w:lastColumn="0" w:noHBand="0" w:noVBand="0" w:val="0000"/>
      </w:tblPr>
      <w:tblGrid>
        <w:gridCol w:w="7920"/>
      </w:tblGrid>
      <w:tr>
        <w:tc>
          <w:tcPr/>
          <w:bookmarkStart w:id="78" w:name="fig-dvp-3s"/>
          <w:p>
            <w:pPr>
              <w:pStyle w:val="Figure"/>
              <w:jc w:val="center"/>
            </w:pPr>
            <w:r>
              <w:drawing>
                <wp:inline>
                  <wp:extent cx="5334000" cy="4148666"/>
                  <wp:effectExtent b="0" l="0" r="0" t="0"/>
                  <wp:docPr descr="" title="" id="76" name="Picture"/>
                  <a:graphic>
                    <a:graphicData uri="http://schemas.openxmlformats.org/drawingml/2006/picture">
                      <pic:pic>
                        <pic:nvPicPr>
                          <pic:cNvPr descr="opatija2022_files/figure-docx/fig-dvp-3s-1.png" id="77" name="Picture"/>
                          <pic:cNvPicPr>
                            <a:picLocks noChangeArrowheads="1" noChangeAspect="1"/>
                          </pic:cNvPicPr>
                        </pic:nvPicPr>
                        <pic:blipFill>
                          <a:blip r:embed="rId75"/>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13: Omjer dodane vrijednosti i prihoda za sektor turizma, sektor programiranja i prerađivački sektor u RH za razdoblje 2000-2019</w:t>
            </w:r>
          </w:p>
          <w:bookmarkEnd w:id="78"/>
        </w:tc>
      </w:tr>
    </w:tbl>
    <w:p>
      <w:pPr>
        <w:pStyle w:val="BodyText"/>
      </w:pPr>
      <w:r>
        <w:t xml:space="preserve">Na slici [@-fig-dvp-3s] je prikazano i kretanje agregatne dodane nove vrijednosti u odnosu na ukupne prihode za razdoblje 2001-2019. Sektor programiranja je bilježio veće vrijednosti između 2007. i 2015. godine, nakon čega veće vrijednosti bilježi turizam .Ukupno gledajući, može se reći da oba sektora u prosjeku ostvaruju podjednake razine dodane vrijednosti u odnosu na ukupne prihode, ali i da turizam pokazuje znatno veću volatilnost.</w:t>
      </w:r>
    </w:p>
    <w:p>
      <w:pPr>
        <w:pStyle w:val="BodyText"/>
      </w:pPr>
      <w:r>
        <w:t xml:space="preserve">Analiza heterogenosti poslovnih subjekata iz pojedinih sektora može pružiti dodatan uvid o naravi promjena ekonomske strukture u RH. Stoga je na slici xx prikazan pokazatelj heterogenosti u vidu koncentracije osnovnih varijabli. Koncentraciju je izračunata kao udio prihoda, izvoza, dodane vrijednosti i ukupnim prihoda za 99% i 95% poslovnih subjekata sa najvećim udjelom istih varijabli. Izračunuključuje za 2019. godinu.</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djelatnosti</w:t>
            </w:r>
          </w:p>
        </w:tc>
        <w:tc>
          <w:tcPr/>
          <w:p>
            <w:pPr>
              <w:pStyle w:val="Compact"/>
              <w:jc w:val="right"/>
            </w:pPr>
            <w:r>
              <w:t xml:space="preserve">dv_95_velik</w:t>
            </w:r>
          </w:p>
        </w:tc>
        <w:tc>
          <w:tcPr/>
          <w:p>
            <w:pPr>
              <w:pStyle w:val="Compact"/>
              <w:jc w:val="right"/>
            </w:pPr>
            <w:r>
              <w:t xml:space="preserve">dv_99_velik</w:t>
            </w:r>
          </w:p>
        </w:tc>
        <w:tc>
          <w:tcPr/>
          <w:p>
            <w:pPr>
              <w:pStyle w:val="Compact"/>
              <w:jc w:val="right"/>
            </w:pPr>
            <w:r>
              <w:t xml:space="preserve">emp_95_velik</w:t>
            </w:r>
          </w:p>
        </w:tc>
        <w:tc>
          <w:tcPr/>
          <w:p>
            <w:pPr>
              <w:pStyle w:val="Compact"/>
              <w:jc w:val="right"/>
            </w:pPr>
            <w:r>
              <w:t xml:space="preserve">emp_99_velik</w:t>
            </w:r>
          </w:p>
        </w:tc>
        <w:tc>
          <w:tcPr/>
          <w:p>
            <w:pPr>
              <w:pStyle w:val="Compact"/>
              <w:jc w:val="right"/>
            </w:pPr>
            <w:r>
              <w:t xml:space="preserve">ex_95_velik</w:t>
            </w:r>
          </w:p>
        </w:tc>
        <w:tc>
          <w:tcPr/>
          <w:p>
            <w:pPr>
              <w:pStyle w:val="Compact"/>
              <w:jc w:val="right"/>
            </w:pPr>
            <w:r>
              <w:t xml:space="preserve">ex_99_velik</w:t>
            </w:r>
          </w:p>
        </w:tc>
        <w:tc>
          <w:tcPr/>
          <w:p>
            <w:pPr>
              <w:pStyle w:val="Compact"/>
              <w:jc w:val="right"/>
            </w:pPr>
            <w:r>
              <w:t xml:space="preserve">prihod_95_velik</w:t>
            </w:r>
          </w:p>
        </w:tc>
        <w:tc>
          <w:tcPr/>
          <w:p>
            <w:pPr>
              <w:pStyle w:val="Compact"/>
              <w:jc w:val="right"/>
            </w:pPr>
            <w:r>
              <w:t xml:space="preserve">prihod_99_velik</w:t>
            </w:r>
          </w:p>
        </w:tc>
      </w:tr>
      <w:tr>
        <w:tc>
          <w:tcPr/>
          <w:p>
            <w:pPr>
              <w:pStyle w:val="Compact"/>
              <w:jc w:val="left"/>
            </w:pPr>
            <w:r>
              <w:t xml:space="preserve">Industrija</w:t>
            </w:r>
          </w:p>
        </w:tc>
        <w:tc>
          <w:tcPr/>
          <w:p>
            <w:pPr>
              <w:pStyle w:val="Compact"/>
              <w:jc w:val="right"/>
            </w:pPr>
            <w:r>
              <w:t xml:space="preserve">84.95</w:t>
            </w:r>
          </w:p>
        </w:tc>
        <w:tc>
          <w:tcPr/>
          <w:p>
            <w:pPr>
              <w:pStyle w:val="Compact"/>
              <w:jc w:val="right"/>
            </w:pPr>
            <w:r>
              <w:t xml:space="preserve">60.94</w:t>
            </w:r>
          </w:p>
        </w:tc>
        <w:tc>
          <w:tcPr/>
          <w:p>
            <w:pPr>
              <w:pStyle w:val="Compact"/>
              <w:jc w:val="right"/>
            </w:pPr>
            <w:r>
              <w:t xml:space="preserve">74.20</w:t>
            </w:r>
          </w:p>
        </w:tc>
        <w:tc>
          <w:tcPr/>
          <w:p>
            <w:pPr>
              <w:pStyle w:val="Compact"/>
              <w:jc w:val="right"/>
            </w:pPr>
            <w:r>
              <w:t xml:space="preserve">47.23</w:t>
            </w:r>
          </w:p>
        </w:tc>
        <w:tc>
          <w:tcPr/>
          <w:p>
            <w:pPr>
              <w:pStyle w:val="Compact"/>
              <w:jc w:val="right"/>
            </w:pPr>
            <w:r>
              <w:t xml:space="preserve">97.41</w:t>
            </w:r>
          </w:p>
        </w:tc>
        <w:tc>
          <w:tcPr/>
          <w:p>
            <w:pPr>
              <w:pStyle w:val="Compact"/>
              <w:jc w:val="right"/>
            </w:pPr>
            <w:r>
              <w:t xml:space="preserve">80.08</w:t>
            </w:r>
          </w:p>
        </w:tc>
        <w:tc>
          <w:tcPr/>
          <w:p>
            <w:pPr>
              <w:pStyle w:val="Compact"/>
              <w:jc w:val="right"/>
            </w:pPr>
            <w:r>
              <w:t xml:space="preserve">86.20</w:t>
            </w:r>
          </w:p>
        </w:tc>
        <w:tc>
          <w:tcPr/>
          <w:p>
            <w:pPr>
              <w:pStyle w:val="Compact"/>
              <w:jc w:val="right"/>
            </w:pPr>
            <w:r>
              <w:t xml:space="preserve">64.60</w:t>
            </w:r>
          </w:p>
        </w:tc>
      </w:tr>
      <w:tr>
        <w:tc>
          <w:tcPr/>
          <w:p>
            <w:pPr>
              <w:pStyle w:val="Compact"/>
              <w:jc w:val="left"/>
            </w:pPr>
            <w:r>
              <w:t xml:space="preserve">Programiranje</w:t>
            </w:r>
          </w:p>
        </w:tc>
        <w:tc>
          <w:tcPr/>
          <w:p>
            <w:pPr>
              <w:pStyle w:val="Compact"/>
              <w:jc w:val="right"/>
            </w:pPr>
            <w:r>
              <w:t xml:space="preserve">67.42</w:t>
            </w:r>
          </w:p>
        </w:tc>
        <w:tc>
          <w:tcPr/>
          <w:p>
            <w:pPr>
              <w:pStyle w:val="Compact"/>
              <w:jc w:val="right"/>
            </w:pPr>
            <w:r>
              <w:t xml:space="preserve">32.40</w:t>
            </w:r>
          </w:p>
        </w:tc>
        <w:tc>
          <w:tcPr/>
          <w:p>
            <w:pPr>
              <w:pStyle w:val="Compact"/>
              <w:jc w:val="right"/>
            </w:pPr>
            <w:r>
              <w:t xml:space="preserve">44.68</w:t>
            </w:r>
          </w:p>
        </w:tc>
        <w:tc>
          <w:tcPr/>
          <w:p>
            <w:pPr>
              <w:pStyle w:val="Compact"/>
              <w:jc w:val="right"/>
            </w:pPr>
            <w:r>
              <w:t xml:space="preserve">14.52</w:t>
            </w:r>
          </w:p>
        </w:tc>
        <w:tc>
          <w:tcPr/>
          <w:p>
            <w:pPr>
              <w:pStyle w:val="Compact"/>
              <w:jc w:val="right"/>
            </w:pPr>
            <w:r>
              <w:t xml:space="preserve">82.01</w:t>
            </w:r>
          </w:p>
        </w:tc>
        <w:tc>
          <w:tcPr/>
          <w:p>
            <w:pPr>
              <w:pStyle w:val="Compact"/>
              <w:jc w:val="right"/>
            </w:pPr>
            <w:r>
              <w:t xml:space="preserve">33.14</w:t>
            </w:r>
          </w:p>
        </w:tc>
        <w:tc>
          <w:tcPr/>
          <w:p>
            <w:pPr>
              <w:pStyle w:val="Compact"/>
              <w:jc w:val="right"/>
            </w:pPr>
            <w:r>
              <w:t xml:space="preserve">63.51</w:t>
            </w:r>
          </w:p>
        </w:tc>
        <w:tc>
          <w:tcPr/>
          <w:p>
            <w:pPr>
              <w:pStyle w:val="Compact"/>
              <w:jc w:val="right"/>
            </w:pPr>
            <w:r>
              <w:t xml:space="preserve">32.18</w:t>
            </w:r>
          </w:p>
        </w:tc>
      </w:tr>
      <w:tr>
        <w:tc>
          <w:tcPr/>
          <w:p>
            <w:pPr>
              <w:pStyle w:val="Compact"/>
              <w:jc w:val="left"/>
            </w:pPr>
            <w:r>
              <w:t xml:space="preserve">Turizam</w:t>
            </w:r>
          </w:p>
        </w:tc>
        <w:tc>
          <w:tcPr/>
          <w:p>
            <w:pPr>
              <w:pStyle w:val="Compact"/>
              <w:jc w:val="right"/>
            </w:pPr>
            <w:r>
              <w:t xml:space="preserve">72.27</w:t>
            </w:r>
          </w:p>
        </w:tc>
        <w:tc>
          <w:tcPr/>
          <w:p>
            <w:pPr>
              <w:pStyle w:val="Compact"/>
              <w:jc w:val="right"/>
            </w:pPr>
            <w:r>
              <w:t xml:space="preserve">56.41</w:t>
            </w:r>
          </w:p>
        </w:tc>
        <w:tc>
          <w:tcPr/>
          <w:p>
            <w:pPr>
              <w:pStyle w:val="Compact"/>
              <w:jc w:val="right"/>
            </w:pPr>
            <w:r>
              <w:t xml:space="preserve">46.05</w:t>
            </w:r>
          </w:p>
        </w:tc>
        <w:tc>
          <w:tcPr/>
          <w:p>
            <w:pPr>
              <w:pStyle w:val="Compact"/>
              <w:jc w:val="right"/>
            </w:pPr>
            <w:r>
              <w:t xml:space="preserve">30.82</w:t>
            </w:r>
          </w:p>
        </w:tc>
        <w:tc>
          <w:tcPr/>
          <w:p>
            <w:pPr>
              <w:pStyle w:val="Compact"/>
              <w:jc w:val="right"/>
            </w:pPr>
            <w:r>
              <w:t xml:space="preserve">98.81</w:t>
            </w:r>
          </w:p>
        </w:tc>
        <w:tc>
          <w:tcPr/>
          <w:p>
            <w:pPr>
              <w:pStyle w:val="Compact"/>
              <w:jc w:val="right"/>
            </w:pPr>
            <w:r>
              <w:t xml:space="preserve">83.31</w:t>
            </w:r>
          </w:p>
        </w:tc>
        <w:tc>
          <w:tcPr/>
          <w:p>
            <w:pPr>
              <w:pStyle w:val="Compact"/>
              <w:jc w:val="right"/>
            </w:pPr>
            <w:r>
              <w:t xml:space="preserve">58.61</w:t>
            </w:r>
          </w:p>
        </w:tc>
        <w:tc>
          <w:tcPr/>
          <w:p>
            <w:pPr>
              <w:pStyle w:val="Compact"/>
              <w:jc w:val="right"/>
            </w:pPr>
            <w:r>
              <w:t xml:space="preserve">37.38</w:t>
            </w:r>
          </w:p>
        </w:tc>
      </w:tr>
    </w:tbl>
    <w:p>
      <w:pPr>
        <w:pStyle w:val="BodyText"/>
      </w:pPr>
      <w:r>
        <w:t xml:space="preserve">Prema pokazatelju dodane vrijednosti, programiranje i turizam imaju sličan pokazatelj koncentracije: oko 5% najvećih poduzeća po dodanoj vrijednosti generira 21% dodane vrijednosti. Kod zaposlenosti i ukupnih prihoda se vrijednosti također ne razlikuju značajno. Kod izvoza ipak postoji značajan razlika. Prvo treba primijetiti da je izvoz snažno koncentriran kod obje djelatnosti. Kod turizma, 1% poduzeća poduzeća koje najviše izvoze generiraju 95% ukupnog izvoza, dok je kod programiranja raj broj 67%. Ako se gleda 5% poduzeća koje najviše izvoze, kod turizma je ta brojka 99%, a kod programiranja 95%. Visoka koncentriranost izvoza je stilizirana činjenica u međunarodnoj trgovini.</w:t>
      </w:r>
    </w:p>
    <w:bookmarkEnd w:id="79"/>
    <w:bookmarkStart w:id="80" w:name="zaključak"/>
    <w:p>
      <w:pPr>
        <w:pStyle w:val="Heading2"/>
      </w:pPr>
      <w:r>
        <w:t xml:space="preserve">Zaključak</w:t>
      </w:r>
    </w:p>
    <w:bookmarkEnd w:id="80"/>
    <w:bookmarkStart w:id="81" w:name="literatura"/>
    <w:p>
      <w:pPr>
        <w:pStyle w:val="Heading2"/>
      </w:pPr>
      <w:r>
        <w:t xml:space="preserve">Literatura</w:t>
      </w:r>
    </w:p>
    <w:p>
      <w:pPr>
        <w:pStyle w:val="FirstParagraph"/>
      </w:pPr>
      <w:r>
        <w:t xml:space="preserve">https://growthecon.com/blog/Accounting-Profits/</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75" Target="media/rId75.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71" Target="media/rId71.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59" Target="media/rId59.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Struktura i dinamika privrednih djelatnosti u Hrvatskoj</dc:title>
  <dc:creator>Josip Tica</dc:creator>
  <cp:keywords/>
  <dcterms:created xsi:type="dcterms:W3CDTF">2022-09-14T06:46:45Z</dcterms:created>
  <dcterms:modified xsi:type="dcterms:W3CDTF">2022-09-14T06:46:45Z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