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5.png" ContentType="image/png"/>
  <Override PartName="/word/media/rId25.png" ContentType="image/png"/>
  <Override PartName="/word/media/rId29.png" ContentType="image/png"/>
  <Override PartName="/word/media/rId71.png" ContentType="image/png"/>
  <Override PartName="/word/media/rId63.png" ContentType="image/png"/>
  <Override PartName="/word/media/rId67.png" ContentType="image/png"/>
  <Override PartName="/word/media/rId59.png" ContentType="image/png"/>
  <Override PartName="/word/media/rId47.png" ContentType="image/png"/>
  <Override PartName="/word/media/rId51.png" ContentType="image/png"/>
  <Override PartName="/word/media/rId43.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Analiza</w:t>
      </w:r>
      <w:r>
        <w:t xml:space="preserve"> </w:t>
      </w:r>
      <w:r>
        <w:t xml:space="preserve">strukturnih</w:t>
      </w:r>
      <w:r>
        <w:t xml:space="preserve"> </w:t>
      </w:r>
      <w:r>
        <w:t xml:space="preserve">promjena</w:t>
      </w:r>
      <w:r>
        <w:t xml:space="preserve"> </w:t>
      </w:r>
      <w:r>
        <w:t xml:space="preserve">u</w:t>
      </w:r>
      <w:r>
        <w:t xml:space="preserve"> </w:t>
      </w:r>
      <w:r>
        <w:t xml:space="preserve">sektorima</w:t>
      </w:r>
      <w:r>
        <w:t xml:space="preserve"> </w:t>
      </w:r>
      <w:r>
        <w:t xml:space="preserve">međunarodno</w:t>
      </w:r>
      <w:r>
        <w:t xml:space="preserve"> </w:t>
      </w:r>
      <w:r>
        <w:t xml:space="preserve">utrživih</w:t>
      </w:r>
      <w:r>
        <w:t xml:space="preserve"> </w:t>
      </w:r>
      <w:r>
        <w:t xml:space="preserve">proizvoda</w:t>
      </w:r>
      <w:r>
        <w:t xml:space="preserve"> </w:t>
      </w:r>
      <w:r>
        <w:t xml:space="preserve">i</w:t>
      </w:r>
      <w:r>
        <w:t xml:space="preserve"> </w:t>
      </w:r>
      <w:r>
        <w:t xml:space="preserve">usluga</w:t>
      </w:r>
    </w:p>
    <w:p>
      <w:pPr>
        <w:pStyle w:val="Author"/>
      </w:pPr>
      <w:r>
        <w:t xml:space="preserve">Prof. dr.</w:t>
      </w:r>
      <w:r>
        <w:t xml:space="preserve"> </w:t>
      </w:r>
      <w:r>
        <w:t xml:space="preserve">sc.</w:t>
      </w:r>
      <w:r>
        <w:t xml:space="preserve"> </w:t>
      </w: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Te se specifičnosti odnose se na povijesne, institucionalne i političke karakteristike domaće ekonomije, tranzicijsko razdoblje obilježeno ratnim zbivanjima, zakašnjelo uključivanje u globalne financijske tokove, zakašnjelo pristupanje u EU i dr.</w:t>
      </w:r>
    </w:p>
    <w:p>
      <w:pPr>
        <w:pStyle w:val="BodyText"/>
      </w:pPr>
      <w:r>
        <w:t xml:space="preserve">Osim pregleda strukture i dinamike na razini privrednih djelatnosti, ovo se istraživanje fokusira na dva uslužna podsektora - turizma i programiranja. Dok je turizam već dugo prepoznat kao strateška industrija s zahtijevanim visokim investicijama javnog sektora, programiranje tek nedavno dolazi u fokus ekonomske politike u RH. U radu se stoga istražuju pokazatelji produktivnosti, dodane vrijednosti, neto izvoza i profitabilnosti poslovanja na razini privrednih djelatnosti i u navedenim podsektorima uslužnih djelatnosti.</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Pretpostavka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u kontekstu izvozne konkurentnosti.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analizu vanjskotrgovinske dinamike u strukturi gospodarskih djelatnosti kako bi se olakšalo razumijevanje relativne važnosti domaćeg i globalnog tržišta u procesu tercijarizacije; prostornu analizu procesa tercijarizacije prema geografskim odrednicama kako bi se bolje razumjelo prostorno rasprostiranje strukturne promjene. Istraživanje će tako omogućiti šire i složenije razumijevanje tercijarizacijskog procesa i strukturne promjene u Hrvatskoj. Takvi uvidi iznimno su važni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računovodstveno-financijski izvještaji (bilanca, račun dobiti i gubitka, procijenjeni izvještaj o novčanom toku) i dodatnih izvještaja (dodatni podaci financijskog izvještaja poduzetnika – obrazac POD-DOP), na godišnjoj razini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p>
      <w:pPr>
        <w:pStyle w:val="BodyText"/>
      </w:pPr>
      <w:r>
        <w:t xml:space="preserve">U radu se koriste i računovodstveni pokazatelji:</w:t>
      </w:r>
      <w:r>
        <w:t xml:space="preserve"> </w:t>
      </w:r>
      <w:r>
        <w:t xml:space="preserve">* Dodana vrijednost - računa se prema dohodovnom pristupu kao zbroj bruto dobiti, troškova osoblja, neto financijskih rashoda i amortizacije.</w:t>
      </w:r>
      <w:r>
        <w:t xml:space="preserve"> </w:t>
      </w:r>
      <w:r>
        <w:t xml:space="preserve">* Neto marža - jednaka je omjeru neto dobiti i ukupnih prihoda.</w:t>
      </w:r>
      <w:r>
        <w:t xml:space="preserve"> </w:t>
      </w:r>
      <w:r>
        <w:t xml:space="preserve">* Produktivnost - kao mjera produktivnosti koristi se produktivnost rada, koja se računa kao omjer ukupnih rashoda zaposlenih (bruto plaće i ostala davanja) i prosječnog broja zaposlenih prema satima rada.</w:t>
      </w:r>
    </w:p>
    <w:bookmarkEnd w:id="23"/>
    <w:bookmarkStart w:id="24" w:name="struktura-i-dinamika-ekonomske-strukture"/>
    <w:p>
      <w:pPr>
        <w:pStyle w:val="Heading2"/>
      </w:pPr>
      <w:r>
        <w:t xml:space="preserve">Struktura i dinamika ekonomske strukture</w:t>
      </w:r>
    </w:p>
    <w:p>
      <w:pPr>
        <w:pStyle w:val="FirstParagraph"/>
      </w:pPr>
      <w:r>
        <w:t xml:space="preserve">Strukturu gospodarstva na razini proizvodnih djelatnosti sačinjavaju sektori i podsektori:</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Pri tome se kvartarni i kvintarni sektori smatraju djelom tercijarnog sektora.</w:t>
      </w:r>
    </w:p>
    <w:bookmarkEnd w:id="24"/>
    <w:bookmarkStart w:id="33" w:name="prikaz-na-razini-privrednih-sektora"/>
    <w:p>
      <w:pPr>
        <w:pStyle w:val="Heading2"/>
      </w:pPr>
      <w:r>
        <w:t xml:space="preserve">Prikaz na razini privrednih sektora</w:t>
      </w:r>
    </w:p>
    <w:p>
      <w:pPr>
        <w:pStyle w:val="FirstParagraph"/>
      </w:pPr>
      <w:r>
        <w:t xml:space="preserve">Udio pojedinog sektora u ukupnoj ekonomskoj strukturi može se analizirati na različite načine. U prvom dijelu analize, daje se prikaz na razini privrednih djelatnosti (5 sektora) 4 varijable: zaposlenost, ukupni prihodi, dodanu vrijednost i izvoz.</w:t>
      </w:r>
    </w:p>
    <w:tbl>
      <w:tblPr>
        <w:tblStyle w:val="Table"/>
        <w:tblW w:type="pct" w:w="5000"/>
        <w:tblLook w:firstRow="0" w:lastRow="0" w:firstColumn="0" w:lastColumn="0" w:noHBand="0" w:noVBand="0" w:val="0000"/>
      </w:tblPr>
      <w:tblGrid>
        <w:gridCol w:w="7920"/>
      </w:tblGrid>
      <w:tr>
        <w:tc>
          <w:tcPr/>
          <w:bookmarkStart w:id="28" w:name="fig-ekonomska-struktura"/>
          <w:p>
            <w:pPr>
              <w:pStyle w:val="Figure"/>
              <w:jc w:val="center"/>
            </w:pPr>
            <w:r>
              <w:drawing>
                <wp:inline>
                  <wp:extent cx="5334000" cy="5926666"/>
                  <wp:effectExtent b="0" l="0" r="0" t="0"/>
                  <wp:docPr descr="" title="" id="26" name="Picture"/>
                  <a:graphic>
                    <a:graphicData uri="http://schemas.openxmlformats.org/drawingml/2006/picture">
                      <pic:pic>
                        <pic:nvPicPr>
                          <pic:cNvPr descr="opatija2022_files/figure-docx/fig-ekonomska-struktura-1.png" id="27" name="Picture"/>
                          <pic:cNvPicPr>
                            <a:picLocks noChangeArrowheads="1" noChangeAspect="1"/>
                          </pic:cNvPicPr>
                        </pic:nvPicPr>
                        <pic:blipFill>
                          <a:blip r:embed="rId2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 Ekonomska struktura u RH za razdoblje 2000-2019</w:t>
            </w:r>
          </w:p>
          <w:bookmarkEnd w:id="28"/>
        </w:tc>
      </w:tr>
    </w:tbl>
    <w:p>
      <w:pPr>
        <w:pStyle w:val="BodyText"/>
      </w:pPr>
      <w:r>
        <w:t xml:space="preserve">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Moguće je zaključiti kako je u 20 godina tercijarni sektor blago povećao svoj udjel i postao najveći sektor po udjelu ukupnih prihoda u ukupnim prihodima svih djelatnosti. Drugi najveći je sekundarni sektor, ali ima sve manji udio kroz vrijeme. Kvartarni i kvintarni sektor rastu, dok primarni stagnira.</w:t>
      </w:r>
    </w:p>
    <w:p>
      <w:pPr>
        <w:pStyle w:val="BodyText"/>
      </w:pPr>
      <w:r>
        <w:t xml:space="preserve">Raščlanjivanje ekonomske strukture po dodanoj vrijednosti prati sličnu dinamiku, ali pokazuje različite vrijednosti udjela. Na početku razdoblja prednjači sekundarni sektor sa 52% udjela, a slijede tercijarni sa 35% i kvartarni sa 10%. Na kraju razdoblja sekundarni sektor gubi na značaju i čini 38%, a tercijarni sektor ga prestiže i čini 40% udjela. Kvartarni dobiva na značenju i čini 14% udjela. Isto kao i kvintarni koji raste sa 1% na 4%. Ukratko, prema kriteriju dodane vrijednosti tercijarni sektor prestiže sekundarni i postaje dominantni sektor u RH. Sekundarni sektor gubi na veličini, ali još uvijek ima veliki udio.</w:t>
      </w:r>
    </w:p>
    <w:p>
      <w:pPr>
        <w:pStyle w:val="BodyText"/>
      </w:pPr>
      <w:r>
        <w:t xml:space="preserve">Prema kriteriju zaposlenosti, nalazi su isti kao i kod dodane vrijednosti. Međutim, za varijablu neto izvoza su rezultati nešto drugačiji. Provo, postoji korelacija dinamike neto izvoza i dinamike trgovinske bilance na agregatnoj razini. Poslovni subjekti su ostvarivali negativan neto izvoz do otprilike 2009. godine, kada se trend promijenio. To je u skladu sa iskustvom Hrvatske prema makroekonomskim podacima. Drugo, postoji znatna razlika strukture neto izvoza po djelatnostima. Na početku razdoblja (2000. godina), svi sektori ostvaruju pozitivan neto izvoz. Nakon 2022. godine trend se okreće i sektori postaju neto uvoznici. Nakon velike financijske krize, sekundarni sektor postaje glavni generator pozitivnog neto izvoza, a tercijarni sektor glavni generator negativnog neto izvoza. Na kraju razdoblja, sekundarni sektor ostvaruje neto izvoz od 1.7 milijardi kuna, tercijarni sektor negativni neto izvoz od -1.5 milijardi kuna, kvartarni pozitivan neto izvoz od 0.63 milijardi kuna, primarni neto izvoz 0.08 milijardi kuna i kvintarni sektor neto izvoz od 0.04 milijardi kuna.</w:t>
      </w:r>
    </w:p>
    <w:tbl>
      <w:tblPr>
        <w:tblStyle w:val="Table"/>
        <w:tblW w:type="pct" w:w="5000"/>
        <w:tblLook w:firstRow="0" w:lastRow="0" w:firstColumn="0" w:lastColumn="0" w:noHBand="0" w:noVBand="0" w:val="0000"/>
      </w:tblPr>
      <w:tblGrid>
        <w:gridCol w:w="7920"/>
      </w:tblGrid>
      <w:tr>
        <w:tc>
          <w:tcPr/>
          <w:bookmarkStart w:id="32" w:name="fig-ekonomska-struktura-zup"/>
          <w:p>
            <w:pPr>
              <w:pStyle w:val="Figure"/>
              <w:jc w:val="center"/>
            </w:pPr>
            <w:r>
              <w:drawing>
                <wp:inline>
                  <wp:extent cx="5334000" cy="5926666"/>
                  <wp:effectExtent b="0" l="0" r="0" t="0"/>
                  <wp:docPr descr="" title="" id="30" name="Picture"/>
                  <a:graphic>
                    <a:graphicData uri="http://schemas.openxmlformats.org/drawingml/2006/picture">
                      <pic:pic>
                        <pic:nvPicPr>
                          <pic:cNvPr descr="opatija2022_files/figure-docx/fig-ekonomska-struktura-zup-1.png" id="31" name="Picture"/>
                          <pic:cNvPicPr>
                            <a:picLocks noChangeArrowheads="1" noChangeAspect="1"/>
                          </pic:cNvPicPr>
                        </pic:nvPicPr>
                        <pic:blipFill>
                          <a:blip r:embed="rId2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2: Ekonomska struktura u RH po županijama za razdoblje 2000-2019</w:t>
            </w:r>
          </w:p>
          <w:bookmarkEnd w:id="32"/>
        </w:tc>
      </w:tr>
    </w:tbl>
    <w:p>
      <w:pPr>
        <w:pStyle w:val="BodyText"/>
      </w:pPr>
      <w:r>
        <w:t xml:space="preserve">Na grafikonu</w:t>
      </w:r>
      <w:r>
        <w:t xml:space="preserve"> </w:t>
      </w:r>
      <w:hyperlink w:anchor="fig-ekonomska-struktura-zup">
        <w:r>
          <w:rPr>
            <w:rStyle w:val="Hyperlink"/>
          </w:rPr>
          <w:t xml:space="preserve">2</w:t>
        </w:r>
      </w:hyperlink>
      <w:r>
        <w:t xml:space="preserve"> </w:t>
      </w:r>
      <w:r>
        <w:t xml:space="preserve">je prikazana ekonomska struktura prema geografskim obilježjima. Budući da zaposlenost, ukupni prihodi i dodana vrijednost imaju sličnu dinamiku, razmatraju se dva pokazatelja - ukupni prihodi i izvoz. Grafikoni se odnose na prostornu raspodjelu vrijednosti po županijama u 2019. godini. Gornji grafikon prikazuje udio pojedinog sektora (primarni, sekundarni, tercijarni, kvartarni, kvintarni) u ekonomskoj strukturi za svaku županiju i upućuje na postojanje značajnih razlika po županijama. Na primjer, najveći udio tercijarnih djelatnosti prema ukupnom prihodu imaju zagrebačka i dubrovačko-neretvanska županija. Međimurska i osječko-baranjska imaju najveći udio sekundarnog sektora. Grafikon upućuje i na postojanje korelacije između udjela tercijarnog sektora i razvijenosti županije.</w:t>
      </w:r>
    </w:p>
    <w:p>
      <w:pPr>
        <w:pStyle w:val="BodyText"/>
      </w:pPr>
      <w:r>
        <w:t xml:space="preserve">Donji dio slike prikazuje ekonomsku strukturu prema udjelu izvoza u svakom sektoru, u 2019. godini. Posebno valja primijetiti dubrovačko-neretvansku županiju u kojoj zbog velikog značaja turizma, tercijarni sektor ostvaruje 70% izvoza. Slična je interpretacija i za istarsku županiju. S druge strane, neke županije glavninu izvoza ostvaruju u sekundarnom sektoru poput virovitičko-podravske i vukovarsko-srijemske . Može se zaključiti da kod vanjskotrgovinske aktivnosti postoje jznačajne geografske razlike u strukturi privrednih djelatnosti.</w:t>
      </w:r>
    </w:p>
    <w:bookmarkEnd w:id="33"/>
    <w:bookmarkStart w:id="38" w:name="prikaz-na-razini-tercijarnog-sektora"/>
    <w:p>
      <w:pPr>
        <w:pStyle w:val="Heading2"/>
      </w:pPr>
      <w:r>
        <w:t xml:space="preserve">Prikaz na razini tercijarnog sektora</w:t>
      </w:r>
    </w:p>
    <w:tbl>
      <w:tblPr>
        <w:tblStyle w:val="Table"/>
        <w:tblW w:type="pct" w:w="5000"/>
        <w:tblLook w:firstRow="0" w:lastRow="0" w:firstColumn="0" w:lastColumn="0" w:noHBand="0" w:noVBand="0" w:val="0000"/>
      </w:tblPr>
      <w:tblGrid>
        <w:gridCol w:w="7920"/>
      </w:tblGrid>
      <w:tr>
        <w:tc>
          <w:tcPr/>
          <w:bookmarkStart w:id="37" w:name="fig-struktura-tercijarni"/>
          <w:p>
            <w:pPr>
              <w:pStyle w:val="Figure"/>
              <w:jc w:val="center"/>
            </w:pPr>
            <w:r>
              <w:drawing>
                <wp:inline>
                  <wp:extent cx="5334000" cy="5926666"/>
                  <wp:effectExtent b="0" l="0" r="0" t="0"/>
                  <wp:docPr descr="" title="" id="35" name="Picture"/>
                  <a:graphic>
                    <a:graphicData uri="http://schemas.openxmlformats.org/drawingml/2006/picture">
                      <pic:pic>
                        <pic:nvPicPr>
                          <pic:cNvPr descr="opatija2022_files/figure-docx/fig-struktura-tercijarni-1.png" id="36" name="Picture"/>
                          <pic:cNvPicPr>
                            <a:picLocks noChangeArrowheads="1" noChangeAspect="1"/>
                          </pic:cNvPicPr>
                        </pic:nvPicPr>
                        <pic:blipFill>
                          <a:blip r:embed="rId34"/>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3: Struktura tercijarnog sektora u RH za razdoblje 2000-2019</w:t>
            </w:r>
          </w:p>
          <w:bookmarkEnd w:id="37"/>
        </w:tc>
      </w:tr>
    </w:tbl>
    <w:p>
      <w:pPr>
        <w:pStyle w:val="BodyText"/>
      </w:pPr>
      <w:r>
        <w:t xml:space="preserve">Dosadašnja analiza je potvrdila rastuću važnost tercijarnog sektora u ekonomskoj strukturi s jedne strane, te ukazala na vezu ekonomske razvijenosti pojedinih županije i udjela tercijarnog sektora s druge strane. Zbog važnosti tercijarnog sektora, u nastavku se detaljnije analizira njegova unutarsektorska struktura i dinamika. Prvo je prikazana ekonomska struktura tercijarnog sektora prema dodanoj vrijednosti, zaposlenosti, izvozu i ukupnom prohodu, a nakon toga su detaljnije analizirani podsektori turizma i programiranja.</w:t>
      </w:r>
    </w:p>
    <w:p>
      <w:pPr>
        <w:pStyle w:val="BodyText"/>
      </w:pPr>
      <w:r>
        <w:t xml:space="preserve">Grafikon</w:t>
      </w:r>
      <w:r>
        <w:t xml:space="preserve"> </w:t>
      </w:r>
      <w:hyperlink w:anchor="fig-struktura-tercijarni">
        <w:r>
          <w:rPr>
            <w:rStyle w:val="Hyperlink"/>
          </w:rPr>
          <w:t xml:space="preserve">3</w:t>
        </w:r>
      </w:hyperlink>
      <w:r>
        <w:t xml:space="preserve"> </w:t>
      </w:r>
      <w:r>
        <w:t xml:space="preserve">prikazuje unutarsektorsku dinamiku tercijarnog sektora. Prema svim varijablama, sektor trgovine čini najveći udio. Međutim, podatci pokazuju da ostali sektori poprimaju sve važniju ulogu. Prema udjelu dodane vrijednosti, u promatranom razdoblju sektor trgovine pada sa 75% dodane vrijednosti na 72%, sektor smještaja raste s 4% na 8%, dok ostali sektori ostaju nepromijenjeni. Prema kriteriju neto izvoza, trgovina čini konstanto generira negativan neto izvoz, dok sektori prijevoza i smještaja kontinuirano generiraju pozitivan neto izvoz. Sektor informacija čini vrlo mali udio u neto izvozu.</w:t>
      </w:r>
    </w:p>
    <w:bookmarkEnd w:id="38"/>
    <w:bookmarkStart w:id="79" w:name="analiza-ključnih-izvoznih-sektora"/>
    <w:p>
      <w:pPr>
        <w:pStyle w:val="Heading2"/>
      </w:pPr>
      <w:r>
        <w:t xml:space="preserve">Analiza ključnih izvoznih sektora</w:t>
      </w:r>
    </w:p>
    <w:p>
      <w:pPr>
        <w:pStyle w:val="FirstParagraph"/>
      </w:pPr>
      <w:r>
        <w:t xml:space="preserve">Prethodno prikazani podatci čine osnovu za detaljniju analizu strukture tercijarnog sektora, odnosno dva podsektora (druga NACEREV razina): turizma i programiranja i njegovu usporedbu sa prerađivačkim sektorom, kao najvećim sektorom prema NACEREV2007 djelatnostima. Turizam je ekonomska grana od strateškog značenja za RH. Ovdje valja istaknuti kako je prihode od turizma vrlo teško mjeriti jer postoje snažni efekti prelijevanja između turističkog i drugih sektora, a analizu dodatno otežava što znatan broj</w:t>
      </w:r>
      <w:r>
        <w:t xml:space="preserve"> </w:t>
      </w:r>
      <w:r>
        <w:t xml:space="preserve">“</w:t>
      </w:r>
      <w:r>
        <w:t xml:space="preserve">malih</w:t>
      </w:r>
      <w:r>
        <w:t xml:space="preserve">”</w:t>
      </w:r>
      <w:r>
        <w:t xml:space="preserve"> </w:t>
      </w:r>
      <w:r>
        <w:t xml:space="preserve">iznajmljivača ne predaje podatke o prihodima. U ovoj se analizi pod sektorom turizma podrazumijevaja sektor I - djelatnosti pružanja smještaja te pripreme i usluživanja hrane. Sektor programiranja nije grana od strateškog značenje za RH no pokazuje se kao izrazito bitan čimbenik domaćeg ekonomskog rasta. Sektor programiranja čine podsektori: 62 - Računalno programiranje, savjetovanje i djelatnosti povezane s njima i 63.1 - Obrada podataka, usluge poslužitelja i djelatnosti povezane s njima; internetski portali. Prerađivački sektor (NACEREV razina C) će se označavati kao</w:t>
      </w:r>
      <w:r>
        <w:t xml:space="preserve"> </w:t>
      </w:r>
      <w:r>
        <w:t xml:space="preserve">“</w:t>
      </w:r>
      <w:r>
        <w:t xml:space="preserve">Industrija</w:t>
      </w:r>
      <w:r>
        <w:t xml:space="preserve">”</w:t>
      </w:r>
      <w:r>
        <w:t xml:space="preserve">.</w:t>
      </w:r>
    </w:p>
    <w:tbl>
      <w:tblPr>
        <w:tblStyle w:val="Table"/>
        <w:tblW w:type="pct" w:w="5000"/>
        <w:tblLook w:firstRow="0" w:lastRow="0" w:firstColumn="0" w:lastColumn="0" w:noHBand="0" w:noVBand="0" w:val="0000"/>
      </w:tblPr>
      <w:tblGrid>
        <w:gridCol w:w="7920"/>
      </w:tblGrid>
      <w:tr>
        <w:tc>
          <w:tcPr/>
          <w:bookmarkStart w:id="42" w:name="fig-struktura-turizam-programiranje"/>
          <w:p>
            <w:pPr>
              <w:pStyle w:val="Figure"/>
              <w:jc w:val="center"/>
            </w:pPr>
            <w:r>
              <w:drawing>
                <wp:inline>
                  <wp:extent cx="5334000" cy="5926666"/>
                  <wp:effectExtent b="0" l="0" r="0" t="0"/>
                  <wp:docPr descr="" title="" id="40" name="Picture"/>
                  <a:graphic>
                    <a:graphicData uri="http://schemas.openxmlformats.org/drawingml/2006/picture">
                      <pic:pic>
                        <pic:nvPicPr>
                          <pic:cNvPr descr="opatija2022_files/figure-docx/fig-struktura-turizam-programiranje-1.png" id="41"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4: Ekonomska struktura sektora turizma i programiranja u RH za razdoblje 2000-2019</w:t>
            </w:r>
          </w:p>
          <w:bookmarkEnd w:id="42"/>
        </w:tc>
      </w:tr>
    </w:tbl>
    <w:p>
      <w:pPr>
        <w:pStyle w:val="BodyText"/>
      </w:pPr>
      <w:r>
        <w:t xml:space="preserve">Dinamika kretanja dodane vrijednosti, zaposlenosti, ukupnog prihoda i izvoza u (pod)sektorima industrije, turizma i programiranja prikazana je na grafikonu</w:t>
      </w:r>
      <w:r>
        <w:t xml:space="preserve"> </w:t>
      </w:r>
      <w:hyperlink w:anchor="fig-struktura-turizam-programiranje">
        <w:r>
          <w:rPr>
            <w:rStyle w:val="Hyperlink"/>
          </w:rPr>
          <w:t xml:space="preserve">4</w:t>
        </w:r>
      </w:hyperlink>
      <w:r>
        <w:t xml:space="preserve">. Industrija ostvaruje mnogo veće vrijednosti u odnosu na ostale sektore prema svim pokazateljima, ali se trendovi razlikuju. Postoji izražen trend relativno bržeg rasta programiranja, od ostala dva sektora. Primjerice, na početku razdoblja udio ukupnih prihoda između industrije, turizma i programiranja iznosio je 93%, 5% i 1%. Na kraju razdoblja iznosili su 80%, 13% i 5%. Dakle, raste značaj turizma i programiranja u odnosu na industriju, ako se gleda prema varijabli ukupnih prihoda. Ako pogledamo samo odnos turizma i programiranja, omjer je iznosio 20% programiranje, 80% turizam, dok je na kraju razdoblja odnos 30% - 70%. Programiranje dakle raste brže od turizma. Kod neto izvoza je dinamika drugačija. Industrija posljednjih 10-ak godina ostvaruje apsolutno najveće razine neto izvoza. Slijedi sektor turizma i potom sektor programiranja. Za razliku od sektora industrije, sektor turizma i programiranja ostvaruju stabilan i kontinuiran rast neto izvoza, bez velikih oscilacija (negativnog neto izvoza prije Velike recesije). Neto izvoz sektora turizma je rastao s 0.04 milijarde kuna u 2000. godini na 0.67 milijardi kuna u 2020. godini (15 puta). Sektor programiranja je rastao sa 0.005 milijardi kuna na 0.093 milijarde kuna (18 puta). Na početku razdoblja je neto izvoz turizma bio 8 puta veći, a na kraju razdoblja je 7.2 puta veći. Važno je primijetiti da sektor programiranja posebno brzo raste u posljednjih 5 promatranih godina.</w:t>
      </w:r>
    </w:p>
    <w:tbl>
      <w:tblPr>
        <w:tblStyle w:val="Table"/>
        <w:tblW w:type="pct" w:w="5000"/>
        <w:tblLook w:firstRow="0" w:lastRow="0" w:firstColumn="0" w:lastColumn="0" w:noHBand="0" w:noVBand="0" w:val="0000"/>
      </w:tblPr>
      <w:tblGrid>
        <w:gridCol w:w="7920"/>
      </w:tblGrid>
      <w:tr>
        <w:tc>
          <w:tcPr/>
          <w:bookmarkStart w:id="46" w:name="fig-struktura-dv-3s"/>
          <w:p>
            <w:pPr>
              <w:pStyle w:val="Figure"/>
              <w:jc w:val="center"/>
            </w:pPr>
            <w:r>
              <w:drawing>
                <wp:inline>
                  <wp:extent cx="5334000" cy="4148666"/>
                  <wp:effectExtent b="0" l="0" r="0" t="0"/>
                  <wp:docPr descr="" title="" id="44" name="Picture"/>
                  <a:graphic>
                    <a:graphicData uri="http://schemas.openxmlformats.org/drawingml/2006/picture">
                      <pic:pic>
                        <pic:nvPicPr>
                          <pic:cNvPr descr="opatija2022_files/figure-docx/fig-struktura-dv-3s-1.png" id="45" name="Picture"/>
                          <pic:cNvPicPr>
                            <a:picLocks noChangeArrowheads="1" noChangeAspect="1"/>
                          </pic:cNvPicPr>
                        </pic:nvPicPr>
                        <pic:blipFill>
                          <a:blip r:embed="rId4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5: Strutkura dodane vrijednosti za sektor turizma, sektor programiranja i prerađivački sektor u RH za razdoblje 2000-2019</w:t>
            </w:r>
          </w:p>
          <w:bookmarkEnd w:id="46"/>
        </w:tc>
      </w:tr>
    </w:tbl>
    <w:p>
      <w:pPr>
        <w:pStyle w:val="BodyText"/>
      </w:pPr>
      <w:r>
        <w:t xml:space="preserve">Grafikon</w:t>
      </w:r>
      <w:r>
        <w:t xml:space="preserve"> </w:t>
      </w:r>
      <w:hyperlink w:anchor="fig-struktura-dv-3s">
        <w:r>
          <w:rPr>
            <w:rStyle w:val="Hyperlink"/>
          </w:rPr>
          <w:t xml:space="preserve">5</w:t>
        </w:r>
      </w:hyperlink>
      <w:r>
        <w:t xml:space="preserve"> </w:t>
      </w:r>
      <w:r>
        <w:t xml:space="preserve">prikazuje strukturu dodane vrijednosti prema tipu dohotka koji generira dodanu vrijednost (bruto dobit, trošak osoblja, neto financijski rashodi, amortizacija). Važno je primjetiti da je zbog mnogo veće sume dodane vrijednosti za industriju svaka y os prikazana zasebno, a ne skupno za sve grafikone. Struktura dodane vrijednosti pokazuje da najveći udio u sva tri sektora ima trošak osoblja. Udio troškova osoblja je oko 55% dodane nove vrijednosti kod sektora turizma i industrije te oko 60% kod sektora programiranja. Kod industrije i turizma, po visini udjela slijedi amortizacija, koja čini cca 18% dodane vrijednosti kod industrije i cca 25% dodane vrijednosti kod turizma, dok je kod sektora programiranja udio amortizacije tek oko 8%. Bruto dobit pokazuje značajne oscilacije kod svih sektora. U sektoru programiranja bruto dobit čini 28% dodane vrijednosti, a kod turizma 15% na kraju razdoblja, što ukazuje na veću profitabilnost sektora programiranja u odnosu na sektor turizma i industrije. Zanimljivo je primijetiti i da je sektor turizma bilježio negativnu agregatnu bruto dobit nekoliko godina za redom, dok je kod sektora programiranja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sljedećim grafikonima su prikazani odabrani pokazatelji poslovanja sva tri sektora: ukupna suma dodane vrijednosti, ukupni broj zaposlenih, prosječna bruto plaća, ukupna suma poreza na dobit, udio dodane nove vrijednosti u ukupnim prihodima, neto marža, produktivnost i udio neto izvoza u prihodima. U nastavku slijedi intepretacija generiranih grafikona.</w:t>
      </w:r>
    </w:p>
    <w:tbl>
      <w:tblPr>
        <w:tblStyle w:val="Table"/>
        <w:tblW w:type="pct" w:w="5000"/>
        <w:tblLook w:firstRow="0" w:lastRow="0" w:firstColumn="0" w:lastColumn="0" w:noHBand="0" w:noVBand="0" w:val="0000"/>
      </w:tblPr>
      <w:tblGrid>
        <w:gridCol w:w="7920"/>
      </w:tblGrid>
      <w:tr>
        <w:tc>
          <w:tcPr/>
          <w:bookmarkStart w:id="50" w:name="fig-prosjecna-placa"/>
          <w:p>
            <w:pPr>
              <w:pStyle w:val="Figure"/>
              <w:jc w:val="center"/>
            </w:pPr>
            <w:r>
              <w:drawing>
                <wp:inline>
                  <wp:extent cx="5334000" cy="4148666"/>
                  <wp:effectExtent b="0" l="0" r="0" t="0"/>
                  <wp:docPr descr="" title="" id="48" name="Picture"/>
                  <a:graphic>
                    <a:graphicData uri="http://schemas.openxmlformats.org/drawingml/2006/picture">
                      <pic:pic>
                        <pic:nvPicPr>
                          <pic:cNvPr descr="opatija2022_files/figure-docx/fig-prosjecna-placa-1.png" id="49" name="Picture"/>
                          <pic:cNvPicPr>
                            <a:picLocks noChangeArrowheads="1" noChangeAspect="1"/>
                          </pic:cNvPicPr>
                        </pic:nvPicPr>
                        <pic:blipFill>
                          <a:blip r:embed="rId4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6: Prosječna plaća za sektor turizma, sektor programiranja i prerađivački sektor u RH za razdoblje 2000-2019</w:t>
            </w:r>
          </w:p>
          <w:bookmarkEnd w:id="50"/>
        </w:tc>
      </w:tr>
    </w:tbl>
    <w:p>
      <w:pPr>
        <w:pStyle w:val="BodyText"/>
      </w:pPr>
      <w:r>
        <w:t xml:space="preserve">Na grafu</w:t>
      </w:r>
      <w:r>
        <w:t xml:space="preserve"> </w:t>
      </w:r>
      <w:hyperlink w:anchor="fig-prosjecna-placa">
        <w:r>
          <w:rPr>
            <w:rStyle w:val="Hyperlink"/>
          </w:rPr>
          <w:t xml:space="preserve">6</w:t>
        </w:r>
      </w:hyperlink>
      <w:r>
        <w:t xml:space="preserve"> </w:t>
      </w:r>
      <w:r>
        <w:t xml:space="preserve">je prikazana prosječna godišnja bruto plaća prema podacima iz godišnjih financijskih izvještaja. Prosječna plaća je računata kao odnos troškova osoblja i broja zaposlenih prema satima rada. Prosječna plaća ima pozitivan trend kod sva tri sektora, međutim sektor programiranja bilježi mnogo veće razine prosječnih bruto plaća. Prosječna plaća u sektoru programiranja je 80% veća od prosječne plaće u sektoru turizma (163 tisuće u odnosu na 91 tisuću kuna) te 72% veća od prosječne plaće od sektora industrije. Ove vrijednosti vrijede za 2019 godinu. Čak i uz ovako veliki jaz u prosječnim plaćama, sektor programiranja bilježi veće stope rasta prosječnih plaća od ostalih sektora.</w:t>
      </w:r>
    </w:p>
    <w:tbl>
      <w:tblPr>
        <w:tblStyle w:val="Table"/>
        <w:tblW w:type="pct" w:w="5000"/>
        <w:tblLook w:firstRow="0" w:lastRow="0" w:firstColumn="0" w:lastColumn="0" w:noHBand="0" w:noVBand="0" w:val="0000"/>
      </w:tblPr>
      <w:tblGrid>
        <w:gridCol w:w="7920"/>
      </w:tblGrid>
      <w:tr>
        <w:tc>
          <w:tcPr/>
          <w:bookmarkStart w:id="54" w:name="fig-sr-zaposlenost"/>
          <w:p>
            <w:pPr>
              <w:pStyle w:val="Figure"/>
              <w:jc w:val="center"/>
            </w:pPr>
            <w:r>
              <w:drawing>
                <wp:inline>
                  <wp:extent cx="5334000" cy="4148666"/>
                  <wp:effectExtent b="0" l="0" r="0" t="0"/>
                  <wp:docPr descr="" title="" id="52" name="Picture"/>
                  <a:graphic>
                    <a:graphicData uri="http://schemas.openxmlformats.org/drawingml/2006/picture">
                      <pic:pic>
                        <pic:nvPicPr>
                          <pic:cNvPr descr="opatija2022_files/figure-docx/fig-sr-zaposlenost-1.png" id="53" name="Picture"/>
                          <pic:cNvPicPr>
                            <a:picLocks noChangeArrowheads="1" noChangeAspect="1"/>
                          </pic:cNvPicPr>
                        </pic:nvPicPr>
                        <pic:blipFill>
                          <a:blip r:embed="rId5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7: Broj zaposlenih osoba prema satima rada za sektor turizma, sektor programiranja i prerađivački sektor u RH za razdoblje 2000-2019</w:t>
            </w:r>
          </w:p>
          <w:bookmarkEnd w:id="54"/>
        </w:tc>
      </w:tr>
    </w:tbl>
    <w:p>
      <w:pPr>
        <w:pStyle w:val="BodyText"/>
      </w:pPr>
      <w:r>
        <w:t xml:space="preserve">Na grafu</w:t>
      </w:r>
      <w:r>
        <w:t xml:space="preserve"> </w:t>
      </w:r>
      <w:hyperlink w:anchor="fig-sr-zaposlenost">
        <w:r>
          <w:rPr>
            <w:rStyle w:val="Hyperlink"/>
          </w:rPr>
          <w:t xml:space="preserve">7</w:t>
        </w:r>
      </w:hyperlink>
      <w:r>
        <w:t xml:space="preserve"> </w:t>
      </w:r>
      <w:r>
        <w:t xml:space="preserve">je prikazan ukupan broj zaposlenih tijekom promatrano razdoblja za sva tri sektora.Industrija zapošljava najviše osoba, slijedi turizam, pa programiranje. Međutim, osim ukupne suem, zanimljive su i stope rasta zaposlenosti. Industrija tijekom cijelog razdoblja bilježi rast zaposlenosti od 3%, turizam rast od 292%, a programiranje rast broj zaposlenih od čak 656%.</w:t>
      </w:r>
    </w:p>
    <w:tbl>
      <w:tblPr>
        <w:tblStyle w:val="Table"/>
        <w:tblW w:type="pct" w:w="5000"/>
        <w:tblLook w:firstRow="0" w:lastRow="0" w:firstColumn="0" w:lastColumn="0" w:noHBand="0" w:noVBand="0" w:val="0000"/>
      </w:tblPr>
      <w:tblGrid>
        <w:gridCol w:w="7920"/>
      </w:tblGrid>
      <w:tr>
        <w:tc>
          <w:tcPr/>
          <w:bookmarkStart w:id="58" w:name="fig-dv-3s"/>
          <w:p>
            <w:pPr>
              <w:pStyle w:val="Figure"/>
              <w:jc w:val="center"/>
            </w:pPr>
            <w:r>
              <w:drawing>
                <wp:inline>
                  <wp:extent cx="5334000" cy="4148666"/>
                  <wp:effectExtent b="0" l="0" r="0" t="0"/>
                  <wp:docPr descr="" title="" id="56" name="Picture"/>
                  <a:graphic>
                    <a:graphicData uri="http://schemas.openxmlformats.org/drawingml/2006/picture">
                      <pic:pic>
                        <pic:nvPicPr>
                          <pic:cNvPr descr="opatija2022_files/figure-docx/fig-dv-3s-1.png" id="57" name="Picture"/>
                          <pic:cNvPicPr>
                            <a:picLocks noChangeArrowheads="1" noChangeAspect="1"/>
                          </pic:cNvPicPr>
                        </pic:nvPicPr>
                        <pic:blipFill>
                          <a:blip r:embed="rId5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8: Stopa rasta zaposlenosti za sektor turizma, sektor programiranja i prerađivački sektor u RH za razdoblje 2000-2019</w:t>
            </w:r>
          </w:p>
          <w:bookmarkEnd w:id="58"/>
        </w:tc>
      </w:tr>
    </w:tbl>
    <w:p>
      <w:pPr>
        <w:pStyle w:val="BodyText"/>
      </w:pPr>
      <w:r>
        <w:t xml:space="preserve">Grafikon</w:t>
      </w:r>
      <w:r>
        <w:t xml:space="preserve"> </w:t>
      </w:r>
      <w:hyperlink w:anchor="fig-dv-3s">
        <w:r>
          <w:rPr>
            <w:rStyle w:val="Hyperlink"/>
          </w:rPr>
          <w:t xml:space="preserve">8</w:t>
        </w:r>
      </w:hyperlink>
      <w:r>
        <w:t xml:space="preserve"> </w:t>
      </w:r>
      <w:r>
        <w:t xml:space="preserve">pokazuje dinamiku dodane vrijednosti. Iako je na prijašnjim grafikonima već analizirana struktura dodane vrijednosti, ovdje radi preglednosti pokazujemo ponovno sumu dodane vrijednosti. Zaključci su vrlo slični nalazima iz prethodnog grafa. Industrija ima najveću razinu dodane vrijednosti i rast u cijelom razdoblju od 209%. Po veličini slijedi turizam sa rastom od 658%, te programiranje sa najmanjom razinom dodane vrijednosti, ali rastom od 1.500%.</w:t>
      </w:r>
    </w:p>
    <w:tbl>
      <w:tblPr>
        <w:tblStyle w:val="Table"/>
        <w:tblW w:type="pct" w:w="5000"/>
        <w:tblLook w:firstRow="0" w:lastRow="0" w:firstColumn="0" w:lastColumn="0" w:noHBand="0" w:noVBand="0" w:val="0000"/>
      </w:tblPr>
      <w:tblGrid>
        <w:gridCol w:w="7920"/>
      </w:tblGrid>
      <w:tr>
        <w:tc>
          <w:tcPr/>
          <w:bookmarkStart w:id="62" w:name="fig-porez-3s"/>
          <w:p>
            <w:pPr>
              <w:pStyle w:val="Figure"/>
              <w:jc w:val="center"/>
            </w:pPr>
            <w:r>
              <w:drawing>
                <wp:inline>
                  <wp:extent cx="5334000" cy="4148666"/>
                  <wp:effectExtent b="0" l="0" r="0" t="0"/>
                  <wp:docPr descr="" title="" id="60" name="Picture"/>
                  <a:graphic>
                    <a:graphicData uri="http://schemas.openxmlformats.org/drawingml/2006/picture">
                      <pic:pic>
                        <pic:nvPicPr>
                          <pic:cNvPr descr="opatija2022_files/figure-docx/fig-porez-3s-1.png" id="61" name="Picture"/>
                          <pic:cNvPicPr>
                            <a:picLocks noChangeArrowheads="1" noChangeAspect="1"/>
                          </pic:cNvPicPr>
                        </pic:nvPicPr>
                        <pic:blipFill>
                          <a:blip r:embed="rId59"/>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9: Porez na dobit za sektor turizma, sektor programiranja i prerađivački sektor u RH za razdoblje 2000-2019</w:t>
            </w:r>
          </w:p>
          <w:bookmarkEnd w:id="62"/>
        </w:tc>
      </w:tr>
    </w:tbl>
    <w:p>
      <w:pPr>
        <w:pStyle w:val="BodyText"/>
      </w:pPr>
      <w:r>
        <w:t xml:space="preserve">Grafikon</w:t>
      </w:r>
      <w:r>
        <w:t xml:space="preserve"> </w:t>
      </w:r>
      <w:hyperlink w:anchor="fig-porez-3s">
        <w:r>
          <w:rPr>
            <w:rStyle w:val="Hyperlink"/>
          </w:rPr>
          <w:t xml:space="preserve">9</w:t>
        </w:r>
      </w:hyperlink>
      <w:r>
        <w:t xml:space="preserve"> </w:t>
      </w:r>
      <w:r>
        <w:t xml:space="preserve">prikazuje dinamiku poreza na dobit. Sektor turizma pokazuje značajne oscilacije. Prosjek je oko milijardu kuna godišnje. Sektor programiranja i turizma ostvaruju vrlo slične iznose poreza na dobit. Turizam pro kraju razdoblja ostvaruje nešto veće iznose poreza na dobit, što nije čudno s obzirom na mnogo veću razinu agregatnih prihoda.</w:t>
      </w:r>
    </w:p>
    <w:tbl>
      <w:tblPr>
        <w:tblStyle w:val="Table"/>
        <w:tblW w:type="pct" w:w="5000"/>
        <w:tblLook w:firstRow="0" w:lastRow="0" w:firstColumn="0" w:lastColumn="0" w:noHBand="0" w:noVBand="0" w:val="0000"/>
      </w:tblPr>
      <w:tblGrid>
        <w:gridCol w:w="7920"/>
      </w:tblGrid>
      <w:tr>
        <w:tc>
          <w:tcPr/>
          <w:bookmarkStart w:id="66" w:name="fig-nm-3s"/>
          <w:p>
            <w:pPr>
              <w:pStyle w:val="Figure"/>
              <w:jc w:val="center"/>
            </w:pPr>
            <w:r>
              <w:drawing>
                <wp:inline>
                  <wp:extent cx="5334000" cy="4148666"/>
                  <wp:effectExtent b="0" l="0" r="0" t="0"/>
                  <wp:docPr descr="" title="" id="64" name="Picture"/>
                  <a:graphic>
                    <a:graphicData uri="http://schemas.openxmlformats.org/drawingml/2006/picture">
                      <pic:pic>
                        <pic:nvPicPr>
                          <pic:cNvPr descr="opatija2022_files/figure-docx/fig-nm-3s-1.png" id="65" name="Picture"/>
                          <pic:cNvPicPr>
                            <a:picLocks noChangeArrowheads="1" noChangeAspect="1"/>
                          </pic:cNvPicPr>
                        </pic:nvPicPr>
                        <pic:blipFill>
                          <a:blip r:embed="rId6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10: Neto marža za sektor turizma, sektor programiranja i prerađivački sektor u RH za razdoblje 2000-2019</w:t>
            </w:r>
          </w:p>
          <w:bookmarkEnd w:id="66"/>
        </w:tc>
      </w:tr>
    </w:tbl>
    <w:p>
      <w:pPr>
        <w:pStyle w:val="BodyText"/>
      </w:pPr>
      <w:r>
        <w:t xml:space="preserve">Grafikon</w:t>
      </w:r>
      <w:r>
        <w:t xml:space="preserve"> </w:t>
      </w:r>
      <w:hyperlink w:anchor="fig-nm-3s">
        <w:r>
          <w:rPr>
            <w:rStyle w:val="Hyperlink"/>
          </w:rPr>
          <w:t xml:space="preserve">10</w:t>
        </w:r>
      </w:hyperlink>
      <w:r>
        <w:t xml:space="preserve"> </w:t>
      </w:r>
      <w:r>
        <w:t xml:space="preserve">pokazuje dinamiku neto marže u promatranom razdoblju. Sektor programiranja konzistentno ostvaruje veće neto marže od od ostala dva sektora. Zanimljivo je primijetiti kako je turizam u polovici promatranog razdoblja ostvarivao negativne neto marže, a u prosjeku ostvaruje manje marže i od sektora industrije.</w:t>
      </w:r>
    </w:p>
    <w:tbl>
      <w:tblPr>
        <w:tblStyle w:val="Table"/>
        <w:tblW w:type="pct" w:w="5000"/>
        <w:tblLook w:firstRow="0" w:lastRow="0" w:firstColumn="0" w:lastColumn="0" w:noHBand="0" w:noVBand="0" w:val="0000"/>
      </w:tblPr>
      <w:tblGrid>
        <w:gridCol w:w="7920"/>
      </w:tblGrid>
      <w:tr>
        <w:tc>
          <w:tcPr/>
          <w:bookmarkStart w:id="70" w:name="fig-p-3s"/>
          <w:p>
            <w:pPr>
              <w:pStyle w:val="Figure"/>
              <w:jc w:val="center"/>
            </w:pPr>
            <w:r>
              <w:drawing>
                <wp:inline>
                  <wp:extent cx="5334000" cy="4148666"/>
                  <wp:effectExtent b="0" l="0" r="0" t="0"/>
                  <wp:docPr descr="" title="" id="68" name="Picture"/>
                  <a:graphic>
                    <a:graphicData uri="http://schemas.openxmlformats.org/drawingml/2006/picture">
                      <pic:pic>
                        <pic:nvPicPr>
                          <pic:cNvPr descr="opatija2022_files/figure-docx/fig-p-3s-1.png" id="69" name="Picture"/>
                          <pic:cNvPicPr>
                            <a:picLocks noChangeArrowheads="1" noChangeAspect="1"/>
                          </pic:cNvPicPr>
                        </pic:nvPicPr>
                        <pic:blipFill>
                          <a:blip r:embed="rId6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11: Produktivnost za sektor turizma, sektor programiranja i prerađivački sektor u RH za razdoblje 2000-2019</w:t>
            </w:r>
          </w:p>
          <w:bookmarkEnd w:id="70"/>
        </w:tc>
      </w:tr>
    </w:tbl>
    <w:p>
      <w:pPr>
        <w:pStyle w:val="BodyText"/>
      </w:pPr>
      <w:r>
        <w:t xml:space="preserve">Produktivnost se smatra temeljnim faktorom dugoročnog ekonomskog rasta, stoga je na grafikonu</w:t>
      </w:r>
      <w:r>
        <w:t xml:space="preserve"> </w:t>
      </w:r>
      <w:hyperlink w:anchor="fig-p-3s">
        <w:r>
          <w:rPr>
            <w:rStyle w:val="Hyperlink"/>
          </w:rPr>
          <w:t xml:space="preserve">11</w:t>
        </w:r>
      </w:hyperlink>
      <w:r>
        <w:t xml:space="preserve"> </w:t>
      </w:r>
      <w:r>
        <w:t xml:space="preserve">prikazana dinamika produktivnosti za 3 promatrana sektora. Kao mjera produktivnosti korištena je produktivnost rada, odnosno omjer ukupnih rashoda zaposlenih (bruto plaće i ostala davanja) i prosječnog broja zaposlenih prema satima rada, na kraju razdoblja. Graf pokazuje da sektor programiranja ostvaruje znatno veću produktivnost od sektora turizma i industrije.</w:t>
      </w:r>
    </w:p>
    <w:tbl>
      <w:tblPr>
        <w:tblStyle w:val="Table"/>
        <w:tblW w:type="pct" w:w="5000"/>
        <w:tblLook w:firstRow="0" w:lastRow="0" w:firstColumn="0" w:lastColumn="0" w:noHBand="0" w:noVBand="0" w:val="0000"/>
      </w:tblPr>
      <w:tblGrid>
        <w:gridCol w:w="7920"/>
      </w:tblGrid>
      <w:tr>
        <w:tc>
          <w:tcPr/>
          <w:bookmarkStart w:id="74" w:name="fig-nip-3s"/>
          <w:p>
            <w:pPr>
              <w:pStyle w:val="Figure"/>
              <w:jc w:val="center"/>
            </w:pPr>
            <w:r>
              <w:drawing>
                <wp:inline>
                  <wp:extent cx="5334000" cy="4148666"/>
                  <wp:effectExtent b="0" l="0" r="0" t="0"/>
                  <wp:docPr descr="" title="" id="72" name="Picture"/>
                  <a:graphic>
                    <a:graphicData uri="http://schemas.openxmlformats.org/drawingml/2006/picture">
                      <pic:pic>
                        <pic:nvPicPr>
                          <pic:cNvPr descr="opatija2022_files/figure-docx/fig-nip-3s-1.png" id="73" name="Picture"/>
                          <pic:cNvPicPr>
                            <a:picLocks noChangeArrowheads="1" noChangeAspect="1"/>
                          </pic:cNvPicPr>
                        </pic:nvPicPr>
                        <pic:blipFill>
                          <a:blip r:embed="rId7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12: Omer neto izvoza i prihoda za sektor turizma, sektor programiranja i prerađivački sektor u RH za razdoblje 2000-2019</w:t>
            </w:r>
          </w:p>
          <w:bookmarkEnd w:id="74"/>
        </w:tc>
      </w:tr>
    </w:tbl>
    <w:p>
      <w:pPr>
        <w:pStyle w:val="BodyText"/>
      </w:pPr>
      <w:r>
        <w:t xml:space="preserve">Sljedeći grafikon (</w:t>
      </w:r>
      <w:r>
        <w:t xml:space="preserve"> </w:t>
      </w:r>
      <w:hyperlink w:anchor="fig-nip-3s">
        <w:r>
          <w:rPr>
            <w:rStyle w:val="Hyperlink"/>
          </w:rPr>
          <w:t xml:space="preserve">12</w:t>
        </w:r>
      </w:hyperlink>
      <w:r>
        <w:t xml:space="preserve"> </w:t>
      </w:r>
      <w:r>
        <w:t xml:space="preserve">) pokazuje odnos neto izvoza i prihoda. Turizam ostvaruje veće udjele neto izvoza od sektora programiranja sve do 2015. godine ali i nakon 2016. godine. Trend pokazuje da programiranje ostvaruje sve bolje izvozne performanse, dok su neto izvozne performanse sektora turizma stabilne. Iako se izvozni potencijal ističe kao glavni faktor važnosti turizma, očito je da programiranje prema istom zaslužuje istu potporu iz javnih resursa. Sektor industrije bilježi u prosjeku slične iznose neto izvoza kao i programiranje.</w:t>
      </w:r>
    </w:p>
    <w:tbl>
      <w:tblPr>
        <w:tblStyle w:val="Table"/>
        <w:tblW w:type="pct" w:w="5000"/>
        <w:tblLook w:firstRow="0" w:lastRow="0" w:firstColumn="0" w:lastColumn="0" w:noHBand="0" w:noVBand="0" w:val="0000"/>
      </w:tblPr>
      <w:tblGrid>
        <w:gridCol w:w="7920"/>
      </w:tblGrid>
      <w:tr>
        <w:tc>
          <w:tcPr/>
          <w:bookmarkStart w:id="78" w:name="fig-dvp-3s"/>
          <w:p>
            <w:pPr>
              <w:pStyle w:val="Figure"/>
              <w:jc w:val="center"/>
            </w:pPr>
            <w:r>
              <w:drawing>
                <wp:inline>
                  <wp:extent cx="5334000" cy="4148666"/>
                  <wp:effectExtent b="0" l="0" r="0" t="0"/>
                  <wp:docPr descr="" title="" id="76" name="Picture"/>
                  <a:graphic>
                    <a:graphicData uri="http://schemas.openxmlformats.org/drawingml/2006/picture">
                      <pic:pic>
                        <pic:nvPicPr>
                          <pic:cNvPr descr="opatija2022_files/figure-docx/fig-dvp-3s-1.png" id="77" name="Picture"/>
                          <pic:cNvPicPr>
                            <a:picLocks noChangeArrowheads="1" noChangeAspect="1"/>
                          </pic:cNvPicPr>
                        </pic:nvPicPr>
                        <pic:blipFill>
                          <a:blip r:embed="rId7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13: Omjer dodane vrijednosti i prihoda za sektor turizma, sektor programiranja i prerađivački sektor u RH za razdoblje 2000-2019</w:t>
            </w:r>
          </w:p>
          <w:bookmarkEnd w:id="78"/>
        </w:tc>
      </w:tr>
    </w:tbl>
    <w:p>
      <w:pPr>
        <w:pStyle w:val="BodyText"/>
      </w:pPr>
      <w:r>
        <w:t xml:space="preserve">Na grafikonu [@-fig-dvp-3s] je prikazano i kretanje agregatne dodane nove vrijednosti u odnosu na ukupne prihode za razdoblje 2001-2019. Sektor programiranja je bilježio veće vrijednosti između 2007. i 2015. godine, nakon čega veće vrijednosti bilježi turizam .Ukupno gledajući, može se reći da oba sektora u prosjeku ostvaruju podjednake razine dodane vrijednosti u odnosu na ukupne prihode, ali i da turizam pokazuje znatno veću volatilnost.SEktor industrije, s druge strane, ostvaruje znatno manje vrijednosti pokazatelja.</w:t>
      </w:r>
    </w:p>
    <w:p>
      <w:pPr>
        <w:pStyle w:val="BodyText"/>
      </w:pPr>
      <w:r>
        <w:t xml:space="preserve">Analiza heterogenosti poslovnih subjekata iz pojedinih sektora može pružiti dodatan uvid o naravi promjena ekonomske strukture u RH. Stoga je tablici 1 prikazan pokazatelj heterogenosti u vidu koncentracije osnovnih varijabli. Koncentraciju je izračunata kao udio prihoda, izvoza, dodane vrijednosti i ukupnim prihoda za 99% i 95% poslovnih subjekata sa najvećim udjelom istih varijabli. Izračunuključuje za 2019. godinu, a provedena je za sektore programiranja, industrije i turizma.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Djelatnost</w:t>
            </w:r>
          </w:p>
        </w:tc>
        <w:tc>
          <w:tcPr/>
          <w:p>
            <w:pPr>
              <w:pStyle w:val="Compact"/>
              <w:jc w:val="right"/>
            </w:pPr>
            <w:r>
              <w:t xml:space="preserve">DV 95pct</w:t>
            </w:r>
          </w:p>
        </w:tc>
        <w:tc>
          <w:tcPr/>
          <w:p>
            <w:pPr>
              <w:pStyle w:val="Compact"/>
              <w:jc w:val="right"/>
            </w:pPr>
            <w:r>
              <w:t xml:space="preserve">DV 99pct</w:t>
            </w:r>
          </w:p>
        </w:tc>
        <w:tc>
          <w:tcPr/>
          <w:p>
            <w:pPr>
              <w:pStyle w:val="Compact"/>
              <w:jc w:val="right"/>
            </w:pPr>
            <w:r>
              <w:t xml:space="preserve">ZAP 95pct</w:t>
            </w:r>
          </w:p>
        </w:tc>
        <w:tc>
          <w:tcPr/>
          <w:p>
            <w:pPr>
              <w:pStyle w:val="Compact"/>
              <w:jc w:val="right"/>
            </w:pPr>
            <w:r>
              <w:t xml:space="preserve">ZAP 99pct</w:t>
            </w:r>
          </w:p>
        </w:tc>
        <w:tc>
          <w:tcPr/>
          <w:p>
            <w:pPr>
              <w:pStyle w:val="Compact"/>
              <w:jc w:val="right"/>
            </w:pPr>
            <w:r>
              <w:t xml:space="preserve">IZVOZ 95pct</w:t>
            </w:r>
          </w:p>
        </w:tc>
        <w:tc>
          <w:tcPr/>
          <w:p>
            <w:pPr>
              <w:pStyle w:val="Compact"/>
              <w:jc w:val="right"/>
            </w:pPr>
            <w:r>
              <w:t xml:space="preserve">IZVOZ 99pct</w:t>
            </w:r>
          </w:p>
        </w:tc>
        <w:tc>
          <w:tcPr/>
          <w:p>
            <w:pPr>
              <w:pStyle w:val="Compact"/>
              <w:jc w:val="right"/>
            </w:pPr>
            <w:r>
              <w:t xml:space="preserve">PRIHOD 95pct</w:t>
            </w:r>
          </w:p>
        </w:tc>
        <w:tc>
          <w:tcPr/>
          <w:p>
            <w:pPr>
              <w:pStyle w:val="Compact"/>
              <w:jc w:val="right"/>
            </w:pPr>
            <w:r>
              <w:t xml:space="preserve">PRIHOD 99pct</w:t>
            </w:r>
          </w:p>
        </w:tc>
      </w:tr>
      <w:tr>
        <w:tc>
          <w:tcPr/>
          <w:p>
            <w:pPr>
              <w:pStyle w:val="Compact"/>
              <w:jc w:val="left"/>
            </w:pPr>
            <w:r>
              <w:t xml:space="preserve">Industrija</w:t>
            </w:r>
          </w:p>
        </w:tc>
        <w:tc>
          <w:tcPr/>
          <w:p>
            <w:pPr>
              <w:pStyle w:val="Compact"/>
              <w:jc w:val="right"/>
            </w:pPr>
            <w:r>
              <w:t xml:space="preserve">84.02</w:t>
            </w:r>
          </w:p>
        </w:tc>
        <w:tc>
          <w:tcPr/>
          <w:p>
            <w:pPr>
              <w:pStyle w:val="Compact"/>
              <w:jc w:val="right"/>
            </w:pPr>
            <w:r>
              <w:t xml:space="preserve">59.92</w:t>
            </w:r>
          </w:p>
        </w:tc>
        <w:tc>
          <w:tcPr/>
          <w:p>
            <w:pPr>
              <w:pStyle w:val="Compact"/>
              <w:jc w:val="right"/>
            </w:pPr>
            <w:r>
              <w:t xml:space="preserve">74.20</w:t>
            </w:r>
          </w:p>
        </w:tc>
        <w:tc>
          <w:tcPr/>
          <w:p>
            <w:pPr>
              <w:pStyle w:val="Compact"/>
              <w:jc w:val="right"/>
            </w:pPr>
            <w:r>
              <w:t xml:space="preserve">47.23</w:t>
            </w:r>
          </w:p>
        </w:tc>
        <w:tc>
          <w:tcPr/>
          <w:p>
            <w:pPr>
              <w:pStyle w:val="Compact"/>
              <w:jc w:val="right"/>
            </w:pPr>
            <w:r>
              <w:t xml:space="preserve">97.41</w:t>
            </w:r>
          </w:p>
        </w:tc>
        <w:tc>
          <w:tcPr/>
          <w:p>
            <w:pPr>
              <w:pStyle w:val="Compact"/>
              <w:jc w:val="right"/>
            </w:pPr>
            <w:r>
              <w:t xml:space="preserve">80.08</w:t>
            </w:r>
          </w:p>
        </w:tc>
        <w:tc>
          <w:tcPr/>
          <w:p>
            <w:pPr>
              <w:pStyle w:val="Compact"/>
              <w:jc w:val="right"/>
            </w:pPr>
            <w:r>
              <w:t xml:space="preserve">86.20</w:t>
            </w:r>
          </w:p>
        </w:tc>
        <w:tc>
          <w:tcPr/>
          <w:p>
            <w:pPr>
              <w:pStyle w:val="Compact"/>
              <w:jc w:val="right"/>
            </w:pPr>
            <w:r>
              <w:t xml:space="preserve">64.60</w:t>
            </w:r>
          </w:p>
        </w:tc>
      </w:tr>
      <w:tr>
        <w:tc>
          <w:tcPr/>
          <w:p>
            <w:pPr>
              <w:pStyle w:val="Compact"/>
              <w:jc w:val="left"/>
            </w:pPr>
            <w:r>
              <w:t xml:space="preserve">Programiranje</w:t>
            </w:r>
          </w:p>
        </w:tc>
        <w:tc>
          <w:tcPr/>
          <w:p>
            <w:pPr>
              <w:pStyle w:val="Compact"/>
              <w:jc w:val="right"/>
            </w:pPr>
            <w:r>
              <w:t xml:space="preserve">67.01</w:t>
            </w:r>
          </w:p>
        </w:tc>
        <w:tc>
          <w:tcPr/>
          <w:p>
            <w:pPr>
              <w:pStyle w:val="Compact"/>
              <w:jc w:val="right"/>
            </w:pPr>
            <w:r>
              <w:t xml:space="preserve">32.23</w:t>
            </w:r>
          </w:p>
        </w:tc>
        <w:tc>
          <w:tcPr/>
          <w:p>
            <w:pPr>
              <w:pStyle w:val="Compact"/>
              <w:jc w:val="right"/>
            </w:pPr>
            <w:r>
              <w:t xml:space="preserve">44.68</w:t>
            </w:r>
          </w:p>
        </w:tc>
        <w:tc>
          <w:tcPr/>
          <w:p>
            <w:pPr>
              <w:pStyle w:val="Compact"/>
              <w:jc w:val="right"/>
            </w:pPr>
            <w:r>
              <w:t xml:space="preserve">14.52</w:t>
            </w:r>
          </w:p>
        </w:tc>
        <w:tc>
          <w:tcPr/>
          <w:p>
            <w:pPr>
              <w:pStyle w:val="Compact"/>
              <w:jc w:val="right"/>
            </w:pPr>
            <w:r>
              <w:t xml:space="preserve">82.01</w:t>
            </w:r>
          </w:p>
        </w:tc>
        <w:tc>
          <w:tcPr/>
          <w:p>
            <w:pPr>
              <w:pStyle w:val="Compact"/>
              <w:jc w:val="right"/>
            </w:pPr>
            <w:r>
              <w:t xml:space="preserve">33.14</w:t>
            </w:r>
          </w:p>
        </w:tc>
        <w:tc>
          <w:tcPr/>
          <w:p>
            <w:pPr>
              <w:pStyle w:val="Compact"/>
              <w:jc w:val="right"/>
            </w:pPr>
            <w:r>
              <w:t xml:space="preserve">63.51</w:t>
            </w:r>
          </w:p>
        </w:tc>
        <w:tc>
          <w:tcPr/>
          <w:p>
            <w:pPr>
              <w:pStyle w:val="Compact"/>
              <w:jc w:val="right"/>
            </w:pPr>
            <w:r>
              <w:t xml:space="preserve">32.18</w:t>
            </w:r>
          </w:p>
        </w:tc>
      </w:tr>
      <w:tr>
        <w:tc>
          <w:tcPr/>
          <w:p>
            <w:pPr>
              <w:pStyle w:val="Compact"/>
              <w:jc w:val="left"/>
            </w:pPr>
            <w:r>
              <w:t xml:space="preserve">Turizam</w:t>
            </w:r>
          </w:p>
        </w:tc>
        <w:tc>
          <w:tcPr/>
          <w:p>
            <w:pPr>
              <w:pStyle w:val="Compact"/>
              <w:jc w:val="right"/>
            </w:pPr>
            <w:r>
              <w:t xml:space="preserve">72.09</w:t>
            </w:r>
          </w:p>
        </w:tc>
        <w:tc>
          <w:tcPr/>
          <w:p>
            <w:pPr>
              <w:pStyle w:val="Compact"/>
              <w:jc w:val="right"/>
            </w:pPr>
            <w:r>
              <w:t xml:space="preserve">56.11</w:t>
            </w:r>
          </w:p>
        </w:tc>
        <w:tc>
          <w:tcPr/>
          <w:p>
            <w:pPr>
              <w:pStyle w:val="Compact"/>
              <w:jc w:val="right"/>
            </w:pPr>
            <w:r>
              <w:t xml:space="preserve">46.05</w:t>
            </w:r>
          </w:p>
        </w:tc>
        <w:tc>
          <w:tcPr/>
          <w:p>
            <w:pPr>
              <w:pStyle w:val="Compact"/>
              <w:jc w:val="right"/>
            </w:pPr>
            <w:r>
              <w:t xml:space="preserve">30.82</w:t>
            </w:r>
          </w:p>
        </w:tc>
        <w:tc>
          <w:tcPr/>
          <w:p>
            <w:pPr>
              <w:pStyle w:val="Compact"/>
              <w:jc w:val="right"/>
            </w:pPr>
            <w:r>
              <w:t xml:space="preserve">98.81</w:t>
            </w:r>
          </w:p>
        </w:tc>
        <w:tc>
          <w:tcPr/>
          <w:p>
            <w:pPr>
              <w:pStyle w:val="Compact"/>
              <w:jc w:val="right"/>
            </w:pPr>
            <w:r>
              <w:t xml:space="preserve">83.31</w:t>
            </w:r>
          </w:p>
        </w:tc>
        <w:tc>
          <w:tcPr/>
          <w:p>
            <w:pPr>
              <w:pStyle w:val="Compact"/>
              <w:jc w:val="right"/>
            </w:pPr>
            <w:r>
              <w:t xml:space="preserve">58.61</w:t>
            </w:r>
          </w:p>
        </w:tc>
        <w:tc>
          <w:tcPr/>
          <w:p>
            <w:pPr>
              <w:pStyle w:val="Compact"/>
              <w:jc w:val="right"/>
            </w:pPr>
            <w:r>
              <w:t xml:space="preserve">37.38</w:t>
            </w:r>
          </w:p>
        </w:tc>
      </w:tr>
    </w:tbl>
    <w:p>
      <w:pPr>
        <w:pStyle w:val="BodyText"/>
      </w:pPr>
      <w:r>
        <w:t xml:space="preserve">Prema pokazatelju dodane vrijednosti, industrija i turizam imaju sličan pokazatelj koncentracije: oko 1% najvećih poduzeća po dodanoj vrijednosti generira oko 57% dodane vrijednosti. Kod programiranjaje je udio mnogo manji (32%). Ako se gleda 5% poslovinh subjekta koji generiraju najveću dodanu vrijednost, najveću koncetraciju pokazuje industrija, potom turizam i na kraju programiranje.</w:t>
      </w:r>
    </w:p>
    <w:p>
      <w:pPr>
        <w:pStyle w:val="BodyText"/>
      </w:pPr>
      <w:r>
        <w:t xml:space="preserve">Kod zaposlenosti i ukupnih prihoda postoji isti obrzac. Industrija pokazuje najveći stupanj koncetracije, slijedi turizam, pa programiranje. Izvoz općenito pokazuje najveći stupanj koncetracije kod svih djelatnosti. Kod turizma, 1% poduzeća koje najviše izvoze generiraju 83% ukupnog izvoza, dok je kod programiranja taj broj 33%, a kod industrije 80%. Ako se gleda 5% poduzeća koje najviše izvoze, kod turizma je ta brojka 99%, a kod programiranja 82%. Može se zaključiti da sektor programiranja karakterizira niži stupanj koncetracije, odnosno veći stupanj unutarsektorske konkurentnosti.</w:t>
      </w:r>
    </w:p>
    <w:bookmarkEnd w:id="79"/>
    <w:bookmarkStart w:id="80" w:name="zaključak"/>
    <w:p>
      <w:pPr>
        <w:pStyle w:val="Heading2"/>
      </w:pPr>
      <w:r>
        <w:t xml:space="preserve">Zaključak</w:t>
      </w:r>
    </w:p>
    <w:bookmarkEnd w:id="80"/>
    <w:bookmarkStart w:id="81" w:name="literatura"/>
    <w:p>
      <w:pPr>
        <w:pStyle w:val="Heading2"/>
      </w:pPr>
      <w:r>
        <w:t xml:space="preserve">Literatura</w:t>
      </w:r>
    </w:p>
    <w:p>
      <w:pPr>
        <w:pStyle w:val="FirstParagraph"/>
      </w:pPr>
      <w:r>
        <w:t xml:space="preserve">Akrap, A. (2011). Sektor zaposlenosti žena i fertilitet u Hrvatskoj. Društvena istraživanja, 20(1): 3–23. https://doi.org/10.5559/di.20.1.01.</w:t>
      </w:r>
      <w:r>
        <w:t xml:space="preserve"> </w:t>
      </w:r>
      <w:r>
        <w:t xml:space="preserve">Bara, M.; Podgorelac, S. (2015). Društvene teorije umirovljenja i produktivnog starenja. Etnološka tribina: Godišnjak Hrvatskog etnološkog društva, 45 (38): 58–71. https://doi.org/10.15378/1848-9540.2015.38.02</w:t>
      </w:r>
      <w:r>
        <w:t xml:space="preserve"> </w:t>
      </w:r>
      <w:r>
        <w:t xml:space="preserve">Baumol, W. J. (1967). MacroEconomics of Unbalanced Growth-The Anatomy of Urban Cities. American Economic Review. 57.</w:t>
      </w:r>
      <w:r>
        <w:t xml:space="preserve"> </w:t>
      </w:r>
      <w:r>
        <w:t xml:space="preserve">Castells, M. (2000). Uspon umreženog društva, Zagreb, Golden Marketing.</w:t>
      </w:r>
      <w:r>
        <w:t xml:space="preserve"> </w:t>
      </w:r>
      <w:r>
        <w:t xml:space="preserve">Clark, C. (1957). The Conditions of Economic Progress, London, Macmilan.</w:t>
      </w:r>
      <w:r>
        <w:t xml:space="preserve"> </w:t>
      </w:r>
      <w:r>
        <w:t xml:space="preserve">Dasgupta, Sukti; Singh, Ajit (2006). Manufacturing, Services and Premature Deindustrialization in Developing Countries: A Kaldorian Analysis. Research Paper 2006/49. Helsinki: UNU-WIDER.</w:t>
      </w:r>
      <w:r>
        <w:t xml:space="preserve"> </w:t>
      </w:r>
      <w:r>
        <w:t xml:space="preserve">Elfring, T. (1988). Service Employment in Advanced Economies. A Comparative Analysis of Its Implications for Economic Growth. Groningen: Rijksuniversiteit Groningen.</w:t>
      </w:r>
      <w:r>
        <w:t xml:space="preserve"> </w:t>
      </w:r>
      <w:r>
        <w:t xml:space="preserve">Felipe, J.; Mehta, A.; Rhee, C. (2014).</w:t>
      </w:r>
      <w:r>
        <w:t xml:space="preserve"> </w:t>
      </w:r>
      <w:r>
        <w:t xml:space="preserve">“</w:t>
      </w:r>
      <w:r>
        <w:t xml:space="preserve">Manufacturing Matters… But It’s the Jobs that Count</w:t>
      </w:r>
      <w:r>
        <w:t xml:space="preserve">”</w:t>
      </w:r>
      <w:r>
        <w:t xml:space="preserve">, Asian Development Bank Economics Working Paper Series, (420), doi: 10.2139/ssrn.2558904.</w:t>
      </w:r>
      <w:r>
        <w:t xml:space="preserve"> </w:t>
      </w:r>
      <w:r>
        <w:t xml:space="preserve">Fisher, I. (1939). Production, primary, secondary and tertiary, Economic Record 15, June, 24-38.</w:t>
      </w:r>
      <w:r>
        <w:t xml:space="preserve"> </w:t>
      </w:r>
      <w:r>
        <w:t xml:space="preserve">Francois, Joseph; Reinert, Kenneth. (1995). The Role of Services in the Structure of Production and Trade: Stylized Facts from a Cross-Country Analysis. Asia-Pacific, Economic Review. (2).</w:t>
      </w:r>
      <w:r>
        <w:t xml:space="preserve"> </w:t>
      </w:r>
      <w:r>
        <w:t xml:space="preserve">Fuchs, V. R. (1968). The Service Economy, New York: National Bureau of Economic Research</w:t>
      </w:r>
      <w:r>
        <w:t xml:space="preserve"> </w:t>
      </w:r>
      <w:r>
        <w:t xml:space="preserve">Gelo, T. i Družić, M. 2016.</w:t>
      </w:r>
      <w:r>
        <w:t xml:space="preserve"> </w:t>
      </w:r>
      <w:r>
        <w:t xml:space="preserve">‘</w:t>
      </w:r>
      <w:r>
        <w:t xml:space="preserve">Sektorska struktura gospodarstva Hrvatske</w:t>
      </w:r>
      <w:r>
        <w:t xml:space="preserve">’</w:t>
      </w:r>
      <w:r>
        <w:t xml:space="preserve">. U Gospodarstvo Hrvatske, A. Obadić i J. Tica (ur.). Zagreb: Ekonomski fakultet Sveučilišta u Zagrebu</w:t>
      </w:r>
      <w:r>
        <w:t xml:space="preserve"> </w:t>
      </w:r>
      <w:r>
        <w:t xml:space="preserve">Hall, Peter A.; Soskice, David (2001). Varieties of Capitalism: The Institutional Foundations of Comparative Advantage. Oxford: Oxford University Press.</w:t>
      </w:r>
      <w:r>
        <w:t xml:space="preserve"> </w:t>
      </w:r>
      <w:r>
        <w:t xml:space="preserve">Herrendorf, B.; Rogerson, R; Valentinyi, A. (2014). Growth and structural transformation. In: Aghion, P., Durlauf, S. N. (Eds.), Handbook of Economic Growth. Elsevier.</w:t>
      </w:r>
      <w:r>
        <w:t xml:space="preserve"> </w:t>
      </w:r>
      <w:r>
        <w:t xml:space="preserve">Krüger, J. J. (2008). Productivity and structural change: a review of the literature. J. Econ. Surv. 22 (2), 330–363.</w:t>
      </w:r>
      <w:r>
        <w:t xml:space="preserve"> </w:t>
      </w:r>
      <w:r>
        <w:t xml:space="preserve">Majetić, Filip (2015). Zagreb u postindustrijsko doba. Zagreb: Institut društvenih znanosti Ivo Pilar.</w:t>
      </w:r>
      <w:r>
        <w:t xml:space="preserve"> </w:t>
      </w:r>
      <w:r>
        <w:t xml:space="preserve">Matković, T. (2003). Restrukturiranje rada? Transformacija strukture zaposlenosti. Revija za socijalnu politiku, 10(2), 161-184. DOI: 10.3935/rsp.v10i2.125</w:t>
      </w:r>
      <w:r>
        <w:t xml:space="preserve"> </w:t>
      </w:r>
      <w:r>
        <w:t xml:space="preserve">Nejašmić, I.; Toskić, A. (2013). Starenje stanovništva u Hrvatskoj – sadašnje stanje i perspektive. Hrvtaski geografski glasnik, 75 (1), 89 –110.</w:t>
      </w:r>
      <w:r>
        <w:t xml:space="preserve"> </w:t>
      </w:r>
      <w:r>
        <w:t xml:space="preserve">Peračković, K. (2010). (Za)što raditi u postindustrijskom društvu? – Promjene u društvenoj podjeli rada na početku 21. stoljeća, Zagreb, Alinea i Institut društvenih znanosti «Ivo Pilar».</w:t>
      </w:r>
      <w:r>
        <w:t xml:space="preserve"> </w:t>
      </w:r>
      <w:r>
        <w:t xml:space="preserve">Pilat , D.; Wölfl, A. (2005). Measuring the Interaction Between Manufacturing and Services. OECD, Paris (Working Paper, 2005/5).</w:t>
      </w:r>
      <w:r>
        <w:t xml:space="preserve"> </w:t>
      </w:r>
      <w:r>
        <w:t xml:space="preserve">Pilat, Dirk &amp; Woelfl, Anita. (2005). Measuring the Interaction Between Manufacturing and Services. SSRN Electronic Journal. 10.2139/ssrn.1690954.</w:t>
      </w:r>
      <w:r>
        <w:t xml:space="preserve"> </w:t>
      </w:r>
      <w:r>
        <w:t xml:space="preserve">Puljiz, V. (2000). Starenje stanovništva Europe. Dokumentacija. Revija za socijalnu politiku, 7 (1), 109-112. http://dx.doi.org/10.3935/rsp.v7i1.278</w:t>
      </w:r>
      <w:r>
        <w:t xml:space="preserve"> </w:t>
      </w:r>
      <w:r>
        <w:t xml:space="preserve">Rodrik,Dani 2016.</w:t>
      </w:r>
      <w:r>
        <w:t xml:space="preserve"> </w:t>
      </w:r>
      <w:r>
        <w:t xml:space="preserve">“</w:t>
      </w:r>
      <w:r>
        <w:t xml:space="preserve">Premature deindustrialization,</w:t>
      </w:r>
      <w:r>
        <w:t xml:space="preserve">”</w:t>
      </w:r>
      <w:r>
        <w:t xml:space="preserve"> </w:t>
      </w:r>
      <w:r>
        <w:t xml:space="preserve">Journal of Economic Growth, Springer, vol. 21(1), pages 1-33, March.</w:t>
      </w:r>
      <w:r>
        <w:t xml:space="preserve"> </w:t>
      </w:r>
      <w:r>
        <w:t xml:space="preserve">Rostow, W. W. (1997). The Stages of Economic Growth: A Non-Communist manifesto, Cambridge, University Press.</w:t>
      </w:r>
      <w:r>
        <w:t xml:space="preserve"> </w:t>
      </w:r>
      <w:r>
        <w:t xml:space="preserve">Rowthorn, Robert and Coutts, Kenneth, (2004), De-industrialisation and the balance of payments in advanced economies, Cambridge Journal of Economics, 28, issue 5, p. 767-790.</w:t>
      </w:r>
      <w:r>
        <w:t xml:space="preserve"> </w:t>
      </w:r>
      <w:r>
        <w:t xml:space="preserve">Schettkat, R. (2002). The Two Blades of the Scissors: The Interaction Between Demand and Supply in Market Economies. (Manuscript).</w:t>
      </w:r>
      <w:r>
        <w:t xml:space="preserve"> </w:t>
      </w:r>
      <w:r>
        <w:t xml:space="preserve">Singelmann, J. (1978). From Agriculture to Services. The Transformation of Industrial Employment. Beverly Hills: Sage Publications.</w:t>
      </w:r>
      <w:r>
        <w:t xml:space="preserve"> </w:t>
      </w:r>
      <w:r>
        <w:t xml:space="preserve">Summers, R. (1985).</w:t>
      </w:r>
      <w:r>
        <w:t xml:space="preserve"> </w:t>
      </w:r>
      <w:r>
        <w:t xml:space="preserve">‘</w:t>
      </w:r>
      <w:r>
        <w:t xml:space="preserve">Services in the International Economy</w:t>
      </w:r>
      <w:r>
        <w:t xml:space="preserve">’</w:t>
      </w:r>
      <w:r>
        <w:t xml:space="preserve">. In: Inman, R.P (ed.) Managing the Service Economy. Cambridge: CUP. pp. 27–48.</w:t>
      </w:r>
      <w:r>
        <w:t xml:space="preserve"> </w:t>
      </w:r>
      <w:r>
        <w:t xml:space="preserve">Wertheimer-Baletić, A., 2017. Demografska teorija, razvoj stanovništva Hrvatske i populacijska politika (izabrana djela). Samobor: Meridijani.</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strukturnih promjena u sektorima međunarodno utrživih proizvoda i usluga</dc:title>
  <dc:creator>Prof. dr. sc. Josip Tica</dc:creator>
  <cp:keywords/>
  <dcterms:created xsi:type="dcterms:W3CDTF">2022-09-16T13:14:16Z</dcterms:created>
  <dcterms:modified xsi:type="dcterms:W3CDTF">2022-09-16T13:14:16Z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