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Divisional Manager – Permanent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Divisional Manager is responsible for the commercial performance, growth and leadership of a defined recruitment division.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Divisional Managers drive revenue performance through strong leadership, strategic client development and the development of high-performing recruitment teams.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Division Leadership &amp; Performance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Lead and develop a team of consultants, team leaders and sector leads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Drive revenue, activity and performance standards across the division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Monitor division performance against revenue targets and growth plans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Provide leadership, direction and accountability for team performance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Commercial Strategy &amp; Growth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Develop and execute the commercial strategy for the division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Identify growth opportunities within existing client accounts and new markets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Support senior consultants and leaders in developing strategic client relationships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Ensure strong pipeline visibility and revenue forecasting across the division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Leadership &amp; Development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Recruit, develop and retain high-performing consultants and leaders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Support leadership capability within team leaders and sector leads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Provide coaching, guidance and performance management where required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Build a high-performance culture within the division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Development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Develop and maintain strategic relationships with key clients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Support teams with complex recruitment processes and major accounts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Position the business as a specialist partner within the market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Standards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Maintain accurate reporting across the division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Ensure recruitment processes, compliance and operational standards are followed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Maintain visibility of pipeline, activity and performance metrics across the division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Performance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Achieving or exceeding divisional revenue targets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Delivering consistent revenue growth across the division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Supporting strong billing performance across consultants and teams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Division Growth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Expanding client relationships and market presence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Building a sustainable pipeline of opportunities across the division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Developing new revenue streams or sectors where appropriate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Leadership &amp; Team Performance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Developing high-performing consultants and team leaders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Supporting progression and promotion across the division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Building a strong performance culture and accountability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Maintaining strong strategic relationships with key clients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Ensuring high-quality recruitment delivery across the division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Maintaining accurate reporting and forecasting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Ensuring compliance and recruitment standards are consistently followed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Operating with strong organisation, leadership and communication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Divisional Managers are expected to demonstrate: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Strategic Leadership – setting direction and driving performance across the division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Commercial Ownership – full accountability for divisional revenue and growth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Leadership Development – developing future leaders within the business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Resilience – maintaining performance through market challenges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Role Modelling – consistently demonstrating the behaviours and standards expected across the business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Divisional Managers are also expected to consistently demonstrate our 6 DNA values: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Disciplined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Resilient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At Divisional Manager level these values are demonstrated through leadership, strategic thinking and accountability for the success of the wider division.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Probation confirms employability at Divisional Manager level.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Evidence of leadership capability and commercial performance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Ability to drive team performance and growth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Strategic client development capability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Behaviour alignment with company standards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 Director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Individuals are expected to show evidence that they are already operating at the level above their current position before promotion is considered.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This includes demonstrating consistent performance, behavioural alignment with company values and the ability to operate successfully at the increased level of responsibility required in the next role.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is typically considered once an individual is consistently operating at the level above their current position.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Promotion decisions are based on sustained commercial performance, leadership capability and readiness to operate at the next level of responsibility.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Sustained performance aligned with the commercial expectations of the role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Evidence of driving strong team or divisional performance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Consistent alignment with company values and behavioural standards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Demonstrated capability to operate successfully at the next level within the career pathway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