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6C449">
      <w:pPr>
        <w:keepNext w:val="0"/>
        <w:keepLines w:val="0"/>
        <w:pageBreakBefore w:val="0"/>
        <w:widowControl w:val="0"/>
        <w:kinsoku/>
        <w:wordWrap/>
        <w:overflowPunct/>
        <w:topLinePunct w:val="0"/>
        <w:bidi w:val="0"/>
        <w:adjustRightInd/>
        <w:snapToGrid/>
        <w:spacing w:line="240" w:lineRule="auto"/>
        <w:jc w:val="center"/>
        <w:textAlignment w:val="auto"/>
        <w:outlineLvl w:val="0"/>
        <w:rPr>
          <w:rFonts w:hint="eastAsia" w:ascii="方正小标宋简体" w:hAnsi="方正小标宋简体" w:eastAsia="方正小标宋简体" w:cs="方正小标宋简体"/>
          <w:b w:val="0"/>
          <w:bCs w:val="0"/>
          <w:sz w:val="44"/>
          <w:szCs w:val="44"/>
          <w:highlight w:val="none"/>
        </w:rPr>
      </w:pPr>
      <w:bookmarkStart w:id="32" w:name="_GoBack"/>
      <w:bookmarkEnd w:id="32"/>
      <w:r>
        <w:rPr>
          <w:rFonts w:hint="eastAsia" w:ascii="方正小标宋简体" w:hAnsi="方正小标宋简体" w:eastAsia="方正小标宋简体" w:cs="方正小标宋简体"/>
          <w:sz w:val="44"/>
          <w:szCs w:val="44"/>
          <w:highlight w:val="none"/>
          <w:u w:val="single"/>
          <w:lang w:val="en-US" w:eastAsia="zh-CN"/>
        </w:rPr>
        <w:t xml:space="preserve">   </w:t>
      </w:r>
      <w:bookmarkStart w:id="0" w:name="_Toc20630"/>
      <w:bookmarkStart w:id="1" w:name="_Toc18917"/>
      <w:r>
        <w:rPr>
          <w:rFonts w:hint="eastAsia" w:ascii="方正小标宋简体" w:hAnsi="方正小标宋简体" w:eastAsia="方正小标宋简体" w:cs="方正小标宋简体"/>
          <w:b w:val="0"/>
          <w:bCs w:val="0"/>
          <w:sz w:val="44"/>
          <w:szCs w:val="44"/>
          <w:highlight w:val="none"/>
          <w:u w:val="single"/>
          <w:lang w:val="en-US" w:eastAsia="zh-CN"/>
        </w:rPr>
        <w:t xml:space="preserve">（招标采购项目名称）  </w:t>
      </w:r>
      <w:r>
        <w:rPr>
          <w:rFonts w:hint="eastAsia" w:ascii="方正小标宋简体" w:hAnsi="方正小标宋简体" w:eastAsia="方正小标宋简体" w:cs="方正小标宋简体"/>
          <w:b w:val="0"/>
          <w:bCs w:val="0"/>
          <w:sz w:val="44"/>
          <w:szCs w:val="44"/>
          <w:highlight w:val="none"/>
        </w:rPr>
        <w:t>立项说明</w:t>
      </w:r>
      <w:bookmarkEnd w:id="0"/>
      <w:bookmarkEnd w:id="1"/>
    </w:p>
    <w:p w14:paraId="21290355">
      <w:pPr>
        <w:keepNext w:val="0"/>
        <w:keepLines w:val="0"/>
        <w:pageBreakBefore w:val="0"/>
        <w:widowControl w:val="0"/>
        <w:tabs>
          <w:tab w:val="left" w:pos="240"/>
        </w:tabs>
        <w:kinsoku/>
        <w:wordWrap/>
        <w:overflowPunct/>
        <w:topLinePunct w:val="0"/>
        <w:autoSpaceDE w:val="0"/>
        <w:autoSpaceDN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（采购项目名称应当简洁并准确体现采购内容，不得采用**计划、**合同、**费用、**采购项目等命名；多年重复实施的项目应在名称前加年份。） </w:t>
      </w:r>
    </w:p>
    <w:p w14:paraId="0D456BD6">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0"/>
        <w:rPr>
          <w:rFonts w:hint="eastAsia" w:ascii="黑体" w:hAnsi="黑体" w:eastAsia="黑体" w:cs="黑体"/>
          <w:b w:val="0"/>
          <w:bCs w:val="0"/>
          <w:sz w:val="32"/>
          <w:szCs w:val="32"/>
          <w:highlight w:val="none"/>
        </w:rPr>
      </w:pPr>
      <w:bookmarkStart w:id="2" w:name="_Toc26479"/>
      <w:bookmarkStart w:id="3" w:name="_Toc14483"/>
      <w:r>
        <w:rPr>
          <w:rFonts w:hint="eastAsia" w:ascii="黑体" w:hAnsi="黑体" w:eastAsia="黑体" w:cs="黑体"/>
          <w:b w:val="0"/>
          <w:bCs w:val="0"/>
          <w:sz w:val="32"/>
          <w:szCs w:val="32"/>
          <w:highlight w:val="none"/>
        </w:rPr>
        <w:t>一、概述</w:t>
      </w:r>
      <w:bookmarkEnd w:id="2"/>
      <w:bookmarkEnd w:id="3"/>
    </w:p>
    <w:p w14:paraId="07F95126">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lang w:eastAsia="zh-CN"/>
        </w:rPr>
      </w:pPr>
      <w:bookmarkStart w:id="4" w:name="_Toc23951"/>
      <w:bookmarkStart w:id="5" w:name="_Toc21073"/>
      <w:r>
        <w:rPr>
          <w:rFonts w:hint="eastAsia" w:ascii="方正仿宋简体" w:hAnsi="方正仿宋简体" w:eastAsia="方正仿宋简体" w:cs="方正仿宋简体"/>
          <w:b w:val="0"/>
          <w:bCs w:val="0"/>
          <w:sz w:val="32"/>
          <w:szCs w:val="32"/>
          <w:highlight w:val="none"/>
        </w:rPr>
        <w:t>1.项目</w:t>
      </w:r>
      <w:r>
        <w:rPr>
          <w:rFonts w:hint="eastAsia" w:ascii="方正仿宋简体" w:hAnsi="方正仿宋简体" w:eastAsia="方正仿宋简体" w:cs="方正仿宋简体"/>
          <w:b w:val="0"/>
          <w:bCs w:val="0"/>
          <w:sz w:val="32"/>
          <w:szCs w:val="32"/>
          <w:highlight w:val="none"/>
          <w:lang w:val="en-US" w:eastAsia="zh-CN"/>
        </w:rPr>
        <w:t>简介</w:t>
      </w:r>
      <w:bookmarkEnd w:id="4"/>
      <w:bookmarkEnd w:id="5"/>
    </w:p>
    <w:p w14:paraId="5F45B53B">
      <w:pPr>
        <w:keepNext w:val="0"/>
        <w:keepLines w:val="0"/>
        <w:pageBreakBefore w:val="0"/>
        <w:widowControl w:val="0"/>
        <w:tabs>
          <w:tab w:val="left" w:pos="240"/>
        </w:tabs>
        <w:kinsoku/>
        <w:wordWrap/>
        <w:overflowPunct/>
        <w:topLinePunct w:val="0"/>
        <w:autoSpaceDE w:val="0"/>
        <w:autoSpaceDN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(简要说明采购背景、目的。） </w:t>
      </w:r>
    </w:p>
    <w:p w14:paraId="7198BC77">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u w:val="single"/>
          <w:lang w:val="en-US" w:eastAsia="zh-CN"/>
        </w:rPr>
      </w:pPr>
      <w:r>
        <w:rPr>
          <w:rFonts w:hint="eastAsia" w:ascii="方正仿宋简体" w:hAnsi="方正仿宋简体" w:eastAsia="方正仿宋简体" w:cs="方正仿宋简体"/>
          <w:b w:val="0"/>
          <w:bCs w:val="0"/>
          <w:sz w:val="32"/>
          <w:szCs w:val="32"/>
          <w:highlight w:val="none"/>
          <w:u w:val="single"/>
          <w:lang w:val="en-US" w:eastAsia="zh-CN"/>
        </w:rPr>
        <w:t xml:space="preserve">                         </w:t>
      </w:r>
    </w:p>
    <w:p w14:paraId="3084CCBB">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lang w:val="en-US" w:eastAsia="zh-CN"/>
        </w:rPr>
      </w:pPr>
      <w:bookmarkStart w:id="6" w:name="_Toc9463"/>
      <w:bookmarkStart w:id="7" w:name="_Toc3487"/>
      <w:r>
        <w:rPr>
          <w:rFonts w:hint="eastAsia" w:ascii="方正仿宋简体" w:hAnsi="方正仿宋简体" w:eastAsia="方正仿宋简体" w:cs="方正仿宋简体"/>
          <w:b w:val="0"/>
          <w:bCs w:val="0"/>
          <w:sz w:val="32"/>
          <w:szCs w:val="32"/>
          <w:highlight w:val="none"/>
          <w:lang w:val="en-US" w:eastAsia="zh-CN"/>
        </w:rPr>
        <w:t>2.开展采购工作的必要性和方案的可行性</w:t>
      </w:r>
      <w:bookmarkEnd w:id="6"/>
      <w:bookmarkEnd w:id="7"/>
    </w:p>
    <w:p w14:paraId="3E41A8BC">
      <w:pPr>
        <w:keepNext w:val="0"/>
        <w:keepLines w:val="0"/>
        <w:pageBreakBefore w:val="0"/>
        <w:widowControl w:val="0"/>
        <w:tabs>
          <w:tab w:val="left" w:pos="240"/>
        </w:tabs>
        <w:kinsoku/>
        <w:wordWrap/>
        <w:overflowPunct/>
        <w:topLinePunct w:val="0"/>
        <w:autoSpaceDE w:val="0"/>
        <w:autoSpaceDN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(必要性：说明当前科技创新任务、生产或运营中存在的缺口，开展采购工作的不替代性或紧迫性。</w:t>
      </w:r>
    </w:p>
    <w:p w14:paraId="7B2303B2">
      <w:pPr>
        <w:keepNext w:val="0"/>
        <w:keepLines w:val="0"/>
        <w:pageBreakBefore w:val="0"/>
        <w:widowControl w:val="0"/>
        <w:tabs>
          <w:tab w:val="left" w:pos="240"/>
        </w:tabs>
        <w:kinsoku/>
        <w:wordWrap/>
        <w:overflowPunct/>
        <w:topLinePunct w:val="0"/>
        <w:autoSpaceDE w:val="0"/>
        <w:autoSpaceDN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   可行性：说明实施可行性，采购标的货物/服务的技术标准要求事否可实现，供应市场情况等 。如“针对本次采购的运维服务工作范围、工作权责进行充分是市场调研与沟通，确保具备相关资质的供应商能够满足调试及运行期间的各项运维要求”。) </w:t>
      </w:r>
    </w:p>
    <w:p w14:paraId="094C4B40">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u w:val="single"/>
          <w:lang w:val="en-US" w:eastAsia="zh-CN"/>
        </w:rPr>
      </w:pPr>
      <w:r>
        <w:rPr>
          <w:rFonts w:hint="eastAsia" w:ascii="方正仿宋简体" w:hAnsi="方正仿宋简体" w:eastAsia="方正仿宋简体" w:cs="方正仿宋简体"/>
          <w:b w:val="0"/>
          <w:bCs w:val="0"/>
          <w:sz w:val="32"/>
          <w:szCs w:val="32"/>
          <w:highlight w:val="none"/>
          <w:u w:val="single"/>
          <w:lang w:val="en-US" w:eastAsia="zh-CN"/>
        </w:rPr>
        <w:t xml:space="preserve">                        </w:t>
      </w:r>
    </w:p>
    <w:p w14:paraId="3E2A454B">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rPr>
      </w:pPr>
      <w:bookmarkStart w:id="8" w:name="_Toc21641"/>
      <w:bookmarkStart w:id="9" w:name="_Toc1052"/>
      <w:r>
        <w:rPr>
          <w:rFonts w:hint="eastAsia" w:ascii="方正仿宋简体" w:hAnsi="方正仿宋简体" w:eastAsia="方正仿宋简体" w:cs="方正仿宋简体"/>
          <w:b w:val="0"/>
          <w:bCs w:val="0"/>
          <w:sz w:val="32"/>
          <w:szCs w:val="32"/>
          <w:highlight w:val="none"/>
          <w:lang w:val="en-US" w:eastAsia="zh-CN"/>
        </w:rPr>
        <w:t>3</w:t>
      </w:r>
      <w:r>
        <w:rPr>
          <w:rFonts w:hint="eastAsia" w:ascii="方正仿宋简体" w:hAnsi="方正仿宋简体" w:eastAsia="方正仿宋简体" w:cs="方正仿宋简体"/>
          <w:b w:val="0"/>
          <w:bCs w:val="0"/>
          <w:sz w:val="32"/>
          <w:szCs w:val="32"/>
          <w:highlight w:val="none"/>
        </w:rPr>
        <w:t>.前置审批情况</w:t>
      </w:r>
      <w:bookmarkEnd w:id="8"/>
      <w:bookmarkEnd w:id="9"/>
    </w:p>
    <w:p w14:paraId="55134E20">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（说明开展本次采购项目审批情况。如“关于开展**采购请示签报已于**年**月**日通过院内审批或决策。”说明采购计划名称“**”为科研院25年年度/年中调整采购计划，已于25年**月下达。）</w:t>
      </w:r>
    </w:p>
    <w:p w14:paraId="1AF081BD">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u w:val="single"/>
          <w:lang w:val="en-US" w:eastAsia="zh-CN"/>
        </w:rPr>
      </w:pPr>
      <w:r>
        <w:rPr>
          <w:rFonts w:hint="eastAsia" w:ascii="方正仿宋简体" w:hAnsi="方正仿宋简体" w:eastAsia="方正仿宋简体" w:cs="方正仿宋简体"/>
          <w:b w:val="0"/>
          <w:bCs w:val="0"/>
          <w:sz w:val="32"/>
          <w:szCs w:val="32"/>
          <w:highlight w:val="none"/>
          <w:u w:val="single"/>
          <w:lang w:val="en-US" w:eastAsia="zh-CN"/>
        </w:rPr>
        <w:t xml:space="preserve">                         </w:t>
      </w:r>
    </w:p>
    <w:p w14:paraId="5FC028A9">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0"/>
        <w:rPr>
          <w:rFonts w:hint="eastAsia" w:ascii="黑体" w:hAnsi="黑体" w:eastAsia="黑体" w:cs="黑体"/>
          <w:b w:val="0"/>
          <w:bCs w:val="0"/>
          <w:sz w:val="32"/>
          <w:szCs w:val="32"/>
          <w:highlight w:val="none"/>
        </w:rPr>
      </w:pPr>
      <w:bookmarkStart w:id="10" w:name="_Toc32065"/>
      <w:bookmarkStart w:id="11" w:name="_Toc3897"/>
      <w:r>
        <w:rPr>
          <w:rFonts w:hint="eastAsia" w:ascii="黑体" w:hAnsi="黑体" w:eastAsia="黑体" w:cs="黑体"/>
          <w:b w:val="0"/>
          <w:bCs w:val="0"/>
          <w:sz w:val="32"/>
          <w:szCs w:val="32"/>
          <w:highlight w:val="none"/>
        </w:rPr>
        <w:t>二、采购内容和时间计划</w:t>
      </w:r>
      <w:bookmarkEnd w:id="10"/>
      <w:bookmarkEnd w:id="11"/>
    </w:p>
    <w:p w14:paraId="26F5ACCB">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rPr>
      </w:pPr>
      <w:bookmarkStart w:id="12" w:name="_Toc783"/>
      <w:bookmarkStart w:id="13" w:name="_Toc27136"/>
      <w:r>
        <w:rPr>
          <w:rFonts w:hint="eastAsia" w:ascii="方正仿宋简体" w:hAnsi="方正仿宋简体" w:eastAsia="方正仿宋简体" w:cs="方正仿宋简体"/>
          <w:b w:val="0"/>
          <w:bCs w:val="0"/>
          <w:sz w:val="32"/>
          <w:szCs w:val="32"/>
          <w:highlight w:val="none"/>
        </w:rPr>
        <w:t>1.采购内容</w:t>
      </w:r>
      <w:bookmarkEnd w:id="12"/>
      <w:bookmarkEnd w:id="13"/>
    </w:p>
    <w:p w14:paraId="057D53E6">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2"/>
        <w:rPr>
          <w:rFonts w:hint="eastAsia" w:ascii="方正仿宋简体" w:hAnsi="方正仿宋简体" w:eastAsia="方正仿宋简体" w:cs="方正仿宋简体"/>
          <w:b w:val="0"/>
          <w:bCs w:val="0"/>
          <w:sz w:val="32"/>
          <w:szCs w:val="32"/>
          <w:highlight w:val="none"/>
          <w:lang w:eastAsia="zh-CN"/>
        </w:rPr>
      </w:pPr>
      <w:r>
        <w:rPr>
          <w:rFonts w:hint="eastAsia" w:ascii="方正仿宋简体" w:hAnsi="方正仿宋简体" w:eastAsia="方正仿宋简体" w:cs="方正仿宋简体"/>
          <w:b w:val="0"/>
          <w:bCs w:val="0"/>
          <w:sz w:val="32"/>
          <w:szCs w:val="32"/>
          <w:highlight w:val="none"/>
        </w:rPr>
        <w:t>（1）采购范围</w:t>
      </w:r>
      <w:r>
        <w:rPr>
          <w:rFonts w:hint="eastAsia" w:ascii="方正仿宋简体" w:hAnsi="方正仿宋简体" w:eastAsia="方正仿宋简体" w:cs="方正仿宋简体"/>
          <w:b w:val="0"/>
          <w:bCs w:val="0"/>
          <w:sz w:val="32"/>
          <w:szCs w:val="32"/>
          <w:highlight w:val="none"/>
          <w:lang w:eastAsia="zh-CN"/>
        </w:rPr>
        <w:t>（</w:t>
      </w:r>
      <w:r>
        <w:rPr>
          <w:rFonts w:hint="eastAsia" w:ascii="方正仿宋简体" w:hAnsi="方正仿宋简体" w:eastAsia="方正仿宋简体" w:cs="方正仿宋简体"/>
          <w:b w:val="0"/>
          <w:bCs w:val="0"/>
          <w:sz w:val="32"/>
          <w:szCs w:val="32"/>
          <w:highlight w:val="none"/>
          <w:lang w:val="en-US" w:eastAsia="zh-CN"/>
        </w:rPr>
        <w:t>标段划分</w:t>
      </w:r>
      <w:r>
        <w:rPr>
          <w:rFonts w:hint="eastAsia" w:ascii="方正仿宋简体" w:hAnsi="方正仿宋简体" w:eastAsia="方正仿宋简体" w:cs="方正仿宋简体"/>
          <w:b w:val="0"/>
          <w:bCs w:val="0"/>
          <w:sz w:val="32"/>
          <w:szCs w:val="32"/>
          <w:highlight w:val="none"/>
          <w:lang w:eastAsia="zh-CN"/>
        </w:rPr>
        <w:t>）</w:t>
      </w:r>
    </w:p>
    <w:p w14:paraId="4362BEDA">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sz w:val="32"/>
          <w:szCs w:val="32"/>
          <w:highlight w:val="none"/>
          <w:lang w:val="en-US" w:eastAsia="zh-CN"/>
        </w:rPr>
        <w:t xml:space="preserve"> </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采购范围指招标采购具体内容、型号、数量等。设备采购项目需说明设备的基本情况或参数；服务类项目需说明服务的基本内容，如运维服务，包含驻人员数量；技术服务包括最终交付成果。注：须充分了解项目采购需求确定采购范围，采购立项完成后采购范围发生变化需要重新立项。</w:t>
      </w:r>
    </w:p>
    <w:p w14:paraId="5A4CAACA">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根据采购标的及项目特点确定标段划分情况。）</w:t>
      </w:r>
    </w:p>
    <w:p w14:paraId="73D1E5DA">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lang w:val="en-US" w:eastAsia="zh-CN"/>
        </w:rPr>
        <w:t xml:space="preserve">                    </w:t>
      </w:r>
    </w:p>
    <w:p w14:paraId="596A0F16">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2"/>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rPr>
        <w:t>（2）</w:t>
      </w:r>
      <w:r>
        <w:rPr>
          <w:rFonts w:hint="eastAsia" w:ascii="方正仿宋简体" w:hAnsi="方正仿宋简体" w:eastAsia="方正仿宋简体" w:cs="方正仿宋简体"/>
          <w:b w:val="0"/>
          <w:bCs w:val="0"/>
          <w:sz w:val="32"/>
          <w:szCs w:val="32"/>
          <w:highlight w:val="none"/>
          <w:lang w:val="en-US" w:eastAsia="zh-CN"/>
        </w:rPr>
        <w:t>工</w:t>
      </w:r>
      <w:r>
        <w:rPr>
          <w:rFonts w:hint="eastAsia" w:ascii="方正仿宋简体" w:hAnsi="方正仿宋简体" w:eastAsia="方正仿宋简体" w:cs="方正仿宋简体"/>
          <w:b w:val="0"/>
          <w:bCs w:val="0"/>
          <w:sz w:val="32"/>
          <w:szCs w:val="32"/>
          <w:highlight w:val="none"/>
        </w:rPr>
        <w:t>期</w:t>
      </w:r>
      <w:r>
        <w:rPr>
          <w:rFonts w:hint="eastAsia" w:ascii="方正仿宋简体" w:hAnsi="方正仿宋简体" w:eastAsia="方正仿宋简体" w:cs="方正仿宋简体"/>
          <w:b w:val="0"/>
          <w:bCs w:val="0"/>
          <w:sz w:val="32"/>
          <w:szCs w:val="32"/>
          <w:highlight w:val="none"/>
          <w:lang w:val="en-US" w:eastAsia="zh-CN"/>
        </w:rPr>
        <w:t>/供货期/服务期</w:t>
      </w:r>
    </w:p>
    <w:p w14:paraId="41FBB84F">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（根据采购标的实际需要和供应情况，合理设置计划服务期/供货期/工期。） </w:t>
      </w:r>
    </w:p>
    <w:p w14:paraId="5DCAF18B">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lang w:val="en-US" w:eastAsia="zh-CN"/>
        </w:rPr>
        <w:t xml:space="preserve">                                         </w:t>
      </w:r>
    </w:p>
    <w:p w14:paraId="6A307262">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rPr>
      </w:pPr>
      <w:bookmarkStart w:id="14" w:name="_Toc1899"/>
      <w:bookmarkStart w:id="15" w:name="_Toc1361"/>
      <w:r>
        <w:rPr>
          <w:rFonts w:hint="eastAsia" w:ascii="方正仿宋简体" w:hAnsi="方正仿宋简体" w:eastAsia="方正仿宋简体" w:cs="方正仿宋简体"/>
          <w:b w:val="0"/>
          <w:bCs w:val="0"/>
          <w:sz w:val="32"/>
          <w:szCs w:val="32"/>
          <w:highlight w:val="none"/>
        </w:rPr>
        <w:t>2.</w:t>
      </w:r>
      <w:r>
        <w:rPr>
          <w:rFonts w:hint="eastAsia" w:ascii="方正仿宋简体" w:hAnsi="方正仿宋简体" w:eastAsia="方正仿宋简体" w:cs="方正仿宋简体"/>
          <w:b w:val="0"/>
          <w:bCs w:val="0"/>
          <w:sz w:val="32"/>
          <w:szCs w:val="32"/>
          <w:highlight w:val="none"/>
          <w:lang w:val="en-US" w:eastAsia="zh-CN"/>
        </w:rPr>
        <w:t>采购</w:t>
      </w:r>
      <w:r>
        <w:rPr>
          <w:rFonts w:hint="eastAsia" w:ascii="方正仿宋简体" w:hAnsi="方正仿宋简体" w:eastAsia="方正仿宋简体" w:cs="方正仿宋简体"/>
          <w:b w:val="0"/>
          <w:bCs w:val="0"/>
          <w:sz w:val="32"/>
          <w:szCs w:val="32"/>
          <w:highlight w:val="none"/>
        </w:rPr>
        <w:t>时间计划</w:t>
      </w:r>
      <w:bookmarkEnd w:id="14"/>
      <w:bookmarkEnd w:id="15"/>
    </w:p>
    <w:p w14:paraId="082E21F2">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（2025年**月至**年**月。） </w:t>
      </w:r>
    </w:p>
    <w:p w14:paraId="01915262">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lang w:val="en-US" w:eastAsia="zh-CN"/>
        </w:rPr>
        <w:t xml:space="preserve">    </w:t>
      </w:r>
    </w:p>
    <w:p w14:paraId="4F7445D1">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0"/>
        <w:rPr>
          <w:rFonts w:hint="eastAsia" w:ascii="黑体" w:hAnsi="黑体" w:eastAsia="黑体" w:cs="黑体"/>
          <w:b w:val="0"/>
          <w:bCs w:val="0"/>
          <w:sz w:val="32"/>
          <w:szCs w:val="32"/>
          <w:highlight w:val="none"/>
          <w:lang w:val="en-US" w:eastAsia="zh-CN"/>
        </w:rPr>
      </w:pPr>
      <w:bookmarkStart w:id="16" w:name="_Toc32675"/>
      <w:bookmarkStart w:id="17" w:name="_Toc18668"/>
      <w:r>
        <w:rPr>
          <w:rFonts w:hint="eastAsia" w:ascii="黑体" w:hAnsi="黑体" w:eastAsia="黑体" w:cs="黑体"/>
          <w:b w:val="0"/>
          <w:bCs w:val="0"/>
          <w:sz w:val="32"/>
          <w:szCs w:val="32"/>
          <w:highlight w:val="none"/>
          <w:lang w:val="en-US" w:eastAsia="zh-CN"/>
        </w:rPr>
        <w:t>三、投标人（报价人）资格要求</w:t>
      </w:r>
      <w:bookmarkEnd w:id="16"/>
      <w:bookmarkEnd w:id="17"/>
    </w:p>
    <w:p w14:paraId="4C40CF0B">
      <w:pPr>
        <w:keepNext w:val="0"/>
        <w:keepLines w:val="0"/>
        <w:pageBreakBefore w:val="0"/>
        <w:widowControl w:val="0"/>
        <w:numPr>
          <w:ilvl w:val="0"/>
          <w:numId w:val="0"/>
        </w:numPr>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sz w:val="32"/>
          <w:szCs w:val="32"/>
          <w:highlight w:val="none"/>
          <w:lang w:val="en-US" w:eastAsia="zh-CN"/>
        </w:rPr>
        <w:t>1. 资质条件：</w:t>
      </w:r>
      <w:r>
        <w:rPr>
          <w:rFonts w:hint="eastAsia" w:ascii="方正仿宋简体" w:hAnsi="方正仿宋简体" w:eastAsia="方正仿宋简体" w:cs="方正仿宋简体"/>
          <w:b w:val="0"/>
          <w:bCs w:val="0"/>
          <w:sz w:val="32"/>
          <w:szCs w:val="32"/>
          <w:highlight w:val="none"/>
          <w:u w:val="single"/>
          <w:lang w:val="en-US" w:eastAsia="zh-CN"/>
        </w:rPr>
        <w:t xml:space="preserve">应为中华人民共和国境内依法注册的法人或其他组织，具有独立订立合同的权利 </w:t>
      </w:r>
      <w:r>
        <w:rPr>
          <w:rFonts w:hint="eastAsia" w:ascii="方正仿宋简体" w:hAnsi="方正仿宋简体" w:eastAsia="方正仿宋简体" w:cs="方正仿宋简体"/>
          <w:b w:val="0"/>
          <w:bCs w:val="0"/>
          <w:sz w:val="32"/>
          <w:szCs w:val="32"/>
          <w:highlight w:val="none"/>
          <w:u w:val="none"/>
          <w:lang w:val="en-US" w:eastAsia="zh-CN"/>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（根据最新结构化采购文件相关表述更新调整） </w:t>
      </w:r>
    </w:p>
    <w:p w14:paraId="48848C8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lang w:val="en-US" w:eastAsia="zh-CN"/>
        </w:rPr>
        <w:t>2. 业绩要求：</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u w:val="none"/>
          <w:lang w:val="en-US" w:eastAsia="zh-CN"/>
        </w:rPr>
        <w:t>。</w:t>
      </w:r>
    </w:p>
    <w:p w14:paraId="280756A3">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（根据市场调研情况，针对投标人/报价人提出合理的业绩要求，以确保投标人/报价人有足够的履约能力或相关经验。） </w:t>
      </w:r>
    </w:p>
    <w:p w14:paraId="6C0F8511">
      <w:pPr>
        <w:keepNext w:val="0"/>
        <w:keepLines w:val="0"/>
        <w:pageBreakBefore w:val="0"/>
        <w:widowControl w:val="0"/>
        <w:numPr>
          <w:ilvl w:val="0"/>
          <w:numId w:val="0"/>
        </w:numPr>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lang w:val="en-US" w:eastAsia="zh-CN"/>
        </w:rPr>
        <w:t>3. 信誉要求：</w:t>
      </w:r>
      <w:r>
        <w:rPr>
          <w:rFonts w:hint="eastAsia" w:ascii="方正仿宋简体" w:hAnsi="方正仿宋简体" w:eastAsia="方正仿宋简体" w:cs="方正仿宋简体"/>
          <w:b w:val="0"/>
          <w:bCs w:val="0"/>
          <w:sz w:val="32"/>
          <w:szCs w:val="32"/>
          <w:highlight w:val="none"/>
          <w:u w:val="single"/>
          <w:lang w:val="en-US" w:eastAsia="zh-CN"/>
        </w:rPr>
        <w:t>未处于中国长江三峡集团有限公司限制投标（报价）的专业范围及期限内。</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 xml:space="preserve">（根据最新结构化采购文件相关表述更新调整） </w:t>
      </w:r>
    </w:p>
    <w:p w14:paraId="60288304">
      <w:pPr>
        <w:keepNext w:val="0"/>
        <w:keepLines w:val="0"/>
        <w:pageBreakBefore w:val="0"/>
        <w:widowControl w:val="0"/>
        <w:numPr>
          <w:ilvl w:val="0"/>
          <w:numId w:val="0"/>
        </w:numPr>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lang w:val="en-US" w:eastAsia="zh-CN"/>
        </w:rPr>
        <w:t>4.财务要求：</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u w:val="none"/>
          <w:lang w:val="en-US" w:eastAsia="zh-CN"/>
        </w:rPr>
        <w:t>。(如有)</w:t>
      </w:r>
    </w:p>
    <w:p w14:paraId="3F8355D6">
      <w:pPr>
        <w:keepNext w:val="0"/>
        <w:keepLines w:val="0"/>
        <w:pageBreakBefore w:val="0"/>
        <w:widowControl w:val="0"/>
        <w:numPr>
          <w:ilvl w:val="0"/>
          <w:numId w:val="0"/>
        </w:numPr>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lang w:val="en-US" w:eastAsia="zh-CN"/>
        </w:rPr>
        <w:t>5.其他要求：</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u w:val="none"/>
          <w:lang w:val="en-US" w:eastAsia="zh-CN"/>
        </w:rPr>
        <w:t>。</w:t>
      </w:r>
    </w:p>
    <w:p w14:paraId="2646EB60">
      <w:pPr>
        <w:keepNext w:val="0"/>
        <w:keepLines w:val="0"/>
        <w:pageBreakBefore w:val="0"/>
        <w:widowControl w:val="0"/>
        <w:numPr>
          <w:ilvl w:val="0"/>
          <w:numId w:val="0"/>
        </w:numPr>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（根据本次采购标的实际需要与市场调研情况，合理设置其他资格条件，如财务要求、人员要求等，须确保至少有三家供应商满足要求。）</w:t>
      </w:r>
      <w:r>
        <w:rPr>
          <w:rFonts w:hint="eastAsia" w:ascii="方正仿宋简体" w:hAnsi="方正仿宋简体" w:eastAsia="方正仿宋简体" w:cs="方正仿宋简体"/>
          <w:b w:val="0"/>
          <w:bCs w:val="0"/>
          <w:sz w:val="32"/>
          <w:szCs w:val="32"/>
          <w:highlight w:val="none"/>
          <w:lang w:val="en-US" w:eastAsia="zh-CN"/>
        </w:rPr>
        <w:t xml:space="preserve">                            </w:t>
      </w:r>
    </w:p>
    <w:p w14:paraId="02084F5A">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0"/>
        <w:rPr>
          <w:rFonts w:hint="eastAsia" w:ascii="黑体" w:hAnsi="黑体" w:eastAsia="黑体" w:cs="黑体"/>
          <w:b w:val="0"/>
          <w:bCs w:val="0"/>
          <w:sz w:val="32"/>
          <w:szCs w:val="32"/>
          <w:highlight w:val="none"/>
          <w:lang w:val="en-US" w:eastAsia="zh-CN"/>
        </w:rPr>
      </w:pPr>
      <w:bookmarkStart w:id="18" w:name="_Toc29508"/>
      <w:bookmarkStart w:id="19" w:name="_Toc13289"/>
      <w:r>
        <w:rPr>
          <w:rFonts w:hint="eastAsia" w:ascii="黑体" w:hAnsi="黑体" w:eastAsia="黑体" w:cs="黑体"/>
          <w:b w:val="0"/>
          <w:bCs w:val="0"/>
          <w:sz w:val="32"/>
          <w:szCs w:val="32"/>
          <w:highlight w:val="none"/>
          <w:lang w:val="en-US" w:eastAsia="zh-CN"/>
        </w:rPr>
        <w:t>四、立项金额及准确性、合理性分析</w:t>
      </w:r>
      <w:bookmarkEnd w:id="18"/>
      <w:bookmarkEnd w:id="19"/>
    </w:p>
    <w:p w14:paraId="7D4E65DB">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lang w:val="en-US" w:eastAsia="zh-CN"/>
        </w:rPr>
      </w:pPr>
      <w:bookmarkStart w:id="20" w:name="_Toc21174"/>
      <w:bookmarkStart w:id="21" w:name="_Toc23159"/>
      <w:r>
        <w:rPr>
          <w:rFonts w:hint="eastAsia" w:ascii="方正仿宋简体" w:hAnsi="方正仿宋简体" w:eastAsia="方正仿宋简体" w:cs="方正仿宋简体"/>
          <w:b w:val="0"/>
          <w:bCs w:val="0"/>
          <w:sz w:val="32"/>
          <w:szCs w:val="32"/>
          <w:highlight w:val="none"/>
        </w:rPr>
        <w:t>1.立项金额</w:t>
      </w:r>
      <w:bookmarkEnd w:id="20"/>
      <w:bookmarkEnd w:id="21"/>
    </w:p>
    <w:p w14:paraId="2E9B7D06">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rPr>
      </w:pPr>
      <w:r>
        <w:rPr>
          <w:rFonts w:hint="eastAsia" w:ascii="方正仿宋简体" w:hAnsi="方正仿宋简体" w:eastAsia="方正仿宋简体" w:cs="方正仿宋简体"/>
          <w:b w:val="0"/>
          <w:bCs w:val="0"/>
          <w:sz w:val="32"/>
          <w:szCs w:val="32"/>
          <w:highlight w:val="none"/>
          <w:lang w:val="en-US" w:eastAsia="zh-CN"/>
        </w:rPr>
        <w:t>本项目</w:t>
      </w:r>
      <w:r>
        <w:rPr>
          <w:rFonts w:hint="eastAsia" w:ascii="方正仿宋简体" w:hAnsi="方正仿宋简体" w:eastAsia="方正仿宋简体" w:cs="方正仿宋简体"/>
          <w:b w:val="0"/>
          <w:bCs w:val="0"/>
          <w:sz w:val="32"/>
          <w:szCs w:val="32"/>
          <w:highlight w:val="none"/>
        </w:rPr>
        <w:t>计划金额为</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rPr>
        <w:t>万，主要</w:t>
      </w:r>
      <w:r>
        <w:rPr>
          <w:rFonts w:hint="eastAsia" w:ascii="方正仿宋简体" w:hAnsi="方正仿宋简体" w:eastAsia="方正仿宋简体" w:cs="方正仿宋简体"/>
          <w:b w:val="0"/>
          <w:bCs w:val="0"/>
          <w:sz w:val="32"/>
          <w:szCs w:val="32"/>
          <w:highlight w:val="none"/>
          <w:lang w:val="en-US" w:eastAsia="zh-CN"/>
        </w:rPr>
        <w:t>依据</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rPr>
        <w:t>确定</w:t>
      </w:r>
      <w:r>
        <w:rPr>
          <w:rFonts w:hint="eastAsia" w:ascii="方正仿宋简体" w:hAnsi="方正仿宋简体" w:eastAsia="方正仿宋简体" w:cs="方正仿宋简体"/>
          <w:b w:val="0"/>
          <w:bCs w:val="0"/>
          <w:sz w:val="32"/>
          <w:szCs w:val="32"/>
          <w:highlight w:val="none"/>
          <w:lang w:eastAsia="zh-CN"/>
        </w:rPr>
        <w:t>；</w:t>
      </w:r>
      <w:r>
        <w:rPr>
          <w:rFonts w:hint="eastAsia" w:ascii="方正仿宋简体" w:hAnsi="方正仿宋简体" w:eastAsia="方正仿宋简体" w:cs="方正仿宋简体"/>
          <w:b w:val="0"/>
          <w:bCs w:val="0"/>
          <w:sz w:val="32"/>
          <w:szCs w:val="32"/>
          <w:highlight w:val="none"/>
          <w:lang w:val="en-US" w:eastAsia="zh-CN"/>
        </w:rPr>
        <w:t>本次立项金额</w:t>
      </w:r>
      <w:r>
        <w:rPr>
          <w:rFonts w:hint="eastAsia" w:ascii="方正仿宋简体" w:hAnsi="方正仿宋简体" w:eastAsia="方正仿宋简体" w:cs="方正仿宋简体"/>
          <w:b w:val="0"/>
          <w:bCs w:val="0"/>
          <w:sz w:val="32"/>
          <w:szCs w:val="32"/>
          <w:highlight w:val="none"/>
        </w:rPr>
        <w:t>为</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rPr>
        <w:t>万，主要</w:t>
      </w:r>
      <w:r>
        <w:rPr>
          <w:rFonts w:hint="eastAsia" w:ascii="方正仿宋简体" w:hAnsi="方正仿宋简体" w:eastAsia="方正仿宋简体" w:cs="方正仿宋简体"/>
          <w:b w:val="0"/>
          <w:bCs w:val="0"/>
          <w:sz w:val="32"/>
          <w:szCs w:val="32"/>
          <w:highlight w:val="none"/>
          <w:lang w:val="en-US" w:eastAsia="zh-CN"/>
        </w:rPr>
        <w:t>依据</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rPr>
        <w:t>确定</w:t>
      </w:r>
      <w:r>
        <w:rPr>
          <w:rFonts w:hint="eastAsia" w:ascii="方正仿宋简体" w:hAnsi="方正仿宋简体" w:eastAsia="方正仿宋简体" w:cs="方正仿宋简体"/>
          <w:b w:val="0"/>
          <w:bCs w:val="0"/>
          <w:sz w:val="32"/>
          <w:szCs w:val="32"/>
          <w:highlight w:val="none"/>
          <w:lang w:eastAsia="zh-CN"/>
        </w:rPr>
        <w:t>，</w:t>
      </w:r>
      <w:r>
        <w:rPr>
          <w:rFonts w:hint="eastAsia" w:ascii="方正仿宋简体" w:hAnsi="方正仿宋简体" w:eastAsia="方正仿宋简体" w:cs="方正仿宋简体"/>
          <w:b w:val="0"/>
          <w:bCs w:val="0"/>
          <w:sz w:val="32"/>
          <w:szCs w:val="32"/>
          <w:highlight w:val="none"/>
          <w:lang w:val="en-US" w:eastAsia="zh-CN"/>
        </w:rPr>
        <w:t>为</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lang w:eastAsia="zh-CN"/>
        </w:rPr>
        <w:t>（</w:t>
      </w:r>
      <w:r>
        <w:rPr>
          <w:rFonts w:hint="eastAsia" w:ascii="方正仿宋简体" w:hAnsi="方正仿宋简体" w:eastAsia="方正仿宋简体" w:cs="方正仿宋简体"/>
          <w:b w:val="0"/>
          <w:bCs w:val="0"/>
          <w:sz w:val="32"/>
          <w:szCs w:val="32"/>
          <w:highlight w:val="none"/>
          <w:lang w:val="en-US" w:eastAsia="zh-CN"/>
        </w:rPr>
        <w:t>工程/货物/服务）类</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lang w:val="en-US" w:eastAsia="zh-CN"/>
        </w:rPr>
        <w:t>（中小型/大型/重大）</w:t>
      </w:r>
      <w:r>
        <w:rPr>
          <w:rFonts w:hint="eastAsia" w:ascii="方正仿宋简体" w:hAnsi="方正仿宋简体" w:eastAsia="方正仿宋简体" w:cs="方正仿宋简体"/>
          <w:b w:val="0"/>
          <w:bCs w:val="0"/>
          <w:sz w:val="32"/>
          <w:szCs w:val="32"/>
          <w:highlight w:val="none"/>
        </w:rPr>
        <w:t>项目。</w:t>
      </w:r>
    </w:p>
    <w:p w14:paraId="6AC931D2">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eastAsia="zh-CN"/>
          <w14:textFill>
            <w14:solidFill>
              <w14:schemeClr w14:val="tx1"/>
            </w14:solidFill>
          </w14:textFill>
        </w:rPr>
        <w:t>（</w:t>
      </w: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在启动立项前，项目单位应组织调研，包括商务、技术、行业现状、近期类似项目等，合理预估立项金额。）</w:t>
      </w:r>
    </w:p>
    <w:p w14:paraId="53D9A0CB">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lang w:val="en-US" w:eastAsia="zh-CN"/>
        </w:rPr>
      </w:pPr>
      <w:bookmarkStart w:id="22" w:name="_Toc4977"/>
      <w:bookmarkStart w:id="23" w:name="_Toc6606"/>
      <w:r>
        <w:rPr>
          <w:rFonts w:hint="eastAsia" w:ascii="方正仿宋简体" w:hAnsi="方正仿宋简体" w:eastAsia="方正仿宋简体" w:cs="方正仿宋简体"/>
          <w:b w:val="0"/>
          <w:bCs w:val="0"/>
          <w:sz w:val="32"/>
          <w:szCs w:val="32"/>
          <w:highlight w:val="none"/>
        </w:rPr>
        <w:t>2.立项金额</w:t>
      </w:r>
      <w:r>
        <w:rPr>
          <w:rFonts w:hint="eastAsia" w:ascii="方正仿宋简体" w:hAnsi="方正仿宋简体" w:eastAsia="方正仿宋简体" w:cs="方正仿宋简体"/>
          <w:b w:val="0"/>
          <w:bCs w:val="0"/>
          <w:sz w:val="32"/>
          <w:szCs w:val="32"/>
          <w:highlight w:val="none"/>
          <w:lang w:val="en-US" w:eastAsia="zh-CN"/>
        </w:rPr>
        <w:t>准确性、合理性分析</w:t>
      </w:r>
      <w:bookmarkEnd w:id="22"/>
      <w:bookmarkEnd w:id="23"/>
    </w:p>
    <w:p w14:paraId="1746BD1E">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sz w:val="32"/>
          <w:szCs w:val="32"/>
          <w:highlight w:val="none"/>
          <w:lang w:eastAsia="zh-CN"/>
          <w14:textFill>
            <w14:solidFill>
              <w14:schemeClr w14:val="tx1"/>
            </w14:solidFill>
          </w14:textFill>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（结合调研情况及项目特点，应详细说明采购内容及工作量、立项金额的费用组成，并结合调研结果及本项目概算等对立项金额的准确性、合理性进行分析。）</w:t>
      </w:r>
    </w:p>
    <w:p w14:paraId="46F83F0B">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0"/>
        <w:rPr>
          <w:rFonts w:hint="eastAsia" w:ascii="黑体" w:hAnsi="黑体" w:eastAsia="黑体" w:cs="黑体"/>
          <w:b w:val="0"/>
          <w:bCs w:val="0"/>
          <w:sz w:val="32"/>
          <w:szCs w:val="32"/>
          <w:highlight w:val="none"/>
          <w:lang w:val="en-US" w:eastAsia="zh-CN"/>
        </w:rPr>
      </w:pPr>
      <w:bookmarkStart w:id="24" w:name="_Toc2919"/>
      <w:bookmarkStart w:id="25" w:name="_Toc1159"/>
      <w:r>
        <w:rPr>
          <w:rFonts w:hint="eastAsia" w:ascii="黑体" w:hAnsi="黑体" w:eastAsia="黑体" w:cs="黑体"/>
          <w:b w:val="0"/>
          <w:bCs w:val="0"/>
          <w:sz w:val="32"/>
          <w:szCs w:val="32"/>
          <w:highlight w:val="none"/>
          <w:lang w:val="en-US" w:eastAsia="zh-CN"/>
        </w:rPr>
        <w:t>五、拟采用的采购方式及原因</w:t>
      </w:r>
      <w:bookmarkEnd w:id="24"/>
      <w:bookmarkEnd w:id="25"/>
    </w:p>
    <w:p w14:paraId="6CFB3E1B">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rPr>
      </w:pPr>
      <w:bookmarkStart w:id="26" w:name="_Toc14177"/>
      <w:r>
        <w:rPr>
          <w:rFonts w:hint="eastAsia" w:ascii="方正仿宋简体" w:hAnsi="方正仿宋简体" w:eastAsia="方正仿宋简体" w:cs="方正仿宋简体"/>
          <w:b w:val="0"/>
          <w:bCs w:val="0"/>
          <w:sz w:val="32"/>
          <w:szCs w:val="32"/>
          <w:highlight w:val="none"/>
        </w:rPr>
        <w:t>1.拟采用的采购方式</w:t>
      </w:r>
      <w:bookmarkEnd w:id="26"/>
    </w:p>
    <w:p w14:paraId="5E98A2D5">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rPr>
      </w:pPr>
      <w:r>
        <w:rPr>
          <w:rFonts w:hint="eastAsia" w:ascii="方正仿宋简体" w:hAnsi="方正仿宋简体" w:eastAsia="方正仿宋简体" w:cs="方正仿宋简体"/>
          <w:b w:val="0"/>
          <w:bCs w:val="0"/>
          <w:sz w:val="32"/>
          <w:szCs w:val="32"/>
          <w:highlight w:val="none"/>
        </w:rPr>
        <w:t>本项目采用的采购方式为</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lang w:val="en-US" w:eastAsia="zh-CN"/>
        </w:rPr>
        <w:t xml:space="preserve"> </w:t>
      </w:r>
      <w:r>
        <w:rPr>
          <w:rFonts w:hint="eastAsia" w:ascii="方正仿宋简体" w:hAnsi="方正仿宋简体" w:eastAsia="方正仿宋简体" w:cs="方正仿宋简体"/>
          <w:b w:val="0"/>
          <w:bCs w:val="0"/>
          <w:sz w:val="32"/>
          <w:szCs w:val="32"/>
          <w:highlight w:val="none"/>
        </w:rPr>
        <w:t>。</w:t>
      </w:r>
    </w:p>
    <w:p w14:paraId="4C415880">
      <w:pPr>
        <w:pStyle w:val="2"/>
        <w:keepNext w:val="0"/>
        <w:keepLines w:val="0"/>
        <w:pageBreakBefore w:val="0"/>
        <w:widowControl w:val="0"/>
        <w:kinsoku/>
        <w:wordWrap/>
        <w:overflowPunct/>
        <w:topLinePunct w:val="0"/>
        <w:autoSpaceDE w:val="0"/>
        <w:autoSpaceDN w:val="0"/>
        <w:bidi w:val="0"/>
        <w:adjustRightInd/>
        <w:snapToGrid/>
        <w:spacing w:after="0"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（公开招标/谈判/谈判（简易采购）直接采购/邀请招标/询比/竞价，以上选其一）</w:t>
      </w:r>
    </w:p>
    <w:p w14:paraId="3CE62A34">
      <w:pPr>
        <w:keepNext w:val="0"/>
        <w:keepLines w:val="0"/>
        <w:pageBreakBefore w:val="0"/>
        <w:widowControl w:val="0"/>
        <w:numPr>
          <w:ilvl w:val="-1"/>
          <w:numId w:val="0"/>
        </w:numPr>
        <w:kinsoku/>
        <w:wordWrap/>
        <w:overflowPunct/>
        <w:topLinePunct w:val="0"/>
        <w:bidi w:val="0"/>
        <w:adjustRightInd/>
        <w:snapToGrid/>
        <w:spacing w:line="560" w:lineRule="exact"/>
        <w:ind w:left="0" w:leftChars="0" w:firstLine="640" w:firstLineChars="200"/>
        <w:textAlignment w:val="auto"/>
        <w:outlineLvl w:val="1"/>
        <w:rPr>
          <w:rFonts w:hint="eastAsia" w:ascii="方正仿宋简体" w:hAnsi="方正仿宋简体" w:eastAsia="方正仿宋简体" w:cs="方正仿宋简体"/>
          <w:b w:val="0"/>
          <w:bCs w:val="0"/>
          <w:sz w:val="32"/>
          <w:szCs w:val="32"/>
          <w:highlight w:val="none"/>
        </w:rPr>
      </w:pPr>
      <w:bookmarkStart w:id="27" w:name="_Toc27827"/>
      <w:r>
        <w:rPr>
          <w:rFonts w:hint="eastAsia" w:ascii="方正仿宋简体" w:hAnsi="方正仿宋简体" w:eastAsia="方正仿宋简体" w:cs="方正仿宋简体"/>
          <w:b w:val="0"/>
          <w:bCs w:val="0"/>
          <w:sz w:val="32"/>
          <w:szCs w:val="32"/>
          <w:highlight w:val="none"/>
          <w:lang w:val="en-US" w:eastAsia="zh-CN"/>
        </w:rPr>
        <w:t>2.</w:t>
      </w:r>
      <w:r>
        <w:rPr>
          <w:rFonts w:hint="eastAsia" w:ascii="方正仿宋简体" w:hAnsi="方正仿宋简体" w:eastAsia="方正仿宋简体" w:cs="方正仿宋简体"/>
          <w:b w:val="0"/>
          <w:bCs w:val="0"/>
          <w:sz w:val="32"/>
          <w:szCs w:val="32"/>
          <w:highlight w:val="none"/>
        </w:rPr>
        <w:t>选</w:t>
      </w:r>
      <w:r>
        <w:rPr>
          <w:rFonts w:hint="eastAsia" w:ascii="方正仿宋简体" w:hAnsi="方正仿宋简体" w:eastAsia="方正仿宋简体" w:cs="方正仿宋简体"/>
          <w:b w:val="0"/>
          <w:bCs w:val="0"/>
          <w:sz w:val="32"/>
          <w:szCs w:val="32"/>
          <w:highlight w:val="none"/>
          <w:lang w:val="en-US" w:eastAsia="zh-CN"/>
        </w:rPr>
        <w:t>择本</w:t>
      </w:r>
      <w:r>
        <w:rPr>
          <w:rFonts w:hint="eastAsia" w:ascii="方正仿宋简体" w:hAnsi="方正仿宋简体" w:eastAsia="方正仿宋简体" w:cs="方正仿宋简体"/>
          <w:b w:val="0"/>
          <w:bCs w:val="0"/>
          <w:sz w:val="32"/>
          <w:szCs w:val="32"/>
          <w:highlight w:val="none"/>
        </w:rPr>
        <w:t>采购方式的原因</w:t>
      </w:r>
      <w:bookmarkEnd w:id="27"/>
    </w:p>
    <w:p w14:paraId="34896D4A">
      <w:pPr>
        <w:pStyle w:val="2"/>
        <w:keepNext w:val="0"/>
        <w:keepLines w:val="0"/>
        <w:pageBreakBefore w:val="0"/>
        <w:widowControl w:val="0"/>
        <w:numPr>
          <w:ilvl w:val="0"/>
          <w:numId w:val="0"/>
        </w:numPr>
        <w:kinsoku/>
        <w:wordWrap/>
        <w:overflowPunct/>
        <w:topLinePunct w:val="0"/>
        <w:autoSpaceDE w:val="0"/>
        <w:autoSpaceDN w:val="0"/>
        <w:bidi w:val="0"/>
        <w:adjustRightInd/>
        <w:snapToGrid/>
        <w:spacing w:after="0" w:line="560" w:lineRule="exact"/>
        <w:ind w:left="0" w:leftChars="0" w:firstLine="640" w:firstLineChars="200"/>
        <w:textAlignment w:val="auto"/>
        <w:outlineLvl w:val="9"/>
        <w:rPr>
          <w:rFonts w:hint="eastAsia" w:ascii="方正仿宋简体" w:hAnsi="方正仿宋简体" w:eastAsia="方正仿宋简体" w:cs="方正仿宋简体"/>
          <w:b w:val="0"/>
          <w:bCs w:val="0"/>
          <w:color w:val="auto"/>
          <w:kern w:val="2"/>
          <w:sz w:val="32"/>
          <w:szCs w:val="32"/>
          <w:highlight w:val="none"/>
          <w:u w:val="single"/>
          <w:lang w:val="en-US" w:eastAsia="zh-CN" w:bidi="ar-SA"/>
        </w:rPr>
      </w:pPr>
      <w:r>
        <w:rPr>
          <w:rFonts w:hint="eastAsia" w:ascii="方正仿宋简体" w:hAnsi="方正仿宋简体" w:eastAsia="方正仿宋简体" w:cs="方正仿宋简体"/>
          <w:b w:val="0"/>
          <w:bCs w:val="0"/>
          <w:color w:val="auto"/>
          <w:kern w:val="2"/>
          <w:sz w:val="32"/>
          <w:szCs w:val="32"/>
          <w:highlight w:val="none"/>
          <w:u w:val="single"/>
          <w:lang w:val="en-US" w:eastAsia="zh-CN" w:bidi="ar-SA"/>
        </w:rPr>
        <w:t xml:space="preserve">                           </w:t>
      </w:r>
    </w:p>
    <w:p w14:paraId="6FEBACB3">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(说明选择采购方式的原因。以下原因仅供参考，</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br w:type="textWrapping"/>
      </w:r>
      <w:r>
        <w:rPr>
          <w:rFonts w:hint="eastAsia" w:ascii="方正仿宋简体" w:hAnsi="方正仿宋简体" w:eastAsia="方正仿宋简体" w:cs="方正仿宋简体"/>
          <w:b w:val="0"/>
          <w:bCs w:val="0"/>
          <w:i/>
          <w:iCs/>
          <w:color w:val="auto"/>
          <w:kern w:val="2"/>
          <w:sz w:val="32"/>
          <w:szCs w:val="32"/>
          <w:highlight w:val="none"/>
          <w:lang w:val="en-US" w:eastAsia="zh-CN" w:bidi="ar-SA"/>
        </w:rPr>
        <w:t>选择公开招标原因：</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“采用公开招标的方式符合中国长江三峡集团有限公司招标及采购管理制度规定，也有助于增加采购项目的公开性和遴选最具潜力的设备供应商。”</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br w:type="textWrapping"/>
      </w:r>
      <w:r>
        <w:rPr>
          <w:rFonts w:hint="eastAsia" w:ascii="方正仿宋简体" w:hAnsi="方正仿宋简体" w:eastAsia="方正仿宋简体" w:cs="方正仿宋简体"/>
          <w:b w:val="0"/>
          <w:bCs w:val="0"/>
          <w:i/>
          <w:iCs/>
          <w:color w:val="auto"/>
          <w:kern w:val="2"/>
          <w:sz w:val="32"/>
          <w:szCs w:val="32"/>
          <w:highlight w:val="none"/>
          <w:lang w:val="en-US" w:eastAsia="zh-CN" w:bidi="ar-SA"/>
        </w:rPr>
        <w:t>选择谈判原因：</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“采购标的物技术复杂或性质特殊，采购人不能准确提出采购需求，需要与供应商谈判后研究确定。”</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br w:type="textWrapping"/>
      </w:r>
      <w:r>
        <w:rPr>
          <w:rFonts w:hint="eastAsia" w:ascii="方正仿宋简体" w:hAnsi="方正仿宋简体" w:eastAsia="方正仿宋简体" w:cs="方正仿宋简体"/>
          <w:b w:val="0"/>
          <w:bCs w:val="0"/>
          <w:i/>
          <w:iCs/>
          <w:color w:val="auto"/>
          <w:kern w:val="2"/>
          <w:sz w:val="32"/>
          <w:szCs w:val="32"/>
          <w:highlight w:val="none"/>
          <w:lang w:val="en-US" w:eastAsia="zh-CN" w:bidi="ar-SA"/>
        </w:rPr>
        <w:t>选择简易采购原因：</w:t>
      </w: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符合《中国长江三峡集团有限公司招标及采购管理办法》第二十六条，非依法必须招标项目采用谈判采购的，应满足以情形之一：（五）适用简易采购程序的项目，且符合附件1《非招标采购实施程序》第二十六条适用简易采购的情形：（一）单次采购招标采购立项金额在20万元以下的。”)</w:t>
      </w:r>
      <w:r>
        <w:rPr>
          <w:rFonts w:hint="eastAsia" w:ascii="方正仿宋简体" w:hAnsi="方正仿宋简体" w:eastAsia="方正仿宋简体" w:cs="方正仿宋简体"/>
          <w:b w:val="0"/>
          <w:bCs w:val="0"/>
          <w:sz w:val="32"/>
          <w:szCs w:val="32"/>
          <w:highlight w:val="none"/>
          <w:lang w:val="en-US" w:eastAsia="zh-CN"/>
        </w:rPr>
        <w:t xml:space="preserve">                                      </w:t>
      </w:r>
    </w:p>
    <w:p w14:paraId="67E21E62">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0"/>
        <w:rPr>
          <w:rFonts w:hint="eastAsia" w:ascii="黑体" w:hAnsi="黑体" w:eastAsia="黑体" w:cs="黑体"/>
          <w:b w:val="0"/>
          <w:bCs w:val="0"/>
          <w:sz w:val="32"/>
          <w:szCs w:val="32"/>
          <w:highlight w:val="none"/>
          <w:lang w:val="en-US" w:eastAsia="zh-CN"/>
        </w:rPr>
      </w:pPr>
      <w:bookmarkStart w:id="28" w:name="_Toc15474"/>
      <w:bookmarkStart w:id="29" w:name="_Toc650"/>
      <w:r>
        <w:rPr>
          <w:rFonts w:hint="eastAsia" w:ascii="黑体" w:hAnsi="黑体" w:eastAsia="黑体" w:cs="黑体"/>
          <w:b w:val="0"/>
          <w:bCs w:val="0"/>
          <w:sz w:val="32"/>
          <w:szCs w:val="32"/>
          <w:highlight w:val="none"/>
          <w:lang w:val="en-US" w:eastAsia="zh-CN"/>
        </w:rPr>
        <w:t>六、评标（评审）方法</w:t>
      </w:r>
      <w:bookmarkEnd w:id="28"/>
      <w:bookmarkEnd w:id="29"/>
    </w:p>
    <w:p w14:paraId="11E57594">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u w:val="none"/>
          <w:lang w:val="en-US" w:eastAsia="zh-CN"/>
        </w:rPr>
      </w:pPr>
      <w:r>
        <w:rPr>
          <w:rFonts w:hint="eastAsia" w:ascii="方正仿宋简体" w:hAnsi="方正仿宋简体" w:eastAsia="方正仿宋简体" w:cs="方正仿宋简体"/>
          <w:b w:val="0"/>
          <w:bCs w:val="0"/>
          <w:sz w:val="32"/>
          <w:szCs w:val="32"/>
          <w:highlight w:val="none"/>
          <w:lang w:val="en-US" w:eastAsia="zh-CN"/>
        </w:rPr>
        <w:t>本项目采用：</w:t>
      </w: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u w:val="none"/>
          <w:lang w:val="en-US" w:eastAsia="zh-CN"/>
        </w:rPr>
        <w:t>。</w:t>
      </w:r>
    </w:p>
    <w:p w14:paraId="01B31EBE">
      <w:pPr>
        <w:pStyle w:val="2"/>
        <w:keepNext w:val="0"/>
        <w:keepLines w:val="0"/>
        <w:pageBreakBefore w:val="0"/>
        <w:widowControl w:val="0"/>
        <w:kinsoku/>
        <w:wordWrap/>
        <w:overflowPunct/>
        <w:topLinePunct w:val="0"/>
        <w:bidi w:val="0"/>
        <w:adjustRightInd/>
        <w:snapToGrid/>
        <w:spacing w:after="0"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i/>
          <w:iCs/>
          <w:color w:val="000000" w:themeColor="text1"/>
          <w:sz w:val="32"/>
          <w:szCs w:val="32"/>
          <w:highlight w:val="none"/>
          <w:lang w:val="en-US" w:eastAsia="zh-CN"/>
          <w14:textFill>
            <w14:solidFill>
              <w14:schemeClr w14:val="tx1"/>
            </w14:solidFill>
          </w14:textFill>
        </w:rPr>
        <w:t>（公开招标适用：综合评估法/最低投标价法/经评审的最低投标价法；谈判、询比适用：综合评分法/最低报价法；谈判（简易采购）、竞价适用：最低报价法；直接采购：协商议价法)</w:t>
      </w:r>
    </w:p>
    <w:p w14:paraId="2FC470A9">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u w:val="none"/>
          <w:lang w:val="en-US" w:eastAsia="zh-CN"/>
        </w:rPr>
      </w:pPr>
      <w:r>
        <w:rPr>
          <w:rFonts w:hint="eastAsia" w:ascii="方正仿宋简体" w:hAnsi="方正仿宋简体" w:eastAsia="方正仿宋简体" w:cs="方正仿宋简体"/>
          <w:b w:val="0"/>
          <w:bCs w:val="0"/>
          <w:sz w:val="32"/>
          <w:szCs w:val="32"/>
          <w:highlight w:val="none"/>
          <w:u w:val="none"/>
          <w:lang w:val="en-US" w:eastAsia="zh-CN"/>
        </w:rPr>
        <w:t>将评标（评审）办法前附表及详细评标（评审）方法附后。</w:t>
      </w:r>
    </w:p>
    <w:p w14:paraId="23BD2895">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0"/>
        <w:rPr>
          <w:rFonts w:hint="eastAsia" w:ascii="方正仿宋简体" w:hAnsi="方正仿宋简体" w:eastAsia="方正仿宋简体" w:cs="方正仿宋简体"/>
          <w:b w:val="0"/>
          <w:bCs w:val="0"/>
          <w:sz w:val="32"/>
          <w:szCs w:val="32"/>
          <w:highlight w:val="none"/>
          <w:lang w:val="en-US" w:eastAsia="zh-CN"/>
        </w:rPr>
      </w:pPr>
      <w:bookmarkStart w:id="30" w:name="_Toc6587"/>
      <w:bookmarkStart w:id="31" w:name="_Toc335"/>
      <w:r>
        <w:rPr>
          <w:rFonts w:hint="eastAsia" w:ascii="方正仿宋简体" w:hAnsi="方正仿宋简体" w:eastAsia="方正仿宋简体" w:cs="方正仿宋简体"/>
          <w:b w:val="0"/>
          <w:bCs w:val="0"/>
          <w:sz w:val="32"/>
          <w:szCs w:val="32"/>
          <w:highlight w:val="none"/>
          <w:lang w:val="en-US" w:eastAsia="zh-CN"/>
        </w:rPr>
        <w:t>七、授标方案（不涉及的可删除）</w:t>
      </w:r>
      <w:bookmarkEnd w:id="30"/>
      <w:bookmarkEnd w:id="31"/>
    </w:p>
    <w:p w14:paraId="443E5751">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pP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(项目分标段的话是否有特殊授标方式，一个标段的情况下如果有多个中标人中标份额分配。)</w:t>
      </w:r>
    </w:p>
    <w:p w14:paraId="5B0CDC2F">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pPr>
    </w:p>
    <w:p w14:paraId="5060BB87">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lang w:val="en-US" w:eastAsia="zh-CN"/>
        </w:rPr>
        <w:t>附件：评标（评审）办法前附表及详细评标（评审）方法</w:t>
      </w:r>
    </w:p>
    <w:p w14:paraId="7EAC25E5">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p>
    <w:p w14:paraId="799D433F">
      <w:pPr>
        <w:keepNext w:val="0"/>
        <w:keepLines w:val="0"/>
        <w:pageBreakBefore w:val="0"/>
        <w:widowControl w:val="0"/>
        <w:kinsoku/>
        <w:wordWrap/>
        <w:overflowPunct/>
        <w:topLinePunct w:val="0"/>
        <w:bidi w:val="0"/>
        <w:adjustRightInd/>
        <w:snapToGrid/>
        <w:spacing w:line="560" w:lineRule="exact"/>
        <w:ind w:left="0" w:leftChars="0" w:firstLine="640" w:firstLineChars="200"/>
        <w:jc w:val="right"/>
        <w:textAlignment w:val="auto"/>
        <w:outlineLvl w:val="9"/>
        <w:rPr>
          <w:rFonts w:hint="eastAsia" w:ascii="方正仿宋简体" w:hAnsi="方正仿宋简体" w:eastAsia="方正仿宋简体" w:cs="方正仿宋简体"/>
          <w:b w:val="0"/>
          <w:bCs w:val="0"/>
          <w:sz w:val="32"/>
          <w:szCs w:val="32"/>
          <w:highlight w:val="none"/>
          <w:lang w:eastAsia="zh-CN"/>
        </w:rPr>
      </w:pP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lang w:val="en-US" w:eastAsia="zh-CN"/>
        </w:rPr>
        <w:t>（项目单位）</w:t>
      </w:r>
    </w:p>
    <w:p w14:paraId="55BD59F4">
      <w:pPr>
        <w:keepNext w:val="0"/>
        <w:keepLines w:val="0"/>
        <w:pageBreakBefore w:val="0"/>
        <w:widowControl w:val="0"/>
        <w:kinsoku/>
        <w:wordWrap/>
        <w:overflowPunct/>
        <w:topLinePunct w:val="0"/>
        <w:bidi w:val="0"/>
        <w:adjustRightInd/>
        <w:snapToGrid/>
        <w:spacing w:line="560" w:lineRule="exact"/>
        <w:ind w:left="0" w:leftChars="0" w:firstLine="640" w:firstLineChars="200"/>
        <w:jc w:val="right"/>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u w:val="single"/>
          <w:lang w:val="en-US" w:eastAsia="zh-CN"/>
        </w:rPr>
        <w:t xml:space="preserve">              </w:t>
      </w:r>
      <w:r>
        <w:rPr>
          <w:rFonts w:hint="eastAsia" w:ascii="方正仿宋简体" w:hAnsi="方正仿宋简体" w:eastAsia="方正仿宋简体" w:cs="方正仿宋简体"/>
          <w:b w:val="0"/>
          <w:bCs w:val="0"/>
          <w:sz w:val="32"/>
          <w:szCs w:val="32"/>
          <w:highlight w:val="none"/>
          <w:lang w:val="en-US" w:eastAsia="zh-CN"/>
        </w:rPr>
        <w:t>（日    期）</w:t>
      </w:r>
    </w:p>
    <w:p w14:paraId="5CA3D1A0">
      <w:pPr>
        <w:keepNext w:val="0"/>
        <w:keepLines w:val="0"/>
        <w:pageBreakBefore w:val="0"/>
        <w:widowControl w:val="0"/>
        <w:kinsoku/>
        <w:wordWrap/>
        <w:overflowPunct/>
        <w:topLinePunct w:val="0"/>
        <w:bidi w:val="0"/>
        <w:adjustRightInd/>
        <w:snapToGrid/>
        <w:spacing w:line="560" w:lineRule="exact"/>
        <w:ind w:left="0" w:leftChars="0" w:firstLine="640" w:firstLineChars="200"/>
        <w:textAlignment w:val="auto"/>
        <w:outlineLvl w:val="9"/>
        <w:rPr>
          <w:rFonts w:hint="eastAsia" w:ascii="方正仿宋简体" w:hAnsi="方正仿宋简体" w:eastAsia="方正仿宋简体" w:cs="方正仿宋简体"/>
          <w:b w:val="0"/>
          <w:bCs w:val="0"/>
          <w:sz w:val="32"/>
          <w:szCs w:val="32"/>
          <w:highlight w:val="none"/>
          <w:lang w:val="en-US" w:eastAsia="zh-CN"/>
        </w:rPr>
      </w:pPr>
      <w:r>
        <w:rPr>
          <w:rFonts w:hint="eastAsia" w:ascii="方正仿宋简体" w:hAnsi="方正仿宋简体" w:eastAsia="方正仿宋简体" w:cs="方正仿宋简体"/>
          <w:b w:val="0"/>
          <w:bCs w:val="0"/>
          <w:sz w:val="32"/>
          <w:szCs w:val="32"/>
          <w:highlight w:val="none"/>
          <w:lang w:val="en-US" w:eastAsia="zh-CN"/>
        </w:rPr>
        <w:t>附件：评标（评审）办法前附表及详细评标（评审）方法</w:t>
      </w:r>
    </w:p>
    <w:p w14:paraId="6061EED4">
      <w:pPr>
        <w:keepNext w:val="0"/>
        <w:keepLines w:val="0"/>
        <w:pageBreakBefore w:val="0"/>
        <w:widowControl w:val="0"/>
        <w:kinsoku/>
        <w:wordWrap/>
        <w:overflowPunct/>
        <w:topLinePunct w:val="0"/>
        <w:bidi w:val="0"/>
        <w:adjustRightInd/>
        <w:snapToGrid/>
        <w:spacing w:line="560" w:lineRule="exact"/>
        <w:ind w:left="0" w:leftChars="0" w:firstLine="640" w:firstLineChars="200"/>
        <w:jc w:val="both"/>
        <w:textAlignment w:val="auto"/>
        <w:outlineLvl w:val="9"/>
        <w:rPr>
          <w:rFonts w:hint="eastAsia" w:ascii="方正仿宋简体" w:hAnsi="方正仿宋简体" w:eastAsia="方正仿宋简体" w:cs="方正仿宋简体"/>
          <w:sz w:val="32"/>
          <w:szCs w:val="32"/>
          <w:highlight w:val="none"/>
          <w:u w:val="single"/>
          <w:lang w:val="en-US" w:eastAsia="zh-CN"/>
        </w:rPr>
      </w:pPr>
      <w:r>
        <w:rPr>
          <w:rFonts w:hint="eastAsia" w:ascii="方正仿宋简体" w:hAnsi="方正仿宋简体" w:eastAsia="方正仿宋简体" w:cs="方正仿宋简体"/>
          <w:b w:val="0"/>
          <w:bCs w:val="0"/>
          <w:i/>
          <w:iCs/>
          <w:color w:val="000000" w:themeColor="text1"/>
          <w:kern w:val="2"/>
          <w:sz w:val="32"/>
          <w:szCs w:val="32"/>
          <w:highlight w:val="none"/>
          <w:lang w:val="en-US" w:eastAsia="zh-CN" w:bidi="ar-SA"/>
          <w14:textFill>
            <w14:solidFill>
              <w14:schemeClr w14:val="tx1"/>
            </w14:solidFill>
          </w14:textFill>
        </w:rPr>
        <w:t>（根据本采购项目特点选取适用的集团标准招标/采购文件模板中评审办法，结合市场调研情况设置适用本项目的评审办法，并附后。简易采购可不附评审办法前附表。）</w:t>
      </w:r>
    </w:p>
    <w:p w14:paraId="2BF4B28D"/>
    <w:sectPr>
      <w:pgSz w:w="11906" w:h="16838"/>
      <w:pgMar w:top="2098" w:right="1531" w:bottom="1871" w:left="1531" w:header="851" w:footer="1417" w:gutter="0"/>
      <w:cols w:space="0" w:num="1"/>
      <w:titlePg/>
      <w:rtlGutter w:val="0"/>
      <w:docGrid w:type="lines" w:linePitch="57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ì.">
    <w:altName w:val="黑体"/>
    <w:panose1 w:val="00000000000000000000"/>
    <w:charset w:val="86"/>
    <w:family w:val="swiss"/>
    <w:pitch w:val="default"/>
    <w:sig w:usb0="00000000" w:usb1="00000000" w:usb2="00000010" w:usb3="00000000" w:csb0="00040000" w:csb1="00000000"/>
  </w:font>
  <w:font w:name="方正小标宋简体">
    <w:panose1 w:val="03000509000000000000"/>
    <w:charset w:val="86"/>
    <w:family w:val="auto"/>
    <w:pitch w:val="default"/>
    <w:sig w:usb0="00000001" w:usb1="080E0000" w:usb2="00000000" w:usb3="00000000" w:csb0="00040000" w:csb1="00000000"/>
  </w:font>
  <w:font w:name="方正仿宋简体">
    <w:panose1 w:val="02000000000000000000"/>
    <w:charset w:val="86"/>
    <w:family w:val="auto"/>
    <w:pitch w:val="default"/>
    <w:sig w:usb0="A00002BF" w:usb1="184F6CFA" w:usb2="00000012"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767363"/>
    <w:rsid w:val="2E767363"/>
    <w:rsid w:val="3DCA061E"/>
    <w:rsid w:val="6545631E"/>
    <w:rsid w:val="7BEED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bidi w:val="0"/>
      <w:snapToGrid w:val="0"/>
      <w:ind w:left="0" w:leftChars="0" w:firstLine="0" w:firstLineChars="0"/>
      <w:jc w:val="both"/>
    </w:pPr>
    <w:rPr>
      <w:rFonts w:ascii="仿宋_GB2312" w:hAnsi="仿宋_GB2312" w:eastAsia="宋体" w:cstheme="minorBidi"/>
      <w:kern w:val="0"/>
      <w:sz w:val="24"/>
      <w:szCs w:val="20"/>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3"/>
    <w:unhideWhenUsed/>
    <w:qFormat/>
    <w:uiPriority w:val="0"/>
    <w:pPr>
      <w:spacing w:after="120"/>
    </w:pPr>
    <w:rPr>
      <w:rFonts w:ascii="Times New Roman" w:hAnsi="Times New Roman" w:eastAsia="宋体" w:cs="Times New Roman"/>
      <w:kern w:val="0"/>
      <w:sz w:val="20"/>
      <w:szCs w:val="24"/>
    </w:rPr>
  </w:style>
  <w:style w:type="paragraph" w:customStyle="1" w:styleId="3">
    <w:name w:val="Default"/>
    <w:next w:val="4"/>
    <w:qFormat/>
    <w:uiPriority w:val="0"/>
    <w:pPr>
      <w:widowControl w:val="0"/>
      <w:autoSpaceDE w:val="0"/>
      <w:autoSpaceDN w:val="0"/>
      <w:adjustRightInd w:val="0"/>
    </w:pPr>
    <w:rPr>
      <w:rFonts w:ascii="..ì." w:hAnsi="Times New Roman" w:eastAsia="..ì." w:cs="Times New Roman"/>
      <w:color w:val="000000"/>
      <w:kern w:val="0"/>
      <w:sz w:val="24"/>
      <w:szCs w:val="20"/>
      <w:lang w:val="en-US" w:eastAsia="zh-CN" w:bidi="ar-SA"/>
    </w:rPr>
  </w:style>
  <w:style w:type="paragraph" w:customStyle="1" w:styleId="4">
    <w:name w:val="toc 21"/>
    <w:next w:val="1"/>
    <w:qFormat/>
    <w:uiPriority w:val="0"/>
    <w:pPr>
      <w:wordWrap w:val="0"/>
      <w:ind w:left="425"/>
      <w:jc w:val="both"/>
    </w:pPr>
    <w:rPr>
      <w:rFonts w:ascii="Calibri" w:hAnsi="Calibri" w:eastAsia="宋体" w:cs="Times New Roman"/>
      <w:sz w:val="21"/>
      <w:lang w:eastAsia="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2025-11-27T10:08:00Z</dcterms:created>
  <dc:creator>王斌</dc:creator>
  <cp:lastModifiedBy>高璐玮</cp:lastModifiedBy>
  <dcterms:modified xsi:type="dcterms:W3CDTF">2026-01-16T10:54:50Z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43A6F93D5AD34BD97AA8696921875268_43</vt:lpwstr>
  </property>
</Properties>
</file>