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A48ED" w14:textId="77777777" w:rsidR="00FE3107" w:rsidRDefault="00191E19">
      <w:pPr>
        <w:rPr>
          <w:b/>
        </w:rPr>
      </w:pPr>
      <w:r>
        <w:rPr>
          <w:b/>
          <w:color w:val="000000"/>
        </w:rPr>
        <w:t xml:space="preserve">EKK7404.HT </w:t>
      </w:r>
      <w:r>
        <w:rPr>
          <w:b/>
        </w:rPr>
        <w:t>Language and Society</w:t>
      </w:r>
    </w:p>
    <w:p w14:paraId="0FBC7588" w14:textId="77777777" w:rsidR="00FE3107" w:rsidRDefault="00191E19">
      <w:r>
        <w:t xml:space="preserve">Prof. Anna Verschik, Dr Serdar </w:t>
      </w:r>
      <w:proofErr w:type="spellStart"/>
      <w:r>
        <w:t>Tekin</w:t>
      </w:r>
      <w:proofErr w:type="spellEnd"/>
      <w:r>
        <w:t xml:space="preserve">, lecturer </w:t>
      </w:r>
      <w:proofErr w:type="spellStart"/>
      <w:r>
        <w:t>Piret</w:t>
      </w:r>
      <w:proofErr w:type="spellEnd"/>
      <w:r>
        <w:t xml:space="preserve"> Baird</w:t>
      </w:r>
    </w:p>
    <w:p w14:paraId="4BF5962E" w14:textId="77777777" w:rsidR="00FE3107" w:rsidRDefault="00191E19">
      <w:r>
        <w:t>Autumn 2025</w:t>
      </w:r>
    </w:p>
    <w:p w14:paraId="278F5042" w14:textId="77777777" w:rsidR="00FE3107" w:rsidRDefault="00191E19">
      <w:r>
        <w:t>Friday, 10.15-11.45</w:t>
      </w:r>
    </w:p>
    <w:p w14:paraId="4006BCE2" w14:textId="77777777" w:rsidR="00FE3107" w:rsidRDefault="00FE3107"/>
    <w:tbl>
      <w:tblPr>
        <w:tblStyle w:val="a"/>
        <w:tblW w:w="90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5"/>
        <w:gridCol w:w="1590"/>
        <w:gridCol w:w="6870"/>
      </w:tblGrid>
      <w:tr w:rsidR="00FE3107" w14:paraId="6CFEBADB" w14:textId="77777777">
        <w:tc>
          <w:tcPr>
            <w:tcW w:w="2145" w:type="dxa"/>
            <w:gridSpan w:val="2"/>
          </w:tcPr>
          <w:p w14:paraId="5D88F9D3" w14:textId="77777777" w:rsidR="00FE3107" w:rsidRDefault="00191E19">
            <w:r>
              <w:t>Date</w:t>
            </w:r>
          </w:p>
        </w:tc>
        <w:tc>
          <w:tcPr>
            <w:tcW w:w="6870" w:type="dxa"/>
          </w:tcPr>
          <w:p w14:paraId="6AE4F7AE" w14:textId="77777777" w:rsidR="00FE3107" w:rsidRDefault="00191E19">
            <w:r>
              <w:t>Topic</w:t>
            </w:r>
          </w:p>
        </w:tc>
      </w:tr>
      <w:tr w:rsidR="00FE3107" w14:paraId="5EA125CB" w14:textId="77777777">
        <w:tc>
          <w:tcPr>
            <w:tcW w:w="555" w:type="dxa"/>
          </w:tcPr>
          <w:p w14:paraId="03534C16" w14:textId="77777777" w:rsidR="00FE3107" w:rsidRDefault="00191E19">
            <w:r>
              <w:t>1.</w:t>
            </w:r>
          </w:p>
        </w:tc>
        <w:tc>
          <w:tcPr>
            <w:tcW w:w="1590" w:type="dxa"/>
          </w:tcPr>
          <w:p w14:paraId="2D9AAA74" w14:textId="77777777" w:rsidR="00FE3107" w:rsidRPr="00191E19" w:rsidRDefault="00191E19">
            <w:pPr>
              <w:rPr>
                <w:highlight w:val="yellow"/>
              </w:rPr>
            </w:pPr>
            <w:r w:rsidRPr="00191E19">
              <w:rPr>
                <w:highlight w:val="yellow"/>
              </w:rPr>
              <w:t>05.09</w:t>
            </w:r>
          </w:p>
          <w:p w14:paraId="218A0268" w14:textId="77777777" w:rsidR="00FE3107" w:rsidRDefault="00191E19">
            <w:r w:rsidRPr="00191E19">
              <w:rPr>
                <w:highlight w:val="yellow"/>
              </w:rPr>
              <w:t>Anna Verschik</w:t>
            </w:r>
          </w:p>
        </w:tc>
        <w:tc>
          <w:tcPr>
            <w:tcW w:w="6870" w:type="dxa"/>
          </w:tcPr>
          <w:p w14:paraId="468B073A" w14:textId="77777777" w:rsidR="00FE3107" w:rsidRDefault="00191E19">
            <w:r>
              <w:t xml:space="preserve">Introduction. Sociolinguistics, sociology of language. Speech ethnography. Dialect and language. Language borders. </w:t>
            </w:r>
          </w:p>
        </w:tc>
      </w:tr>
      <w:tr w:rsidR="00FE3107" w14:paraId="46A1C1E1" w14:textId="77777777">
        <w:tc>
          <w:tcPr>
            <w:tcW w:w="555" w:type="dxa"/>
          </w:tcPr>
          <w:p w14:paraId="6733C1E6" w14:textId="77777777" w:rsidR="00FE3107" w:rsidRDefault="00191E19">
            <w:r>
              <w:t>2.</w:t>
            </w:r>
          </w:p>
        </w:tc>
        <w:tc>
          <w:tcPr>
            <w:tcW w:w="1590" w:type="dxa"/>
          </w:tcPr>
          <w:p w14:paraId="47A276A3" w14:textId="77777777" w:rsidR="00FE3107" w:rsidRPr="00191E19" w:rsidRDefault="00191E19">
            <w:pPr>
              <w:rPr>
                <w:highlight w:val="yellow"/>
              </w:rPr>
            </w:pPr>
            <w:r w:rsidRPr="00191E19">
              <w:rPr>
                <w:highlight w:val="yellow"/>
              </w:rPr>
              <w:t>12.09</w:t>
            </w:r>
          </w:p>
          <w:p w14:paraId="3EAE1C23" w14:textId="77777777" w:rsidR="00FE3107" w:rsidRDefault="00191E19">
            <w:r w:rsidRPr="00191E19">
              <w:rPr>
                <w:highlight w:val="yellow"/>
              </w:rPr>
              <w:t>Anna Verschik</w:t>
            </w:r>
          </w:p>
        </w:tc>
        <w:tc>
          <w:tcPr>
            <w:tcW w:w="6870" w:type="dxa"/>
          </w:tcPr>
          <w:p w14:paraId="387A4B26" w14:textId="77777777" w:rsidR="00FE3107" w:rsidRDefault="00191E19">
            <w:r>
              <w:t>Language variation: sociolect, register, social class, gender, subculture etc. Language on the internet.</w:t>
            </w:r>
          </w:p>
        </w:tc>
      </w:tr>
      <w:tr w:rsidR="00FE3107" w14:paraId="1C5F27B5" w14:textId="77777777">
        <w:tc>
          <w:tcPr>
            <w:tcW w:w="555" w:type="dxa"/>
          </w:tcPr>
          <w:p w14:paraId="46979CBF" w14:textId="77777777" w:rsidR="00FE3107" w:rsidRDefault="00191E19">
            <w:r>
              <w:t>3.</w:t>
            </w:r>
          </w:p>
        </w:tc>
        <w:tc>
          <w:tcPr>
            <w:tcW w:w="1590" w:type="dxa"/>
          </w:tcPr>
          <w:p w14:paraId="41651438" w14:textId="77777777" w:rsidR="00FE3107" w:rsidRPr="00191E19" w:rsidRDefault="00191E19">
            <w:pPr>
              <w:rPr>
                <w:highlight w:val="yellow"/>
              </w:rPr>
            </w:pPr>
            <w:r w:rsidRPr="00191E19">
              <w:rPr>
                <w:highlight w:val="yellow"/>
              </w:rPr>
              <w:t>19.09</w:t>
            </w:r>
          </w:p>
          <w:p w14:paraId="5DC57119" w14:textId="77777777" w:rsidR="00FE3107" w:rsidRDefault="00191E19">
            <w:r w:rsidRPr="00191E19">
              <w:rPr>
                <w:highlight w:val="yellow"/>
              </w:rPr>
              <w:t>Anna Verschik</w:t>
            </w:r>
          </w:p>
        </w:tc>
        <w:tc>
          <w:tcPr>
            <w:tcW w:w="6870" w:type="dxa"/>
          </w:tcPr>
          <w:p w14:paraId="7A90B43B" w14:textId="77777777" w:rsidR="00FE3107" w:rsidRDefault="00191E19">
            <w:r>
              <w:t>An overview of language contacts. Language maintenance, language shift, language death. Emergence of new languages (pidgins, cr</w:t>
            </w:r>
            <w:r>
              <w:t xml:space="preserve">eoles, mixed languages). </w:t>
            </w:r>
          </w:p>
        </w:tc>
      </w:tr>
      <w:tr w:rsidR="00FE3107" w14:paraId="497B312A" w14:textId="77777777">
        <w:tc>
          <w:tcPr>
            <w:tcW w:w="555" w:type="dxa"/>
          </w:tcPr>
          <w:p w14:paraId="0983105E" w14:textId="77777777" w:rsidR="00FE3107" w:rsidRDefault="00191E19">
            <w:r>
              <w:t>4.</w:t>
            </w:r>
          </w:p>
        </w:tc>
        <w:tc>
          <w:tcPr>
            <w:tcW w:w="1590" w:type="dxa"/>
          </w:tcPr>
          <w:p w14:paraId="04178FD0" w14:textId="77777777" w:rsidR="00FE3107" w:rsidRDefault="00191E19">
            <w:r>
              <w:t>26.09</w:t>
            </w:r>
          </w:p>
          <w:p w14:paraId="16F4D1BE" w14:textId="77777777" w:rsidR="00FE3107" w:rsidRDefault="00191E19">
            <w:r>
              <w:t xml:space="preserve">Serdar </w:t>
            </w:r>
            <w:proofErr w:type="spellStart"/>
            <w:r>
              <w:t>Tekin</w:t>
            </w:r>
            <w:proofErr w:type="spellEnd"/>
          </w:p>
        </w:tc>
        <w:tc>
          <w:tcPr>
            <w:tcW w:w="6870" w:type="dxa"/>
          </w:tcPr>
          <w:p w14:paraId="491F1BD2" w14:textId="77777777" w:rsidR="00FE3107" w:rsidRDefault="00191E19">
            <w:pPr>
              <w:rPr>
                <w:i/>
              </w:rPr>
            </w:pPr>
            <w:r>
              <w:t xml:space="preserve">Understanding multilingualism: how views have changed (from pseudo-science till now) </w:t>
            </w:r>
          </w:p>
        </w:tc>
      </w:tr>
      <w:tr w:rsidR="00FE3107" w14:paraId="3B9D8A47" w14:textId="77777777">
        <w:trPr>
          <w:trHeight w:val="722"/>
        </w:trPr>
        <w:tc>
          <w:tcPr>
            <w:tcW w:w="555" w:type="dxa"/>
          </w:tcPr>
          <w:p w14:paraId="1619E4FD" w14:textId="77777777" w:rsidR="00FE3107" w:rsidRDefault="00191E19">
            <w:r>
              <w:t>5.</w:t>
            </w:r>
          </w:p>
        </w:tc>
        <w:tc>
          <w:tcPr>
            <w:tcW w:w="1590" w:type="dxa"/>
          </w:tcPr>
          <w:p w14:paraId="7A727162" w14:textId="77777777" w:rsidR="00FE3107" w:rsidRDefault="00191E19">
            <w:r>
              <w:t>03.10</w:t>
            </w:r>
          </w:p>
          <w:p w14:paraId="1374B4A4" w14:textId="77777777" w:rsidR="00FE3107" w:rsidRDefault="00191E19">
            <w:r>
              <w:t xml:space="preserve">Serdar </w:t>
            </w:r>
            <w:proofErr w:type="spellStart"/>
            <w:r>
              <w:t>Tekin</w:t>
            </w:r>
            <w:proofErr w:type="spellEnd"/>
          </w:p>
        </w:tc>
        <w:tc>
          <w:tcPr>
            <w:tcW w:w="6870" w:type="dxa"/>
          </w:tcPr>
          <w:p w14:paraId="7F42AAC0" w14:textId="77777777" w:rsidR="00FE3107" w:rsidRDefault="00191E19">
            <w:r>
              <w:t>Multilingualism. Problematizing „mother tongue”. Individual and societal multilingualism. Diglossi</w:t>
            </w:r>
            <w:r>
              <w:t>a and bilingualism.</w:t>
            </w:r>
          </w:p>
        </w:tc>
      </w:tr>
      <w:tr w:rsidR="00FE3107" w14:paraId="6B88AA9A" w14:textId="77777777">
        <w:tc>
          <w:tcPr>
            <w:tcW w:w="555" w:type="dxa"/>
          </w:tcPr>
          <w:p w14:paraId="25CE8975" w14:textId="77777777" w:rsidR="00FE3107" w:rsidRDefault="00191E19">
            <w:r>
              <w:t>6.</w:t>
            </w:r>
          </w:p>
        </w:tc>
        <w:tc>
          <w:tcPr>
            <w:tcW w:w="1590" w:type="dxa"/>
          </w:tcPr>
          <w:p w14:paraId="7F7C01CD" w14:textId="77777777" w:rsidR="00FE3107" w:rsidRDefault="00191E19">
            <w:r>
              <w:t>10.10</w:t>
            </w:r>
          </w:p>
          <w:p w14:paraId="535E0D6F" w14:textId="77777777" w:rsidR="00FE3107" w:rsidRDefault="00191E19">
            <w:proofErr w:type="spellStart"/>
            <w:r>
              <w:t>Piret</w:t>
            </w:r>
            <w:proofErr w:type="spellEnd"/>
            <w:r>
              <w:t xml:space="preserve"> Baird</w:t>
            </w:r>
          </w:p>
        </w:tc>
        <w:tc>
          <w:tcPr>
            <w:tcW w:w="6870" w:type="dxa"/>
          </w:tcPr>
          <w:p w14:paraId="5A362DD2" w14:textId="77777777" w:rsidR="00FE3107" w:rsidRDefault="00191E19">
            <w:r>
              <w:t xml:space="preserve">Language policy: status planning, corpus planning, acquisition planning. </w:t>
            </w:r>
            <w:proofErr w:type="spellStart"/>
            <w:r>
              <w:t>Spolsky’s</w:t>
            </w:r>
            <w:proofErr w:type="spellEnd"/>
            <w:r>
              <w:t xml:space="preserve"> language management model.</w:t>
            </w:r>
          </w:p>
        </w:tc>
      </w:tr>
      <w:tr w:rsidR="00FE3107" w14:paraId="3445B1E5" w14:textId="77777777">
        <w:tc>
          <w:tcPr>
            <w:tcW w:w="555" w:type="dxa"/>
          </w:tcPr>
          <w:p w14:paraId="7505C390" w14:textId="77777777" w:rsidR="00FE3107" w:rsidRDefault="00191E19">
            <w:r>
              <w:t>7.</w:t>
            </w:r>
          </w:p>
        </w:tc>
        <w:tc>
          <w:tcPr>
            <w:tcW w:w="1590" w:type="dxa"/>
          </w:tcPr>
          <w:p w14:paraId="792C619F" w14:textId="77777777" w:rsidR="00FE3107" w:rsidRDefault="00191E19">
            <w:r>
              <w:t>17.10</w:t>
            </w:r>
          </w:p>
        </w:tc>
        <w:tc>
          <w:tcPr>
            <w:tcW w:w="6870" w:type="dxa"/>
          </w:tcPr>
          <w:p w14:paraId="36AA09C6" w14:textId="77777777" w:rsidR="00FE3107" w:rsidRDefault="00191E19">
            <w:r>
              <w:t>Language ideology, corpus planning and identity.</w:t>
            </w:r>
          </w:p>
        </w:tc>
      </w:tr>
      <w:tr w:rsidR="00FE3107" w14:paraId="636EFE56" w14:textId="77777777">
        <w:tc>
          <w:tcPr>
            <w:tcW w:w="555" w:type="dxa"/>
          </w:tcPr>
          <w:p w14:paraId="70C6642C" w14:textId="77777777" w:rsidR="00FE3107" w:rsidRDefault="00191E19">
            <w:r>
              <w:t>8.</w:t>
            </w:r>
          </w:p>
        </w:tc>
        <w:tc>
          <w:tcPr>
            <w:tcW w:w="1590" w:type="dxa"/>
          </w:tcPr>
          <w:p w14:paraId="05FDDEDA" w14:textId="77777777" w:rsidR="00FE3107" w:rsidRDefault="00191E19">
            <w:r>
              <w:t>31.10</w:t>
            </w:r>
          </w:p>
          <w:p w14:paraId="775B1634" w14:textId="77777777" w:rsidR="00FE3107" w:rsidRDefault="00191E19">
            <w:proofErr w:type="spellStart"/>
            <w:r>
              <w:t>Piret</w:t>
            </w:r>
            <w:proofErr w:type="spellEnd"/>
            <w:r>
              <w:t xml:space="preserve"> Baird</w:t>
            </w:r>
          </w:p>
        </w:tc>
        <w:tc>
          <w:tcPr>
            <w:tcW w:w="6870" w:type="dxa"/>
          </w:tcPr>
          <w:p w14:paraId="7C6FADE4" w14:textId="77777777" w:rsidR="00FE3107" w:rsidRDefault="00191E19">
            <w:r>
              <w:t xml:space="preserve">Language minority and majority. Problems of minority definition (especially in the light of post-Soviet situation).  </w:t>
            </w:r>
          </w:p>
        </w:tc>
      </w:tr>
      <w:tr w:rsidR="00FE3107" w14:paraId="3FCD8AE4" w14:textId="77777777">
        <w:tc>
          <w:tcPr>
            <w:tcW w:w="555" w:type="dxa"/>
          </w:tcPr>
          <w:p w14:paraId="3420027C" w14:textId="77777777" w:rsidR="00FE3107" w:rsidRDefault="00191E19">
            <w:r>
              <w:t>9.</w:t>
            </w:r>
          </w:p>
        </w:tc>
        <w:tc>
          <w:tcPr>
            <w:tcW w:w="1590" w:type="dxa"/>
          </w:tcPr>
          <w:p w14:paraId="4B0C0F56" w14:textId="77777777" w:rsidR="00FE3107" w:rsidRDefault="00191E19">
            <w:r>
              <w:t>07.11</w:t>
            </w:r>
          </w:p>
          <w:p w14:paraId="28B52A3D" w14:textId="77777777" w:rsidR="00FE3107" w:rsidRDefault="00191E19">
            <w:r>
              <w:t xml:space="preserve">Serdar </w:t>
            </w:r>
            <w:proofErr w:type="spellStart"/>
            <w:r>
              <w:t>Tekin</w:t>
            </w:r>
            <w:proofErr w:type="spellEnd"/>
          </w:p>
        </w:tc>
        <w:tc>
          <w:tcPr>
            <w:tcW w:w="6870" w:type="dxa"/>
          </w:tcPr>
          <w:p w14:paraId="49223163" w14:textId="77777777" w:rsidR="00FE3107" w:rsidRDefault="00191E19">
            <w:r>
              <w:t>Multilingual speech. Code-switching and its types. Examples of multilingual communication.</w:t>
            </w:r>
          </w:p>
        </w:tc>
      </w:tr>
      <w:tr w:rsidR="00FE3107" w14:paraId="235CEA21" w14:textId="77777777">
        <w:tc>
          <w:tcPr>
            <w:tcW w:w="555" w:type="dxa"/>
          </w:tcPr>
          <w:p w14:paraId="4B562432" w14:textId="77777777" w:rsidR="00FE3107" w:rsidRDefault="00191E19">
            <w:r>
              <w:t>10.</w:t>
            </w:r>
          </w:p>
        </w:tc>
        <w:tc>
          <w:tcPr>
            <w:tcW w:w="1590" w:type="dxa"/>
          </w:tcPr>
          <w:p w14:paraId="42B76410" w14:textId="77777777" w:rsidR="00FE3107" w:rsidRDefault="00191E19">
            <w:r>
              <w:t>14.11</w:t>
            </w:r>
          </w:p>
          <w:p w14:paraId="108681BF" w14:textId="77777777" w:rsidR="00FE3107" w:rsidRDefault="00191E19">
            <w:proofErr w:type="spellStart"/>
            <w:r>
              <w:t>Piret</w:t>
            </w:r>
            <w:proofErr w:type="spellEnd"/>
            <w:r>
              <w:t xml:space="preserve"> Baird</w:t>
            </w:r>
          </w:p>
        </w:tc>
        <w:tc>
          <w:tcPr>
            <w:tcW w:w="6870" w:type="dxa"/>
          </w:tcPr>
          <w:p w14:paraId="132C3E40" w14:textId="77777777" w:rsidR="00FE3107" w:rsidRDefault="00191E19">
            <w:r>
              <w:t>M</w:t>
            </w:r>
            <w:r>
              <w:t>ulticompetence model. Family language policy. Maintaining multilingualism</w:t>
            </w:r>
          </w:p>
        </w:tc>
      </w:tr>
      <w:tr w:rsidR="00FE3107" w14:paraId="3B68627C" w14:textId="77777777">
        <w:tc>
          <w:tcPr>
            <w:tcW w:w="555" w:type="dxa"/>
          </w:tcPr>
          <w:p w14:paraId="3E8EB567" w14:textId="77777777" w:rsidR="00FE3107" w:rsidRDefault="00191E19">
            <w:r>
              <w:t>11.</w:t>
            </w:r>
          </w:p>
        </w:tc>
        <w:tc>
          <w:tcPr>
            <w:tcW w:w="1590" w:type="dxa"/>
          </w:tcPr>
          <w:p w14:paraId="03D1F9DA" w14:textId="77777777" w:rsidR="00FE3107" w:rsidRDefault="00191E19">
            <w:r>
              <w:t>21.11</w:t>
            </w:r>
          </w:p>
          <w:p w14:paraId="296AD3F9" w14:textId="77777777" w:rsidR="00FE3107" w:rsidRDefault="00191E19">
            <w:r>
              <w:t xml:space="preserve">Serdar </w:t>
            </w:r>
            <w:proofErr w:type="spellStart"/>
            <w:r>
              <w:t>Tekin</w:t>
            </w:r>
            <w:proofErr w:type="spellEnd"/>
          </w:p>
        </w:tc>
        <w:tc>
          <w:tcPr>
            <w:tcW w:w="6870" w:type="dxa"/>
            <w:tcBorders>
              <w:top w:val="single" w:sz="5" w:space="0" w:color="000000"/>
              <w:left w:val="single" w:sz="5" w:space="0" w:color="000000"/>
              <w:bottom w:val="single" w:sz="5" w:space="0" w:color="000000"/>
              <w:right w:val="single" w:sz="5" w:space="0" w:color="000000"/>
            </w:tcBorders>
            <w:tcMar>
              <w:top w:w="0" w:type="dxa"/>
              <w:left w:w="120" w:type="dxa"/>
              <w:bottom w:w="0" w:type="dxa"/>
              <w:right w:w="120" w:type="dxa"/>
            </w:tcMar>
          </w:tcPr>
          <w:p w14:paraId="0252BEA5" w14:textId="77777777" w:rsidR="00FE3107" w:rsidRDefault="00191E19">
            <w:pPr>
              <w:spacing w:line="288" w:lineRule="auto"/>
            </w:pPr>
            <w:r>
              <w:t xml:space="preserve">Language and identity: ethnic, linguistic, </w:t>
            </w:r>
            <w:proofErr w:type="spellStart"/>
            <w:r>
              <w:t>ethnoconfessional</w:t>
            </w:r>
            <w:proofErr w:type="spellEnd"/>
            <w:r>
              <w:t xml:space="preserve"> etc.</w:t>
            </w:r>
          </w:p>
        </w:tc>
      </w:tr>
      <w:tr w:rsidR="00FE3107" w14:paraId="39CB6054" w14:textId="77777777">
        <w:tc>
          <w:tcPr>
            <w:tcW w:w="555" w:type="dxa"/>
          </w:tcPr>
          <w:p w14:paraId="2E96FEC6" w14:textId="77777777" w:rsidR="00FE3107" w:rsidRDefault="00191E19">
            <w:r>
              <w:t>12.</w:t>
            </w:r>
          </w:p>
        </w:tc>
        <w:tc>
          <w:tcPr>
            <w:tcW w:w="1590" w:type="dxa"/>
          </w:tcPr>
          <w:p w14:paraId="71B8C699" w14:textId="77777777" w:rsidR="00FE3107" w:rsidRPr="00191E19" w:rsidRDefault="00191E19">
            <w:pPr>
              <w:rPr>
                <w:highlight w:val="yellow"/>
              </w:rPr>
            </w:pPr>
            <w:r w:rsidRPr="00191E19">
              <w:rPr>
                <w:highlight w:val="yellow"/>
              </w:rPr>
              <w:t>28.11</w:t>
            </w:r>
          </w:p>
          <w:p w14:paraId="58A7BF29" w14:textId="77777777" w:rsidR="00FE3107" w:rsidRDefault="00191E19">
            <w:r w:rsidRPr="00191E19">
              <w:rPr>
                <w:highlight w:val="yellow"/>
              </w:rPr>
              <w:t>Anna Verschik</w:t>
            </w:r>
          </w:p>
        </w:tc>
        <w:tc>
          <w:tcPr>
            <w:tcW w:w="6870" w:type="dxa"/>
          </w:tcPr>
          <w:p w14:paraId="365D712B" w14:textId="77777777" w:rsidR="00FE3107" w:rsidRDefault="00191E19">
            <w:r>
              <w:t>Language, identity and creative writing: some case studies</w:t>
            </w:r>
          </w:p>
        </w:tc>
      </w:tr>
      <w:tr w:rsidR="00FE3107" w14:paraId="7BB8F36B" w14:textId="77777777">
        <w:tc>
          <w:tcPr>
            <w:tcW w:w="555" w:type="dxa"/>
          </w:tcPr>
          <w:p w14:paraId="4A3B4AF6" w14:textId="77777777" w:rsidR="00FE3107" w:rsidRDefault="00191E19">
            <w:r>
              <w:t>13.</w:t>
            </w:r>
          </w:p>
        </w:tc>
        <w:tc>
          <w:tcPr>
            <w:tcW w:w="1590" w:type="dxa"/>
          </w:tcPr>
          <w:p w14:paraId="5FB78E0A" w14:textId="77777777" w:rsidR="00FE3107" w:rsidRPr="00191E19" w:rsidRDefault="00191E19">
            <w:pPr>
              <w:rPr>
                <w:highlight w:val="yellow"/>
              </w:rPr>
            </w:pPr>
            <w:r w:rsidRPr="00191E19">
              <w:rPr>
                <w:highlight w:val="yellow"/>
              </w:rPr>
              <w:t>05.12</w:t>
            </w:r>
          </w:p>
          <w:p w14:paraId="1FD10B33" w14:textId="77777777" w:rsidR="00FE3107" w:rsidRDefault="00191E19">
            <w:r w:rsidRPr="00191E19">
              <w:rPr>
                <w:highlight w:val="yellow"/>
              </w:rPr>
              <w:t>Anna</w:t>
            </w:r>
            <w:r>
              <w:t xml:space="preserve"> Verschik</w:t>
            </w:r>
          </w:p>
        </w:tc>
        <w:tc>
          <w:tcPr>
            <w:tcW w:w="6870" w:type="dxa"/>
          </w:tcPr>
          <w:p w14:paraId="31A756C8" w14:textId="77777777" w:rsidR="00FE3107" w:rsidRDefault="00191E19">
            <w:r>
              <w:t>Language situation in Ukraine</w:t>
            </w:r>
          </w:p>
        </w:tc>
      </w:tr>
      <w:tr w:rsidR="00FE3107" w14:paraId="12728380" w14:textId="77777777">
        <w:tc>
          <w:tcPr>
            <w:tcW w:w="555" w:type="dxa"/>
          </w:tcPr>
          <w:p w14:paraId="015F5BFE" w14:textId="77777777" w:rsidR="00FE3107" w:rsidRDefault="00191E19">
            <w:r>
              <w:t>14.</w:t>
            </w:r>
          </w:p>
        </w:tc>
        <w:tc>
          <w:tcPr>
            <w:tcW w:w="1590" w:type="dxa"/>
          </w:tcPr>
          <w:p w14:paraId="4258C629" w14:textId="77777777" w:rsidR="00FE3107" w:rsidRPr="00191E19" w:rsidRDefault="00191E19">
            <w:pPr>
              <w:rPr>
                <w:highlight w:val="yellow"/>
              </w:rPr>
            </w:pPr>
            <w:r w:rsidRPr="00191E19">
              <w:rPr>
                <w:highlight w:val="yellow"/>
              </w:rPr>
              <w:t>12.12</w:t>
            </w:r>
          </w:p>
          <w:p w14:paraId="62B6F726" w14:textId="77777777" w:rsidR="00FE3107" w:rsidRDefault="00191E19">
            <w:r w:rsidRPr="00191E19">
              <w:rPr>
                <w:highlight w:val="yellow"/>
              </w:rPr>
              <w:t>Anna Verschik</w:t>
            </w:r>
          </w:p>
        </w:tc>
        <w:tc>
          <w:tcPr>
            <w:tcW w:w="6870" w:type="dxa"/>
          </w:tcPr>
          <w:p w14:paraId="20345375" w14:textId="77777777" w:rsidR="00FE3107" w:rsidRDefault="00191E19">
            <w:r>
              <w:t>Test (additional dates will be assigned later)</w:t>
            </w:r>
          </w:p>
        </w:tc>
      </w:tr>
    </w:tbl>
    <w:p w14:paraId="4E2B90BA" w14:textId="77777777" w:rsidR="00FE3107" w:rsidRDefault="00FE3107"/>
    <w:p w14:paraId="785C177E" w14:textId="77777777" w:rsidR="00FE3107" w:rsidRDefault="00FE3107"/>
    <w:p w14:paraId="7FFE3A80" w14:textId="77777777" w:rsidR="00FE3107" w:rsidRDefault="00191E19">
      <w:pPr>
        <w:rPr>
          <w:b/>
        </w:rPr>
      </w:pPr>
      <w:r>
        <w:rPr>
          <w:b/>
        </w:rPr>
        <w:t>To pass the course</w:t>
      </w:r>
      <w:r>
        <w:t>, it is necessary to pass the test and complete two assignments (see below)</w:t>
      </w:r>
    </w:p>
    <w:p w14:paraId="571738E9" w14:textId="77777777" w:rsidR="00FE3107" w:rsidRDefault="00191E19">
      <w:pPr>
        <w:rPr>
          <w:b/>
        </w:rPr>
      </w:pPr>
      <w:r>
        <w:rPr>
          <w:b/>
        </w:rPr>
        <w:t>The use of Artificial Intelligence is not allowed!</w:t>
      </w:r>
    </w:p>
    <w:p w14:paraId="30EF1897" w14:textId="77777777" w:rsidR="00FE3107" w:rsidRDefault="00FE3107">
      <w:pPr>
        <w:rPr>
          <w:b/>
        </w:rPr>
      </w:pPr>
    </w:p>
    <w:p w14:paraId="5F8F1971" w14:textId="77777777" w:rsidR="00FE3107" w:rsidRDefault="00191E19">
      <w:r>
        <w:t>1) Assignment prior to the lecture on multilingualism (3.10). Please collect examples of multilingual speech (conversations, onl</w:t>
      </w:r>
      <w:r>
        <w:t xml:space="preserve">ine communication etc) or multilingual environments (multilingual signs, multilingual humour etc.). You need to share the material with the instructors prior to the lecture (for instance, on Google Drive). After the lecture you have to </w:t>
      </w:r>
      <w:r>
        <w:lastRenderedPageBreak/>
        <w:t>write 1-2 pages of r</w:t>
      </w:r>
      <w:r>
        <w:t xml:space="preserve">eflection where you link your material with what you hear during the lecture - 10 points (deadline 10.10).  </w:t>
      </w:r>
      <w:r>
        <w:rPr>
          <w:b/>
        </w:rPr>
        <w:t>10 p</w:t>
      </w:r>
      <w:r>
        <w:t>.</w:t>
      </w:r>
    </w:p>
    <w:p w14:paraId="0FCFF3EC" w14:textId="77777777" w:rsidR="00FE3107" w:rsidRDefault="00191E19">
      <w:r>
        <w:t xml:space="preserve">2) Family language policy group work (based on the lecture on 14.11). Small groups will be formed and the groups will find informants (either </w:t>
      </w:r>
      <w:r>
        <w:t>a couple/family of non-Estonian origin living permanently in Estonia or a mixed family where one of the parents is a speaker of Estonian and the other is not). You will have to conduct a brief interview and to write 1-2 pages of analysis, based on independ</w:t>
      </w:r>
      <w:r>
        <w:t xml:space="preserve">ent reading (the articles will be uploaded on ÕIS). Part of the assignment is filling out an evaluation form of </w:t>
      </w:r>
      <w:proofErr w:type="spellStart"/>
      <w:r>
        <w:t>your</w:t>
      </w:r>
      <w:proofErr w:type="spellEnd"/>
      <w:r>
        <w:t xml:space="preserve"> and your group mate’s contribution in order to aid the assessment process. Deadline 28.11 (send your analysis to the instructors). </w:t>
      </w:r>
      <w:r>
        <w:rPr>
          <w:b/>
        </w:rPr>
        <w:t>20 p</w:t>
      </w:r>
      <w:r>
        <w:t>.</w:t>
      </w:r>
    </w:p>
    <w:p w14:paraId="37CD5F7B" w14:textId="77777777" w:rsidR="00FE3107" w:rsidRDefault="00191E19">
      <w:r>
        <w:t>3)</w:t>
      </w:r>
      <w:r>
        <w:t xml:space="preserve"> Test: some questions are multiple choice questions and in some </w:t>
      </w:r>
      <w:proofErr w:type="gramStart"/>
      <w:r>
        <w:t>questions</w:t>
      </w:r>
      <w:proofErr w:type="gramEnd"/>
      <w:r>
        <w:t xml:space="preserve"> you have to write a more detailed answer (several sentences). The minimal number of points to pass the test is 36 p. During the examination session two additional dates for the test </w:t>
      </w:r>
      <w:r>
        <w:t xml:space="preserve">will be assigned. This will be agreed upon later prior to the announcement of exam dates. </w:t>
      </w:r>
      <w:r>
        <w:rPr>
          <w:b/>
        </w:rPr>
        <w:t>70 p</w:t>
      </w:r>
    </w:p>
    <w:sectPr w:rsidR="00FE310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107"/>
    <w:rsid w:val="00191E19"/>
    <w:rsid w:val="00FE31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CCAA"/>
  <w15:docId w15:val="{8D1FE400-380C-410F-8109-B89101F5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he-I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paragraph" w:styleId="Pealkiri1">
    <w:name w:val="heading 1"/>
    <w:basedOn w:val="Normaallaad"/>
    <w:next w:val="Normaallaad"/>
    <w:uiPriority w:val="9"/>
    <w:qFormat/>
    <w:pPr>
      <w:keepNext/>
      <w:keepLines/>
      <w:spacing w:before="480" w:after="120"/>
      <w:outlineLvl w:val="0"/>
    </w:pPr>
    <w:rPr>
      <w:b/>
      <w:sz w:val="48"/>
      <w:szCs w:val="48"/>
    </w:rPr>
  </w:style>
  <w:style w:type="paragraph" w:styleId="Pealkiri2">
    <w:name w:val="heading 2"/>
    <w:basedOn w:val="Normaallaad"/>
    <w:next w:val="Normaallaad"/>
    <w:uiPriority w:val="9"/>
    <w:semiHidden/>
    <w:unhideWhenUsed/>
    <w:qFormat/>
    <w:pPr>
      <w:keepNext/>
      <w:keepLines/>
      <w:spacing w:before="360" w:after="80"/>
      <w:outlineLvl w:val="1"/>
    </w:pPr>
    <w:rPr>
      <w:b/>
      <w:sz w:val="36"/>
      <w:szCs w:val="36"/>
    </w:rPr>
  </w:style>
  <w:style w:type="paragraph" w:styleId="Pealkiri3">
    <w:name w:val="heading 3"/>
    <w:basedOn w:val="Normaallaad"/>
    <w:next w:val="Normaallaad"/>
    <w:uiPriority w:val="9"/>
    <w:semiHidden/>
    <w:unhideWhenUsed/>
    <w:qFormat/>
    <w:pPr>
      <w:keepNext/>
      <w:keepLines/>
      <w:spacing w:before="280" w:after="80"/>
      <w:outlineLvl w:val="2"/>
    </w:pPr>
    <w:rPr>
      <w:b/>
      <w:sz w:val="28"/>
      <w:szCs w:val="28"/>
    </w:rPr>
  </w:style>
  <w:style w:type="paragraph" w:styleId="Pealkiri4">
    <w:name w:val="heading 4"/>
    <w:basedOn w:val="Normaallaad"/>
    <w:next w:val="Normaallaad"/>
    <w:uiPriority w:val="9"/>
    <w:semiHidden/>
    <w:unhideWhenUsed/>
    <w:qFormat/>
    <w:pPr>
      <w:keepNext/>
      <w:keepLines/>
      <w:spacing w:before="240" w:after="40"/>
      <w:outlineLvl w:val="3"/>
    </w:pPr>
    <w:rPr>
      <w:b/>
    </w:rPr>
  </w:style>
  <w:style w:type="paragraph" w:styleId="Pealkiri5">
    <w:name w:val="heading 5"/>
    <w:basedOn w:val="Normaallaad"/>
    <w:next w:val="Normaallaad"/>
    <w:uiPriority w:val="9"/>
    <w:semiHidden/>
    <w:unhideWhenUsed/>
    <w:qFormat/>
    <w:pPr>
      <w:keepNext/>
      <w:keepLines/>
      <w:spacing w:before="220" w:after="40"/>
      <w:outlineLvl w:val="4"/>
    </w:pPr>
    <w:rPr>
      <w:b/>
      <w:sz w:val="22"/>
      <w:szCs w:val="22"/>
    </w:rPr>
  </w:style>
  <w:style w:type="paragraph" w:styleId="Pealkiri6">
    <w:name w:val="heading 6"/>
    <w:basedOn w:val="Normaallaad"/>
    <w:next w:val="Normaallaad"/>
    <w:uiPriority w:val="9"/>
    <w:semiHidden/>
    <w:unhideWhenUsed/>
    <w:qFormat/>
    <w:pPr>
      <w:keepNext/>
      <w:keepLines/>
      <w:spacing w:before="200" w:after="40"/>
      <w:outlineLvl w:val="5"/>
    </w:pPr>
    <w:rPr>
      <w:b/>
      <w:sz w:val="20"/>
      <w:szCs w:val="20"/>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Pealkiri">
    <w:name w:val="Title"/>
    <w:basedOn w:val="Normaallaad"/>
    <w:next w:val="Normaallaad"/>
    <w:uiPriority w:val="10"/>
    <w:qFormat/>
    <w:pPr>
      <w:keepNext/>
      <w:keepLines/>
      <w:spacing w:before="480" w:after="120"/>
    </w:pPr>
    <w:rPr>
      <w:b/>
      <w:sz w:val="72"/>
      <w:szCs w:val="72"/>
    </w:rPr>
  </w:style>
  <w:style w:type="character" w:styleId="Hperlink">
    <w:name w:val="Hyperlink"/>
    <w:basedOn w:val="Liguvaikefont"/>
    <w:uiPriority w:val="99"/>
    <w:unhideWhenUsed/>
    <w:rsid w:val="00D708AB"/>
    <w:rPr>
      <w:color w:val="0563C1" w:themeColor="hyperlink"/>
      <w:u w:val="single"/>
    </w:rPr>
  </w:style>
  <w:style w:type="paragraph" w:styleId="Loendilik">
    <w:name w:val="List Paragraph"/>
    <w:uiPriority w:val="34"/>
    <w:qFormat/>
    <w:rsid w:val="00270436"/>
    <w:pPr>
      <w:ind w:left="720"/>
      <w:contextualSpacing/>
    </w:pPr>
  </w:style>
  <w:style w:type="paragraph" w:customStyle="1" w:styleId="Default">
    <w:name w:val="Default"/>
    <w:rsid w:val="00A41B6A"/>
    <w:pPr>
      <w:autoSpaceDE w:val="0"/>
      <w:autoSpaceDN w:val="0"/>
      <w:adjustRightInd w:val="0"/>
      <w:jc w:val="left"/>
    </w:pPr>
    <w:rPr>
      <w:color w:val="000000"/>
      <w:lang w:val="en-US"/>
    </w:rPr>
  </w:style>
  <w:style w:type="paragraph" w:styleId="Alapealkiri">
    <w:name w:val="Subtitle"/>
    <w:basedOn w:val="Normaallaad"/>
    <w:next w:val="Normaallaa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We6v4tW0f/T2rZ6H1wY8afm8ew==">CgMxLjA4AHIhMVpHVWx1YTFpQW9wMDZfVDg3WjRObmFsWjZsdklrYzZy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 Verschik</cp:lastModifiedBy>
  <cp:revision>2</cp:revision>
  <dcterms:created xsi:type="dcterms:W3CDTF">2024-08-19T08:17:00Z</dcterms:created>
  <dcterms:modified xsi:type="dcterms:W3CDTF">2025-08-25T09:54:00Z</dcterms:modified>
</cp:coreProperties>
</file>