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2"/>
        </w:rPr>
        <w:t>SIES GRADUATE SCHOOL OF TECHNOLOGY</w:t>
      </w:r>
    </w:p>
    <w:p>
      <w:pPr>
        <w:spacing w:after="0"/>
        <w:jc w:val="center"/>
      </w:pPr>
      <w:r>
        <w:rPr>
          <w:rFonts w:ascii="Arial" w:hAnsi="Arial"/>
          <w:b/>
          <w:sz w:val="18"/>
        </w:rPr>
        <w:t>DEPARTMENT OF COMPUTER ENGINEERING</w:t>
      </w:r>
    </w:p>
    <w:p>
      <w:pPr>
        <w:spacing w:after="0"/>
        <w:jc w:val="center"/>
      </w:pPr>
      <w:r>
        <w:rPr>
          <w:rFonts w:ascii="Arial" w:hAnsi="Arial"/>
          <w:b/>
          <w:sz w:val="20"/>
        </w:rPr>
        <w:t>DATA WAREHOUSING AND MINING (DWM) – LAB ASSIGNMENT REPORT</w:t>
      </w:r>
    </w:p>
    <w:p>
      <w:pPr>
        <w:pStyle w:val="Heading1"/>
      </w:pPr>
      <w:r>
        <w:t>Group and Project Details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4608"/>
            <w:shd w:fill="D9EAF7"/>
            <w:vAlign w:val="center"/>
          </w:tcPr>
          <w:p>
            <w:pPr>
              <w:spacing w:after="0"/>
            </w:pPr>
            <w:r>
              <w:rPr>
                <w:rFonts w:ascii="Arial" w:hAnsi="Arial"/>
                <w:sz w:val="13"/>
              </w:rPr>
              <w:t>Project Title</w:t>
            </w:r>
          </w:p>
        </w:tc>
        <w:tc>
          <w:tcPr>
            <w:tcW w:type="dxa" w:w="864"/>
            <w:shd w:fill="D9EAF7"/>
            <w:vAlign w:val="center"/>
          </w:tcPr>
          <w:p>
            <w:pPr>
              <w:spacing w:after="0"/>
            </w:pPr>
            <w:r>
              <w:rPr>
                <w:rFonts w:ascii="Arial" w:hAnsi="Arial"/>
                <w:sz w:val="13"/>
              </w:rPr>
              <w:t>Group No.</w:t>
            </w:r>
          </w:p>
        </w:tc>
        <w:tc>
          <w:tcPr>
            <w:tcW w:type="dxa" w:w="1944"/>
            <w:shd w:fill="D9EAF7"/>
            <w:vAlign w:val="center"/>
          </w:tcPr>
          <w:p>
            <w:pPr>
              <w:spacing w:after="0"/>
            </w:pPr>
            <w:r>
              <w:rPr>
                <w:rFonts w:ascii="Arial" w:hAnsi="Arial"/>
                <w:sz w:val="13"/>
              </w:rPr>
              <w:t>Faculty Name</w:t>
            </w:r>
          </w:p>
        </w:tc>
        <w:tc>
          <w:tcPr>
            <w:tcW w:type="dxa" w:w="1584"/>
            <w:shd w:fill="D9EAF7"/>
            <w:vAlign w:val="center"/>
          </w:tcPr>
          <w:p>
            <w:pPr>
              <w:spacing w:after="0"/>
            </w:pPr>
            <w:r>
              <w:rPr>
                <w:rFonts w:ascii="Arial" w:hAnsi="Arial"/>
                <w:sz w:val="13"/>
              </w:rPr>
              <w:t>Submission Date</w:t>
            </w:r>
          </w:p>
        </w:tc>
      </w:tr>
      <w:tr>
        <w:tc>
          <w:tcPr>
            <w:tcW w:type="dxa" w:w="4608"/>
            <w:vAlign w:val="center"/>
          </w:tcPr>
          <w:p>
            <w:pPr>
              <w:spacing w:after="0"/>
            </w:pPr>
            <w:r>
              <w:rPr>
                <w:rFonts w:ascii="Arial" w:hAnsi="Arial"/>
                <w:sz w:val="13"/>
              </w:rPr>
              <w:t>Predictive Maintenance Using Gower-Style Similarity and k-NN</w:t>
            </w:r>
          </w:p>
        </w:tc>
        <w:tc>
          <w:tcPr>
            <w:tcW w:type="dxa" w:w="864"/>
            <w:vAlign w:val="center"/>
          </w:tcPr>
          <w:p>
            <w:pPr>
              <w:spacing w:after="0"/>
            </w:pPr>
            <w:r>
              <w:rPr>
                <w:rFonts w:ascii="Arial" w:hAnsi="Arial"/>
                <w:sz w:val="13"/>
              </w:rPr>
              <w:t>1</w:t>
            </w:r>
          </w:p>
        </w:tc>
        <w:tc>
          <w:tcPr>
            <w:tcW w:type="dxa" w:w="1944"/>
            <w:vAlign w:val="center"/>
          </w:tcPr>
          <w:p>
            <w:pPr>
              <w:spacing w:after="0"/>
            </w:pPr>
            <w:r>
              <w:rPr>
                <w:rFonts w:ascii="Arial" w:hAnsi="Arial"/>
                <w:sz w:val="13"/>
              </w:rPr>
              <w:t>________________</w:t>
            </w:r>
          </w:p>
        </w:tc>
        <w:tc>
          <w:tcPr>
            <w:tcW w:type="dxa" w:w="1584"/>
            <w:vAlign w:val="center"/>
          </w:tcPr>
          <w:p>
            <w:pPr>
              <w:spacing w:after="0"/>
            </w:pPr>
            <w:r>
              <w:rPr>
                <w:rFonts w:ascii="Arial" w:hAnsi="Arial"/>
                <w:sz w:val="13"/>
              </w:rPr>
              <w:t>31 October 2026</w:t>
            </w:r>
          </w:p>
        </w:tc>
      </w:tr>
    </w:tbl>
    <w:tbl>
      <w:tblPr>
        <w:tblStyle w:val="TableGrid"/>
        <w:tblW w:type="auto" w:w="0"/>
        <w:jc w:val="center"/>
        <w:tblLook w:firstColumn="1" w:firstRow="1" w:lastColumn="0" w:lastRow="0" w:noHBand="0" w:noVBand="1" w:val="04A0"/>
      </w:tblPr>
      <w:tblGrid>
        <w:gridCol w:w="5328"/>
        <w:gridCol w:w="5328"/>
      </w:tblGrid>
      <w:tr>
        <w:tc>
          <w:tcPr>
            <w:tcW w:type="dxa" w:w="5760"/>
            <w:shd w:fill="D9EAF7"/>
            <w:vAlign w:val="center"/>
          </w:tcPr>
          <w:p>
            <w:pPr>
              <w:spacing w:after="0"/>
            </w:pPr>
            <w:r>
              <w:rPr>
                <w:rFonts w:ascii="Arial" w:hAnsi="Arial"/>
                <w:sz w:val="13"/>
              </w:rPr>
              <w:t>Student Name</w:t>
            </w:r>
          </w:p>
        </w:tc>
        <w:tc>
          <w:tcPr>
            <w:tcW w:type="dxa" w:w="2880"/>
            <w:shd w:fill="D9EAF7"/>
            <w:vAlign w:val="center"/>
          </w:tcPr>
          <w:p>
            <w:pPr>
              <w:spacing w:after="0"/>
            </w:pPr>
            <w:r>
              <w:rPr>
                <w:rFonts w:ascii="Arial" w:hAnsi="Arial"/>
                <w:sz w:val="13"/>
              </w:rPr>
              <w:t>Roll Number</w:t>
            </w:r>
          </w:p>
        </w:tc>
      </w:tr>
      <w:tr>
        <w:tc>
          <w:tcPr>
            <w:tcW w:type="dxa" w:w="5760"/>
            <w:vAlign w:val="center"/>
          </w:tcPr>
          <w:p>
            <w:pPr>
              <w:spacing w:after="0"/>
            </w:pPr>
            <w:r>
              <w:rPr>
                <w:rFonts w:ascii="Arial" w:hAnsi="Arial"/>
                <w:sz w:val="13"/>
              </w:rPr>
              <w:t>Taazeen Ansari</w:t>
            </w:r>
          </w:p>
        </w:tc>
        <w:tc>
          <w:tcPr>
            <w:tcW w:type="dxa" w:w="2880"/>
            <w:vAlign w:val="center"/>
          </w:tcPr>
          <w:p>
            <w:pPr>
              <w:spacing w:after="0"/>
            </w:pPr>
            <w:r>
              <w:rPr>
                <w:rFonts w:ascii="Arial" w:hAnsi="Arial"/>
                <w:sz w:val="13"/>
              </w:rPr>
              <w:t>124A1166</w:t>
            </w:r>
          </w:p>
        </w:tc>
      </w:tr>
      <w:tr>
        <w:tc>
          <w:tcPr>
            <w:tcW w:type="dxa" w:w="5760"/>
            <w:vAlign w:val="center"/>
          </w:tcPr>
          <w:p>
            <w:pPr>
              <w:spacing w:after="0"/>
            </w:pPr>
            <w:r>
              <w:rPr>
                <w:rFonts w:ascii="Arial" w:hAnsi="Arial"/>
                <w:sz w:val="13"/>
              </w:rPr>
              <w:t>Anusha Shetty</w:t>
            </w:r>
          </w:p>
        </w:tc>
        <w:tc>
          <w:tcPr>
            <w:tcW w:type="dxa" w:w="2880"/>
            <w:vAlign w:val="center"/>
          </w:tcPr>
          <w:p>
            <w:pPr>
              <w:spacing w:after="0"/>
            </w:pPr>
            <w:r>
              <w:rPr>
                <w:rFonts w:ascii="Arial" w:hAnsi="Arial"/>
                <w:sz w:val="13"/>
              </w:rPr>
              <w:t>124A1152</w:t>
            </w:r>
          </w:p>
        </w:tc>
      </w:tr>
      <w:tr>
        <w:tc>
          <w:tcPr>
            <w:tcW w:type="dxa" w:w="5760"/>
            <w:vAlign w:val="center"/>
          </w:tcPr>
          <w:p>
            <w:pPr>
              <w:spacing w:after="0"/>
            </w:pPr>
            <w:r>
              <w:rPr>
                <w:rFonts w:ascii="Arial" w:hAnsi="Arial"/>
                <w:sz w:val="13"/>
              </w:rPr>
              <w:t>Aarya Yewale</w:t>
            </w:r>
          </w:p>
        </w:tc>
        <w:tc>
          <w:tcPr>
            <w:tcW w:type="dxa" w:w="2880"/>
            <w:vAlign w:val="center"/>
          </w:tcPr>
          <w:p>
            <w:pPr>
              <w:spacing w:after="0"/>
            </w:pPr>
            <w:r>
              <w:rPr>
                <w:rFonts w:ascii="Arial" w:hAnsi="Arial"/>
                <w:sz w:val="13"/>
              </w:rPr>
              <w:t>124A1188</w:t>
            </w:r>
          </w:p>
        </w:tc>
      </w:tr>
      <w:tr>
        <w:tc>
          <w:tcPr>
            <w:tcW w:type="dxa" w:w="5760"/>
            <w:vAlign w:val="center"/>
          </w:tcPr>
          <w:p>
            <w:pPr>
              <w:spacing w:after="0"/>
            </w:pPr>
            <w:r>
              <w:rPr>
                <w:rFonts w:ascii="Arial" w:hAnsi="Arial"/>
                <w:sz w:val="13"/>
              </w:rPr>
              <w:t>Pranali Raut</w:t>
            </w:r>
          </w:p>
        </w:tc>
        <w:tc>
          <w:tcPr>
            <w:tcW w:type="dxa" w:w="2880"/>
            <w:vAlign w:val="center"/>
          </w:tcPr>
          <w:p>
            <w:pPr>
              <w:spacing w:after="0"/>
            </w:pPr>
            <w:r>
              <w:rPr>
                <w:rFonts w:ascii="Arial" w:hAnsi="Arial"/>
                <w:sz w:val="13"/>
              </w:rPr>
              <w:t>122A1071</w:t>
            </w:r>
          </w:p>
        </w:tc>
      </w:tr>
    </w:tbl>
    <w:p>
      <w:pPr>
        <w:pStyle w:val="Heading1"/>
      </w:pPr>
      <w:r>
        <w:t>1. Abstract</w:t>
      </w:r>
    </w:p>
    <w:p>
      <w:pPr>
        <w:spacing w:after="30"/>
      </w:pPr>
      <w:r>
        <w:t>This project implements a similarity-based predictive-maintenance classifier using the AI4I 2020 Predictive Maintenance Dataset. The objective is to classify a machine as Normal (0) or Failure (1). The dataset contains 10,000 records and 14 columns; six operating attributes are used as inputs and Machine failure is the binary target. A Gower-style measure combines nominal similarity for product Type with range-normalized similarity for five numeric sensor attributes. A k-Nearest Neighbors (k-NN) classifier with k=5 predicts the target. Three voting strategies were evaluated using a stratified 75:25 split. Standard voting achieved 97.40% accuracy, while class-balanced weighted voting achieved 71.76% failure recall and 83.17% balanced accuracy. The results demonstrate the effect of class imbalance on failure detection.</w:t>
      </w:r>
    </w:p>
    <w:p>
      <w:pPr>
        <w:pStyle w:val="Heading1"/>
      </w:pPr>
      <w:r>
        <w:t>2. Introduction and Problem Statement</w:t>
      </w:r>
    </w:p>
    <w:p>
      <w:pPr>
        <w:spacing w:after="30"/>
      </w:pPr>
      <w:r>
        <w:t>Industrial machines generate operating measurements such as temperature, rotational speed, torque and tool wear. Analysing these measurements can help identify patterns associated with machine failure and support maintenance planning. This project classifies a machine record as Normal or Failure by comparing it with similar labelled records. The scope is a binary-classification adaptation using AI4I; it does not produce the original assignment's three classes (Normal, Warning and Critical). The prototype is for academic demonstration and is not validated for operational maintenance decisions.</w:t>
      </w:r>
    </w:p>
    <w:p>
      <w:pPr>
        <w:pStyle w:val="Heading1"/>
      </w:pPr>
      <w:r>
        <w:t>3. Existing System / Literature Review</w:t>
      </w:r>
    </w:p>
    <w:p>
      <w:pPr>
        <w:spacing w:after="30"/>
      </w:pPr>
      <w:r>
        <w:t>Predictive-maintenance systems use condition monitoring, threshold-based alerts and supervised classification. k-NN is a lazy, instance-based method that predicts a class from nearby labelled examples. Gower-style similarity supports mixed data by applying type-appropriate similarity measures and aggregating them. Ordinary k-NN can be sensitive to feature scaling, neighbourhood size and class imbalance. This project applies Gower-style similarity to mixed nominal/numeric attributes and compares voting strategies for the minority failure class.</w:t>
      </w:r>
    </w:p>
    <w:p>
      <w:pPr>
        <w:pStyle w:val="Heading1"/>
      </w:pPr>
      <w:r>
        <w:t>4. Dataset and Requirements</w:t>
      </w:r>
    </w:p>
    <w:p>
      <w:pPr>
        <w:spacing w:after="30"/>
      </w:pPr>
      <w:r>
        <w:t>Dataset: AI4I 2020 Predictive Maintenance Dataset, UCI Machine Learning Repository; CSV format; 10,000 records and 14 original columns. The dataset is synthetic and designed to reflect industrial predictive-maintenance data; it is not direct data collected from a production factory. The inspected CSV contained no missing values. Inputs: Type (nominal), Air temperature [K], Process temperature [K], Rotational speed [rpm], Torque [Nm] and Tool wear [min] (numeric). Target: Machine failure (0/1), with 9,661 Normal records (96.61%) and 339 Failure records (3.39%). UDI and Product ID are retained only for identifying neighbours. TWF, HDF, PWF, OSF and RNF are excluded from model inputs to prevent target leakage.</w:t>
      </w:r>
    </w:p>
    <w:p>
      <w:pPr>
        <w:spacing w:after="30"/>
      </w:pPr>
      <w:r>
        <w:t>Software: Python 3, pandas, NumPy and Visual Studio Code on Windows. Input: AI4I CSV. Outputs: predicted class, nearest neighbours, similarity values and evaluation metrics. No database or external hardware is required.</w:t>
      </w:r>
    </w:p>
    <w:p>
      <w:pPr>
        <w:pStyle w:val="Heading1"/>
      </w:pPr>
      <w:r>
        <w:t>5. Proposed Methodology and System Design</w:t>
      </w:r>
    </w:p>
    <w:p>
      <w:pPr>
        <w:spacing w:after="30"/>
      </w:pPr>
      <w:r>
        <w:t>The CSV is loaded and restricted to six input attributes and the target. A stratified split allocates 75% of each class to training and 25% to testing (7,500 training and 2,500 testing records). Numeric ranges are calculated from training data only. Type similarity is 1 for a match and 0 otherwise. For each numeric feature, similarity is max(0, 1 − |x − y| / range). The six feature similarities are averaged. The five most similar training records are selected and their labels are combined using majority, similarity-weighted or class-balanced weighted voting.</w:t>
      </w:r>
    </w:p>
    <w:p>
      <w:pPr>
        <w:spacing w:after="30"/>
      </w:pPr>
      <w:r>
        <w:t>Workflow: AI4I CSV → feature selection/preprocessing → stratified split → Gower-style similarity → k-nearest neighbours → voting classifier → metrics and example prediction.</w:t>
      </w:r>
    </w:p>
    <w:p>
      <w:pPr>
        <w:pStyle w:val="Heading1"/>
      </w:pPr>
      <w:r>
        <w:t>6. Algorithm Design</w:t>
      </w:r>
    </w:p>
    <w:p>
      <w:pPr>
        <w:spacing w:after="30"/>
      </w:pPr>
      <w:r>
        <w:t>1. Load the CSV and validate required columns. 2. Retain six input features, binary target and display identifiers; exclude IDs and failure-mode flags from modelling. 3. Split each target class with a fixed random seed and combine the subsets. 4. Calculate numeric ranges from training data. 5. Compute nominal and numeric similarities for each test record against training records. 6. Select the five highest-similarity neighbours. 7. Predict using one of three voting methods. 8. Compare predictions with actual labels and calculate accuracy, precision, recall, F1-score and balanced accuracy.</w:t>
      </w:r>
    </w:p>
    <w:p>
      <w:pPr>
        <w:spacing w:after="30"/>
      </w:pPr>
      <w:r>
        <w:t>For n training records and d features, one query's similarity calculation is O(nd); partitioning and sorting the selected k neighbours adds approximately O(n + k log k). The prepared feature matrix uses O(nd) space. Evaluation repeats this process for each test record.</w:t>
      </w:r>
    </w:p>
    <w:p>
      <w:pPr>
        <w:pStyle w:val="Heading1"/>
      </w:pPr>
      <w:r>
        <w:t>7. Implementation</w:t>
      </w:r>
    </w:p>
    <w:p>
      <w:pPr>
        <w:spacing w:after="30"/>
      </w:pPr>
      <w:r>
        <w:t>Language: Python. Libraries: pandas for CSV loading; NumPy for vectorized similarity and metric calculations; Python standard-library random and pathlib modules. Main functions: load_dataset(), train_test_split(), prepare_training_data(), calculate_similarities(), predict_knn(), evaluate() and main(). The program reports dataset counts, features, three experiment results, confusion matrices, an example prediction and its five nearest neighbours. Complete source code and run instructions should be maintained in the group's GitHub repository.</w:t>
      </w:r>
    </w:p>
    <w:p>
      <w:pPr>
        <w:spacing w:after="30"/>
      </w:pPr>
      <w:r>
        <w:t>GitHub repository: [Insert the group's repository URL before submission].</w:t>
      </w:r>
    </w:p>
    <w:p>
      <w:pPr>
        <w:pStyle w:val="Heading1"/>
      </w:pPr>
      <w:r>
        <w:t>8. Testing and Validation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shd w:fill="D9EAF7"/>
            <w:vAlign w:val="center"/>
          </w:tcPr>
          <w:p>
            <w:pPr>
              <w:spacing w:after="0"/>
            </w:pPr>
            <w:r>
              <w:rPr>
                <w:rFonts w:ascii="Arial" w:hAnsi="Arial"/>
                <w:sz w:val="12"/>
              </w:rPr>
              <w:t>Test case / input</w:t>
            </w:r>
          </w:p>
        </w:tc>
        <w:tc>
          <w:tcPr>
            <w:tcW w:type="dxa" w:w="2376"/>
            <w:shd w:fill="D9EAF7"/>
            <w:vAlign w:val="center"/>
          </w:tcPr>
          <w:p>
            <w:pPr>
              <w:spacing w:after="0"/>
            </w:pPr>
            <w:r>
              <w:rPr>
                <w:rFonts w:ascii="Arial" w:hAnsi="Arial"/>
                <w:sz w:val="12"/>
              </w:rPr>
              <w:t>Expected result</w:t>
            </w:r>
          </w:p>
        </w:tc>
        <w:tc>
          <w:tcPr>
            <w:tcW w:type="dxa" w:w="2880"/>
            <w:shd w:fill="D9EAF7"/>
            <w:vAlign w:val="center"/>
          </w:tcPr>
          <w:p>
            <w:pPr>
              <w:spacing w:after="0"/>
            </w:pPr>
            <w:r>
              <w:rPr>
                <w:rFonts w:ascii="Arial" w:hAnsi="Arial"/>
                <w:sz w:val="12"/>
              </w:rPr>
              <w:t>Actual result</w:t>
            </w:r>
          </w:p>
        </w:tc>
        <w:tc>
          <w:tcPr>
            <w:tcW w:type="dxa" w:w="648"/>
            <w:shd w:fill="D9EAF7"/>
            <w:vAlign w:val="center"/>
          </w:tcPr>
          <w:p>
            <w:pPr>
              <w:spacing w:after="0"/>
            </w:pPr>
            <w:r>
              <w:rPr>
                <w:rFonts w:ascii="Arial" w:hAnsi="Arial"/>
                <w:sz w:val="12"/>
              </w:rPr>
              <w:t>Status</w:t>
            </w:r>
          </w:p>
        </w:tc>
      </w:tr>
      <w:tr>
        <w:tc>
          <w:tcPr>
            <w:tcW w:type="dxa" w:w="1944"/>
            <w:vAlign w:val="center"/>
          </w:tcPr>
          <w:p>
            <w:pPr>
              <w:spacing w:after="0"/>
            </w:pPr>
            <w:r>
              <w:rPr>
                <w:rFonts w:ascii="Arial" w:hAnsi="Arial"/>
                <w:sz w:val="12"/>
              </w:rPr>
              <w:t>Load AI4I CSV</w:t>
            </w:r>
          </w:p>
        </w:tc>
        <w:tc>
          <w:tcPr>
            <w:tcW w:type="dxa" w:w="2376"/>
            <w:vAlign w:val="center"/>
          </w:tcPr>
          <w:p>
            <w:pPr>
              <w:spacing w:after="0"/>
            </w:pPr>
            <w:r>
              <w:rPr>
                <w:rFonts w:ascii="Arial" w:hAnsi="Arial"/>
                <w:sz w:val="12"/>
              </w:rPr>
              <w:t>10,000 records; 14 source columns</w:t>
            </w:r>
          </w:p>
        </w:tc>
        <w:tc>
          <w:tcPr>
            <w:tcW w:type="dxa" w:w="2880"/>
            <w:vAlign w:val="center"/>
          </w:tcPr>
          <w:p>
            <w:pPr>
              <w:spacing w:after="0"/>
            </w:pPr>
            <w:r>
              <w:rPr>
                <w:rFonts w:ascii="Arial" w:hAnsi="Arial"/>
                <w:sz w:val="12"/>
              </w:rPr>
              <w:t>10,000 records loaded; 14 columns inspected</w:t>
            </w:r>
          </w:p>
        </w:tc>
        <w:tc>
          <w:tcPr>
            <w:tcW w:type="dxa" w:w="648"/>
            <w:vAlign w:val="center"/>
          </w:tcPr>
          <w:p>
            <w:pPr>
              <w:spacing w:after="0"/>
            </w:pPr>
            <w:r>
              <w:rPr>
                <w:rFonts w:ascii="Arial" w:hAnsi="Arial"/>
                <w:sz w:val="12"/>
              </w:rPr>
              <w:t>Pass</w:t>
            </w:r>
          </w:p>
        </w:tc>
      </w:tr>
      <w:tr>
        <w:tc>
          <w:tcPr>
            <w:tcW w:type="dxa" w:w="1944"/>
            <w:vAlign w:val="center"/>
          </w:tcPr>
          <w:p>
            <w:pPr>
              <w:spacing w:after="0"/>
            </w:pPr>
            <w:r>
              <w:rPr>
                <w:rFonts w:ascii="Arial" w:hAnsi="Arial"/>
                <w:sz w:val="12"/>
              </w:rPr>
              <w:t>Missing-value check</w:t>
            </w:r>
          </w:p>
        </w:tc>
        <w:tc>
          <w:tcPr>
            <w:tcW w:type="dxa" w:w="2376"/>
            <w:vAlign w:val="center"/>
          </w:tcPr>
          <w:p>
            <w:pPr>
              <w:spacing w:after="0"/>
            </w:pPr>
            <w:r>
              <w:rPr>
                <w:rFonts w:ascii="Arial" w:hAnsi="Arial"/>
                <w:sz w:val="12"/>
              </w:rPr>
              <w:t>No missing values</w:t>
            </w:r>
          </w:p>
        </w:tc>
        <w:tc>
          <w:tcPr>
            <w:tcW w:type="dxa" w:w="2880"/>
            <w:vAlign w:val="center"/>
          </w:tcPr>
          <w:p>
            <w:pPr>
              <w:spacing w:after="0"/>
            </w:pPr>
            <w:r>
              <w:rPr>
                <w:rFonts w:ascii="Arial" w:hAnsi="Arial"/>
                <w:sz w:val="12"/>
              </w:rPr>
              <w:t>0 missing values in every column</w:t>
            </w:r>
          </w:p>
        </w:tc>
        <w:tc>
          <w:tcPr>
            <w:tcW w:type="dxa" w:w="648"/>
            <w:vAlign w:val="center"/>
          </w:tcPr>
          <w:p>
            <w:pPr>
              <w:spacing w:after="0"/>
            </w:pPr>
            <w:r>
              <w:rPr>
                <w:rFonts w:ascii="Arial" w:hAnsi="Arial"/>
                <w:sz w:val="12"/>
              </w:rPr>
              <w:t>Pass</w:t>
            </w:r>
          </w:p>
        </w:tc>
      </w:tr>
      <w:tr>
        <w:tc>
          <w:tcPr>
            <w:tcW w:type="dxa" w:w="1944"/>
            <w:vAlign w:val="center"/>
          </w:tcPr>
          <w:p>
            <w:pPr>
              <w:spacing w:after="0"/>
            </w:pPr>
            <w:r>
              <w:rPr>
                <w:rFonts w:ascii="Arial" w:hAnsi="Arial"/>
                <w:sz w:val="12"/>
              </w:rPr>
              <w:t>Stratified split</w:t>
            </w:r>
          </w:p>
        </w:tc>
        <w:tc>
          <w:tcPr>
            <w:tcW w:type="dxa" w:w="2376"/>
            <w:vAlign w:val="center"/>
          </w:tcPr>
          <w:p>
            <w:pPr>
              <w:spacing w:after="0"/>
            </w:pPr>
            <w:r>
              <w:rPr>
                <w:rFonts w:ascii="Arial" w:hAnsi="Arial"/>
                <w:sz w:val="12"/>
              </w:rPr>
              <w:t>75:25 with both classes represented</w:t>
            </w:r>
          </w:p>
        </w:tc>
        <w:tc>
          <w:tcPr>
            <w:tcW w:type="dxa" w:w="2880"/>
            <w:vAlign w:val="center"/>
          </w:tcPr>
          <w:p>
            <w:pPr>
              <w:spacing w:after="0"/>
            </w:pPr>
            <w:r>
              <w:rPr>
                <w:rFonts w:ascii="Arial" w:hAnsi="Arial"/>
                <w:sz w:val="12"/>
              </w:rPr>
              <w:t>7,500 training; 2,500 testing</w:t>
            </w:r>
          </w:p>
        </w:tc>
        <w:tc>
          <w:tcPr>
            <w:tcW w:type="dxa" w:w="648"/>
            <w:vAlign w:val="center"/>
          </w:tcPr>
          <w:p>
            <w:pPr>
              <w:spacing w:after="0"/>
            </w:pPr>
            <w:r>
              <w:rPr>
                <w:rFonts w:ascii="Arial" w:hAnsi="Arial"/>
                <w:sz w:val="12"/>
              </w:rPr>
              <w:t>Pass</w:t>
            </w:r>
          </w:p>
        </w:tc>
      </w:tr>
      <w:tr>
        <w:tc>
          <w:tcPr>
            <w:tcW w:type="dxa" w:w="1944"/>
            <w:vAlign w:val="center"/>
          </w:tcPr>
          <w:p>
            <w:pPr>
              <w:spacing w:after="0"/>
            </w:pPr>
            <w:r>
              <w:rPr>
                <w:rFonts w:ascii="Arial" w:hAnsi="Arial"/>
                <w:sz w:val="12"/>
              </w:rPr>
              <w:t>Run k-NN (k=5)</w:t>
            </w:r>
          </w:p>
        </w:tc>
        <w:tc>
          <w:tcPr>
            <w:tcW w:type="dxa" w:w="2376"/>
            <w:vAlign w:val="center"/>
          </w:tcPr>
          <w:p>
            <w:pPr>
              <w:spacing w:after="0"/>
            </w:pPr>
            <w:r>
              <w:rPr>
                <w:rFonts w:ascii="Arial" w:hAnsi="Arial"/>
                <w:sz w:val="12"/>
              </w:rPr>
              <w:t>Binary prediction and five neighbours</w:t>
            </w:r>
          </w:p>
        </w:tc>
        <w:tc>
          <w:tcPr>
            <w:tcW w:type="dxa" w:w="2880"/>
            <w:vAlign w:val="center"/>
          </w:tcPr>
          <w:p>
            <w:pPr>
              <w:spacing w:after="0"/>
            </w:pPr>
            <w:r>
              <w:rPr>
                <w:rFonts w:ascii="Arial" w:hAnsi="Arial"/>
                <w:sz w:val="12"/>
              </w:rPr>
              <w:t>Predictions and five neighbours produced</w:t>
            </w:r>
          </w:p>
        </w:tc>
        <w:tc>
          <w:tcPr>
            <w:tcW w:type="dxa" w:w="648"/>
            <w:vAlign w:val="center"/>
          </w:tcPr>
          <w:p>
            <w:pPr>
              <w:spacing w:after="0"/>
            </w:pPr>
            <w:r>
              <w:rPr>
                <w:rFonts w:ascii="Arial" w:hAnsi="Arial"/>
                <w:sz w:val="12"/>
              </w:rPr>
              <w:t>Pass</w:t>
            </w:r>
          </w:p>
        </w:tc>
      </w:tr>
      <w:tr>
        <w:tc>
          <w:tcPr>
            <w:tcW w:type="dxa" w:w="1944"/>
            <w:vAlign w:val="center"/>
          </w:tcPr>
          <w:p>
            <w:pPr>
              <w:spacing w:after="0"/>
            </w:pPr>
            <w:r>
              <w:rPr>
                <w:rFonts w:ascii="Arial" w:hAnsi="Arial"/>
                <w:sz w:val="12"/>
              </w:rPr>
              <w:t>Compare voting methods</w:t>
            </w:r>
          </w:p>
        </w:tc>
        <w:tc>
          <w:tcPr>
            <w:tcW w:type="dxa" w:w="2376"/>
            <w:vAlign w:val="center"/>
          </w:tcPr>
          <w:p>
            <w:pPr>
              <w:spacing w:after="0"/>
            </w:pPr>
            <w:r>
              <w:rPr>
                <w:rFonts w:ascii="Arial" w:hAnsi="Arial"/>
                <w:sz w:val="12"/>
              </w:rPr>
              <w:t>Metrics for A, B and C</w:t>
            </w:r>
          </w:p>
        </w:tc>
        <w:tc>
          <w:tcPr>
            <w:tcW w:type="dxa" w:w="2880"/>
            <w:vAlign w:val="center"/>
          </w:tcPr>
          <w:p>
            <w:pPr>
              <w:spacing w:after="0"/>
            </w:pPr>
            <w:r>
              <w:rPr>
                <w:rFonts w:ascii="Arial" w:hAnsi="Arial"/>
                <w:sz w:val="12"/>
              </w:rPr>
              <w:t>All evaluated on same split</w:t>
            </w:r>
          </w:p>
        </w:tc>
        <w:tc>
          <w:tcPr>
            <w:tcW w:type="dxa" w:w="648"/>
            <w:vAlign w:val="center"/>
          </w:tcPr>
          <w:p>
            <w:pPr>
              <w:spacing w:after="0"/>
            </w:pPr>
            <w:r>
              <w:rPr>
                <w:rFonts w:ascii="Arial" w:hAnsi="Arial"/>
                <w:sz w:val="12"/>
              </w:rPr>
              <w:t>Pass</w:t>
            </w:r>
          </w:p>
        </w:tc>
      </w:tr>
    </w:tbl>
    <w:p>
      <w:pPr>
        <w:pStyle w:val="Heading1"/>
      </w:pPr>
      <w:r>
        <w:t>9. Results and Discussion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2448"/>
            <w:shd w:fill="D9EAF7"/>
            <w:vAlign w:val="center"/>
          </w:tcPr>
          <w:p>
            <w:pPr>
              <w:spacing w:after="0"/>
            </w:pPr>
            <w:r>
              <w:rPr>
                <w:rFonts w:ascii="Arial" w:hAnsi="Arial"/>
                <w:sz w:val="12"/>
              </w:rPr>
              <w:t>Voting method</w:t>
            </w:r>
          </w:p>
        </w:tc>
        <w:tc>
          <w:tcPr>
            <w:tcW w:type="dxa" w:w="1080"/>
            <w:shd w:fill="D9EAF7"/>
            <w:vAlign w:val="center"/>
          </w:tcPr>
          <w:p>
            <w:pPr>
              <w:spacing w:after="0"/>
            </w:pPr>
            <w:r>
              <w:rPr>
                <w:rFonts w:ascii="Arial" w:hAnsi="Arial"/>
                <w:sz w:val="12"/>
              </w:rPr>
              <w:t>Accuracy</w:t>
            </w:r>
          </w:p>
        </w:tc>
        <w:tc>
          <w:tcPr>
            <w:tcW w:type="dxa" w:w="1080"/>
            <w:shd w:fill="D9EAF7"/>
            <w:vAlign w:val="center"/>
          </w:tcPr>
          <w:p>
            <w:pPr>
              <w:spacing w:after="0"/>
            </w:pPr>
            <w:r>
              <w:rPr>
                <w:rFonts w:ascii="Arial" w:hAnsi="Arial"/>
                <w:sz w:val="12"/>
              </w:rPr>
              <w:t>Precision</w:t>
            </w:r>
          </w:p>
        </w:tc>
        <w:tc>
          <w:tcPr>
            <w:tcW w:type="dxa" w:w="936"/>
            <w:shd w:fill="D9EAF7"/>
            <w:vAlign w:val="center"/>
          </w:tcPr>
          <w:p>
            <w:pPr>
              <w:spacing w:after="0"/>
            </w:pPr>
            <w:r>
              <w:rPr>
                <w:rFonts w:ascii="Arial" w:hAnsi="Arial"/>
                <w:sz w:val="12"/>
              </w:rPr>
              <w:t>Recall</w:t>
            </w:r>
          </w:p>
        </w:tc>
        <w:tc>
          <w:tcPr>
            <w:tcW w:type="dxa" w:w="792"/>
            <w:shd w:fill="D9EAF7"/>
            <w:vAlign w:val="center"/>
          </w:tcPr>
          <w:p>
            <w:pPr>
              <w:spacing w:after="0"/>
            </w:pPr>
            <w:r>
              <w:rPr>
                <w:rFonts w:ascii="Arial" w:hAnsi="Arial"/>
                <w:sz w:val="12"/>
              </w:rPr>
              <w:t>F1</w:t>
            </w:r>
          </w:p>
        </w:tc>
        <w:tc>
          <w:tcPr>
            <w:tcW w:type="dxa" w:w="1224"/>
            <w:shd w:fill="D9EAF7"/>
            <w:vAlign w:val="center"/>
          </w:tcPr>
          <w:p>
            <w:pPr>
              <w:spacing w:after="0"/>
            </w:pPr>
            <w:r>
              <w:rPr>
                <w:rFonts w:ascii="Arial" w:hAnsi="Arial"/>
                <w:sz w:val="12"/>
              </w:rPr>
              <w:t>Balanced Acc.</w:t>
            </w:r>
          </w:p>
        </w:tc>
      </w:tr>
      <w:tr>
        <w:tc>
          <w:tcPr>
            <w:tcW w:type="dxa" w:w="2448"/>
            <w:vAlign w:val="center"/>
          </w:tcPr>
          <w:p>
            <w:pPr>
              <w:spacing w:after="0"/>
            </w:pPr>
            <w:r>
              <w:rPr>
                <w:rFonts w:ascii="Arial" w:hAnsi="Arial"/>
                <w:sz w:val="12"/>
              </w:rPr>
              <w:t>A. Standard majority</w:t>
            </w:r>
          </w:p>
        </w:tc>
        <w:tc>
          <w:tcPr>
            <w:tcW w:type="dxa" w:w="1080"/>
            <w:vAlign w:val="center"/>
          </w:tcPr>
          <w:p>
            <w:pPr>
              <w:spacing w:after="0"/>
            </w:pPr>
            <w:r>
              <w:rPr>
                <w:rFonts w:ascii="Arial" w:hAnsi="Arial"/>
                <w:sz w:val="12"/>
              </w:rPr>
              <w:t>97.40%</w:t>
            </w:r>
          </w:p>
        </w:tc>
        <w:tc>
          <w:tcPr>
            <w:tcW w:type="dxa" w:w="1080"/>
            <w:vAlign w:val="center"/>
          </w:tcPr>
          <w:p>
            <w:pPr>
              <w:spacing w:after="0"/>
            </w:pPr>
            <w:r>
              <w:rPr>
                <w:rFonts w:ascii="Arial" w:hAnsi="Arial"/>
                <w:sz w:val="12"/>
              </w:rPr>
              <w:t>81.25%</w:t>
            </w:r>
          </w:p>
        </w:tc>
        <w:tc>
          <w:tcPr>
            <w:tcW w:type="dxa" w:w="936"/>
            <w:vAlign w:val="center"/>
          </w:tcPr>
          <w:p>
            <w:pPr>
              <w:spacing w:after="0"/>
            </w:pPr>
            <w:r>
              <w:rPr>
                <w:rFonts w:ascii="Arial" w:hAnsi="Arial"/>
                <w:sz w:val="12"/>
              </w:rPr>
              <w:t>30.59%</w:t>
            </w:r>
          </w:p>
        </w:tc>
        <w:tc>
          <w:tcPr>
            <w:tcW w:type="dxa" w:w="792"/>
            <w:vAlign w:val="center"/>
          </w:tcPr>
          <w:p>
            <w:pPr>
              <w:spacing w:after="0"/>
            </w:pPr>
            <w:r>
              <w:rPr>
                <w:rFonts w:ascii="Arial" w:hAnsi="Arial"/>
                <w:sz w:val="12"/>
              </w:rPr>
              <w:t>44.44%</w:t>
            </w:r>
          </w:p>
        </w:tc>
        <w:tc>
          <w:tcPr>
            <w:tcW w:type="dxa" w:w="1224"/>
            <w:vAlign w:val="center"/>
          </w:tcPr>
          <w:p>
            <w:pPr>
              <w:spacing w:after="0"/>
            </w:pPr>
            <w:r>
              <w:rPr>
                <w:rFonts w:ascii="Arial" w:hAnsi="Arial"/>
                <w:sz w:val="12"/>
              </w:rPr>
              <w:t>65.17%</w:t>
            </w:r>
          </w:p>
        </w:tc>
      </w:tr>
      <w:tr>
        <w:tc>
          <w:tcPr>
            <w:tcW w:type="dxa" w:w="2448"/>
            <w:vAlign w:val="center"/>
          </w:tcPr>
          <w:p>
            <w:pPr>
              <w:spacing w:after="0"/>
            </w:pPr>
            <w:r>
              <w:rPr>
                <w:rFonts w:ascii="Arial" w:hAnsi="Arial"/>
                <w:sz w:val="12"/>
              </w:rPr>
              <w:t>B. Similarity-weighted</w:t>
            </w:r>
          </w:p>
        </w:tc>
        <w:tc>
          <w:tcPr>
            <w:tcW w:type="dxa" w:w="1080"/>
            <w:vAlign w:val="center"/>
          </w:tcPr>
          <w:p>
            <w:pPr>
              <w:spacing w:after="0"/>
            </w:pPr>
            <w:r>
              <w:rPr>
                <w:rFonts w:ascii="Arial" w:hAnsi="Arial"/>
                <w:sz w:val="12"/>
              </w:rPr>
              <w:t>97.40%</w:t>
            </w:r>
          </w:p>
        </w:tc>
        <w:tc>
          <w:tcPr>
            <w:tcW w:type="dxa" w:w="1080"/>
            <w:vAlign w:val="center"/>
          </w:tcPr>
          <w:p>
            <w:pPr>
              <w:spacing w:after="0"/>
            </w:pPr>
            <w:r>
              <w:rPr>
                <w:rFonts w:ascii="Arial" w:hAnsi="Arial"/>
                <w:sz w:val="12"/>
              </w:rPr>
              <w:t>81.25%</w:t>
            </w:r>
          </w:p>
        </w:tc>
        <w:tc>
          <w:tcPr>
            <w:tcW w:type="dxa" w:w="936"/>
            <w:vAlign w:val="center"/>
          </w:tcPr>
          <w:p>
            <w:pPr>
              <w:spacing w:after="0"/>
            </w:pPr>
            <w:r>
              <w:rPr>
                <w:rFonts w:ascii="Arial" w:hAnsi="Arial"/>
                <w:sz w:val="12"/>
              </w:rPr>
              <w:t>30.59%</w:t>
            </w:r>
          </w:p>
        </w:tc>
        <w:tc>
          <w:tcPr>
            <w:tcW w:type="dxa" w:w="792"/>
            <w:vAlign w:val="center"/>
          </w:tcPr>
          <w:p>
            <w:pPr>
              <w:spacing w:after="0"/>
            </w:pPr>
            <w:r>
              <w:rPr>
                <w:rFonts w:ascii="Arial" w:hAnsi="Arial"/>
                <w:sz w:val="12"/>
              </w:rPr>
              <w:t>44.44%</w:t>
            </w:r>
          </w:p>
        </w:tc>
        <w:tc>
          <w:tcPr>
            <w:tcW w:type="dxa" w:w="1224"/>
            <w:vAlign w:val="center"/>
          </w:tcPr>
          <w:p>
            <w:pPr>
              <w:spacing w:after="0"/>
            </w:pPr>
            <w:r>
              <w:rPr>
                <w:rFonts w:ascii="Arial" w:hAnsi="Arial"/>
                <w:sz w:val="12"/>
              </w:rPr>
              <w:t>65.17%</w:t>
            </w:r>
          </w:p>
        </w:tc>
      </w:tr>
      <w:tr>
        <w:tc>
          <w:tcPr>
            <w:tcW w:type="dxa" w:w="2448"/>
            <w:vAlign w:val="center"/>
          </w:tcPr>
          <w:p>
            <w:pPr>
              <w:spacing w:after="0"/>
            </w:pPr>
            <w:r>
              <w:rPr>
                <w:rFonts w:ascii="Arial" w:hAnsi="Arial"/>
                <w:sz w:val="12"/>
              </w:rPr>
              <w:t>C. Class-balanced weighted</w:t>
            </w:r>
          </w:p>
        </w:tc>
        <w:tc>
          <w:tcPr>
            <w:tcW w:type="dxa" w:w="1080"/>
            <w:vAlign w:val="center"/>
          </w:tcPr>
          <w:p>
            <w:pPr>
              <w:spacing w:after="0"/>
            </w:pPr>
            <w:r>
              <w:rPr>
                <w:rFonts w:ascii="Arial" w:hAnsi="Arial"/>
                <w:sz w:val="12"/>
              </w:rPr>
              <w:t>93.80%</w:t>
            </w:r>
          </w:p>
        </w:tc>
        <w:tc>
          <w:tcPr>
            <w:tcW w:type="dxa" w:w="1080"/>
            <w:vAlign w:val="center"/>
          </w:tcPr>
          <w:p>
            <w:pPr>
              <w:spacing w:after="0"/>
            </w:pPr>
            <w:r>
              <w:rPr>
                <w:rFonts w:ascii="Arial" w:hAnsi="Arial"/>
                <w:sz w:val="12"/>
              </w:rPr>
              <w:t>31.77%</w:t>
            </w:r>
          </w:p>
        </w:tc>
        <w:tc>
          <w:tcPr>
            <w:tcW w:type="dxa" w:w="936"/>
            <w:vAlign w:val="center"/>
          </w:tcPr>
          <w:p>
            <w:pPr>
              <w:spacing w:after="0"/>
            </w:pPr>
            <w:r>
              <w:rPr>
                <w:rFonts w:ascii="Arial" w:hAnsi="Arial"/>
                <w:sz w:val="12"/>
              </w:rPr>
              <w:t>71.76%</w:t>
            </w:r>
          </w:p>
        </w:tc>
        <w:tc>
          <w:tcPr>
            <w:tcW w:type="dxa" w:w="792"/>
            <w:vAlign w:val="center"/>
          </w:tcPr>
          <w:p>
            <w:pPr>
              <w:spacing w:after="0"/>
            </w:pPr>
            <w:r>
              <w:rPr>
                <w:rFonts w:ascii="Arial" w:hAnsi="Arial"/>
                <w:sz w:val="12"/>
              </w:rPr>
              <w:t>44.04%</w:t>
            </w:r>
          </w:p>
        </w:tc>
        <w:tc>
          <w:tcPr>
            <w:tcW w:type="dxa" w:w="1224"/>
            <w:vAlign w:val="center"/>
          </w:tcPr>
          <w:p>
            <w:pPr>
              <w:spacing w:after="0"/>
            </w:pPr>
            <w:r>
              <w:rPr>
                <w:rFonts w:ascii="Arial" w:hAnsi="Arial"/>
                <w:sz w:val="12"/>
              </w:rPr>
              <w:t>83.17%</w:t>
            </w:r>
          </w:p>
        </w:tc>
      </w:tr>
    </w:tbl>
    <w:p>
      <w:pPr>
        <w:spacing w:after="30"/>
      </w:pPr>
      <w:r>
        <w:t>Experiments A and B had the same confusion matrix: TN=2,409, FP=6, FN=59, TP=26. Experiment C had TN=2,284, FP=131, FN=24, TP=61. Class-balanced voting detected 61 of 85 failures, compared with 26 of 85 for standard voting, but increased false positives from 6 to 131 and reduced precision. Experiment C is preferable when missed failures are more costly; Experiment A is more conservative. The choice depends on the cost of false negatives versus false positives. Insert screenshots of actual terminal execution in the final submission.</w:t>
      </w:r>
    </w:p>
    <w:p>
      <w:pPr>
        <w:pStyle w:val="Heading1"/>
      </w:pPr>
      <w:r>
        <w:t>10. Team Contributions</w:t>
      </w:r>
    </w:p>
    <w:tbl>
      <w:tblPr>
        <w:tblStyle w:val="TableGrid"/>
        <w:tblW w:type="auto" w:w="0"/>
        <w:jc w:val="center"/>
        <w:tblLook w:firstColumn="1" w:firstRow="1" w:lastColumn="0" w:lastRow="0" w:noHBand="0" w:noVBand="1" w:val="04A0"/>
      </w:tblPr>
      <w:tblGrid>
        <w:gridCol w:w="3552"/>
        <w:gridCol w:w="3552"/>
        <w:gridCol w:w="3552"/>
      </w:tblGrid>
      <w:tr>
        <w:tc>
          <w:tcPr>
            <w:tcW w:type="dxa" w:w="2232"/>
            <w:shd w:fill="D9EAF7"/>
            <w:vAlign w:val="center"/>
          </w:tcPr>
          <w:p>
            <w:pPr>
              <w:spacing w:after="0"/>
            </w:pPr>
            <w:r>
              <w:rPr>
                <w:rFonts w:ascii="Arial" w:hAnsi="Arial"/>
                <w:sz w:val="12"/>
              </w:rPr>
              <w:t>Student / Roll No.</w:t>
            </w:r>
          </w:p>
        </w:tc>
        <w:tc>
          <w:tcPr>
            <w:tcW w:type="dxa" w:w="1728"/>
            <w:shd w:fill="D9EAF7"/>
            <w:vAlign w:val="center"/>
          </w:tcPr>
          <w:p>
            <w:pPr>
              <w:spacing w:after="0"/>
            </w:pPr>
            <w:r>
              <w:rPr>
                <w:rFonts w:ascii="Arial" w:hAnsi="Arial"/>
                <w:sz w:val="12"/>
              </w:rPr>
              <w:t>Assigned role</w:t>
            </w:r>
          </w:p>
        </w:tc>
        <w:tc>
          <w:tcPr>
            <w:tcW w:type="dxa" w:w="4464"/>
            <w:shd w:fill="D9EAF7"/>
            <w:vAlign w:val="center"/>
          </w:tcPr>
          <w:p>
            <w:pPr>
              <w:spacing w:after="0"/>
            </w:pPr>
            <w:r>
              <w:rPr>
                <w:rFonts w:ascii="Arial" w:hAnsi="Arial"/>
                <w:sz w:val="12"/>
              </w:rPr>
              <w:t>Contribution / module</w:t>
            </w:r>
          </w:p>
        </w:tc>
      </w:tr>
      <w:tr>
        <w:tc>
          <w:tcPr>
            <w:tcW w:type="dxa" w:w="2232"/>
            <w:vAlign w:val="center"/>
          </w:tcPr>
          <w:p>
            <w:pPr>
              <w:spacing w:after="0"/>
            </w:pPr>
            <w:r>
              <w:rPr>
                <w:rFonts w:ascii="Arial" w:hAnsi="Arial"/>
                <w:sz w:val="12"/>
              </w:rPr>
              <w:t>Taazeen Ansari / 124A1166</w:t>
            </w:r>
          </w:p>
        </w:tc>
        <w:tc>
          <w:tcPr>
            <w:tcW w:type="dxa" w:w="1728"/>
            <w:vAlign w:val="center"/>
          </w:tcPr>
          <w:p>
            <w:pPr>
              <w:spacing w:after="0"/>
            </w:pPr>
            <w:r>
              <w:rPr>
                <w:rFonts w:ascii="Arial" w:hAnsi="Arial"/>
                <w:sz w:val="12"/>
              </w:rPr>
              <w:t>To be confirmed</w:t>
            </w:r>
          </w:p>
        </w:tc>
        <w:tc>
          <w:tcPr>
            <w:tcW w:type="dxa" w:w="4464"/>
            <w:vAlign w:val="center"/>
          </w:tcPr>
          <w:p>
            <w:pPr>
              <w:spacing w:after="0"/>
            </w:pPr>
            <w:r>
              <w:rPr>
                <w:rFonts w:ascii="Arial" w:hAnsi="Arial"/>
                <w:sz w:val="12"/>
              </w:rPr>
              <w:t>Fill in actual individual contribution.</w:t>
            </w:r>
          </w:p>
        </w:tc>
      </w:tr>
      <w:tr>
        <w:tc>
          <w:tcPr>
            <w:tcW w:type="dxa" w:w="2232"/>
            <w:vAlign w:val="center"/>
          </w:tcPr>
          <w:p>
            <w:pPr>
              <w:spacing w:after="0"/>
            </w:pPr>
            <w:r>
              <w:rPr>
                <w:rFonts w:ascii="Arial" w:hAnsi="Arial"/>
                <w:sz w:val="12"/>
              </w:rPr>
              <w:t>Anusha Shetty / 124A1152</w:t>
            </w:r>
          </w:p>
        </w:tc>
        <w:tc>
          <w:tcPr>
            <w:tcW w:type="dxa" w:w="1728"/>
            <w:vAlign w:val="center"/>
          </w:tcPr>
          <w:p>
            <w:pPr>
              <w:spacing w:after="0"/>
            </w:pPr>
            <w:r>
              <w:rPr>
                <w:rFonts w:ascii="Arial" w:hAnsi="Arial"/>
                <w:sz w:val="12"/>
              </w:rPr>
              <w:t>To be confirmed</w:t>
            </w:r>
          </w:p>
        </w:tc>
        <w:tc>
          <w:tcPr>
            <w:tcW w:type="dxa" w:w="4464"/>
            <w:vAlign w:val="center"/>
          </w:tcPr>
          <w:p>
            <w:pPr>
              <w:spacing w:after="0"/>
            </w:pPr>
            <w:r>
              <w:rPr>
                <w:rFonts w:ascii="Arial" w:hAnsi="Arial"/>
                <w:sz w:val="12"/>
              </w:rPr>
              <w:t>Fill in actual individual contribution.</w:t>
            </w:r>
          </w:p>
        </w:tc>
      </w:tr>
      <w:tr>
        <w:tc>
          <w:tcPr>
            <w:tcW w:type="dxa" w:w="2232"/>
            <w:vAlign w:val="center"/>
          </w:tcPr>
          <w:p>
            <w:pPr>
              <w:spacing w:after="0"/>
            </w:pPr>
            <w:r>
              <w:rPr>
                <w:rFonts w:ascii="Arial" w:hAnsi="Arial"/>
                <w:sz w:val="12"/>
              </w:rPr>
              <w:t>Aarya Yewale / 124A1188</w:t>
            </w:r>
          </w:p>
        </w:tc>
        <w:tc>
          <w:tcPr>
            <w:tcW w:type="dxa" w:w="1728"/>
            <w:vAlign w:val="center"/>
          </w:tcPr>
          <w:p>
            <w:pPr>
              <w:spacing w:after="0"/>
            </w:pPr>
            <w:r>
              <w:rPr>
                <w:rFonts w:ascii="Arial" w:hAnsi="Arial"/>
                <w:sz w:val="12"/>
              </w:rPr>
              <w:t>To be confirmed</w:t>
            </w:r>
          </w:p>
        </w:tc>
        <w:tc>
          <w:tcPr>
            <w:tcW w:type="dxa" w:w="4464"/>
            <w:vAlign w:val="center"/>
          </w:tcPr>
          <w:p>
            <w:pPr>
              <w:spacing w:after="0"/>
            </w:pPr>
            <w:r>
              <w:rPr>
                <w:rFonts w:ascii="Arial" w:hAnsi="Arial"/>
                <w:sz w:val="12"/>
              </w:rPr>
              <w:t>Fill in actual individual contribution.</w:t>
            </w:r>
          </w:p>
        </w:tc>
      </w:tr>
      <w:tr>
        <w:tc>
          <w:tcPr>
            <w:tcW w:type="dxa" w:w="2232"/>
            <w:vAlign w:val="center"/>
          </w:tcPr>
          <w:p>
            <w:pPr>
              <w:spacing w:after="0"/>
            </w:pPr>
            <w:r>
              <w:rPr>
                <w:rFonts w:ascii="Arial" w:hAnsi="Arial"/>
                <w:sz w:val="12"/>
              </w:rPr>
              <w:t>Pranali Raut / 122A1071</w:t>
            </w:r>
          </w:p>
        </w:tc>
        <w:tc>
          <w:tcPr>
            <w:tcW w:type="dxa" w:w="1728"/>
            <w:vAlign w:val="center"/>
          </w:tcPr>
          <w:p>
            <w:pPr>
              <w:spacing w:after="0"/>
            </w:pPr>
            <w:r>
              <w:rPr>
                <w:rFonts w:ascii="Arial" w:hAnsi="Arial"/>
                <w:sz w:val="12"/>
              </w:rPr>
              <w:t>To be confirmed</w:t>
            </w:r>
          </w:p>
        </w:tc>
        <w:tc>
          <w:tcPr>
            <w:tcW w:type="dxa" w:w="4464"/>
            <w:vAlign w:val="center"/>
          </w:tcPr>
          <w:p>
            <w:pPr>
              <w:spacing w:after="0"/>
            </w:pPr>
            <w:r>
              <w:rPr>
                <w:rFonts w:ascii="Arial" w:hAnsi="Arial"/>
                <w:sz w:val="12"/>
              </w:rPr>
              <w:t>Fill in actual individual contribution.</w:t>
            </w:r>
          </w:p>
        </w:tc>
      </w:tr>
    </w:tbl>
    <w:p>
      <w:pPr>
        <w:spacing w:after="30"/>
      </w:pPr>
      <w:r>
        <w:t>The report format asks for contributions from all group members. This group has four members as provided; confirm whether the faculty expects additional members or only the four listed.</w:t>
      </w:r>
    </w:p>
    <w:p>
      <w:pPr>
        <w:pStyle w:val="Heading1"/>
      </w:pPr>
      <w:r>
        <w:t>11. Conclusion and Future Scope</w:t>
      </w:r>
    </w:p>
    <w:p>
      <w:pPr>
        <w:spacing w:after="30"/>
      </w:pPr>
      <w:r>
        <w:t>The project implements Gower-style similarity and k-NN on AI4I for binary machine-failure prediction. The results show that high accuracy can conceal weak minority-class detection. Class-balanced weighted voting increased failure recall from 30.59% to 71.76% and balanced accuracy from 65.17% to 83.17%, at the cost of lower precision and more false alarms. Future work includes tuning k and class weights with cross-validation, comparing alternative classifiers, adding confusion-matrix and precision-recall visualizations, and validating on real industrial data. The synthetic dataset and single train/test split limit claims about real-world performance.</w:t>
      </w:r>
    </w:p>
    <w:p>
      <w:pPr>
        <w:pStyle w:val="Heading1"/>
      </w:pPr>
      <w:r>
        <w:t>References</w:t>
      </w:r>
    </w:p>
    <w:p>
      <w:pPr>
        <w:spacing w:after="30"/>
      </w:pPr>
      <w:r>
        <w:t>[1] UCI Machine Learning Repository, “AI4I 2020 Predictive Maintenance Dataset.” https://archive.ics.uci.edu/dataset/601/ai4i+2020+predictive+maintenance+dataset (accessed October 2026).</w:t>
      </w:r>
    </w:p>
    <w:p>
      <w:pPr>
        <w:spacing w:after="30"/>
      </w:pPr>
      <w:r>
        <w:t>[2] T. Cover and P. Hart, “Nearest neighbor pattern classification,” IEEE Transactions on Information Theory, vol. 13, no. 1, pp. 21–27, 1967. Add the specific Gower similarity reference prescribed by your course/textbook.</w:t>
      </w:r>
    </w:p>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sz w:val="14"/>
      </w:rPr>
      <w:t>DWM Lab Assignment | Department of Computer Engineering | Group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line="240" w:lineRule="auto"/>
    </w:pPr>
    <w:rPr>
      <w:rFonts w:ascii="Arial" w:hAnsi="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0"/>
      <w:outlineLvl w:val="0"/>
    </w:pPr>
    <w:rPr>
      <w:rFonts w:asciiTheme="majorHAnsi" w:eastAsiaTheme="majorEastAsia" w:hAnsiTheme="majorHAnsi" w:cstheme="majorBidi" w:ascii="Arial" w:hAnsi="Arial"/>
      <w:b/>
      <w:bCs/>
      <w:color w:val="1F4E79"/>
      <w:sz w:val="1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