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b w:val="0"/>
          <w:i w:val="0"/>
          <w:color w:val="14532D"/>
          <w:sz w:val="56"/>
        </w:rPr>
        <w:t>☘</w:t>
      </w:r>
    </w:p>
    <w:p>
      <w:pPr>
        <w:spacing w:after="40" w:before="0"/>
        <w:jc w:val="center"/>
      </w:pPr>
      <w:r>
        <w:rPr>
          <w:rFonts w:ascii="Georgia" w:hAnsi="Georgia"/>
          <w:b/>
          <w:i w:val="0"/>
          <w:color w:val="14532D"/>
          <w:sz w:val="68"/>
        </w:rPr>
        <w:t>CÉILÍ</w:t>
      </w:r>
    </w:p>
    <w:p>
      <w:pPr>
        <w:spacing w:after="160" w:before="0"/>
        <w:jc w:val="center"/>
      </w:pPr>
      <w:r>
        <w:rPr>
          <w:rFonts w:ascii="Georgia" w:hAnsi="Georgia"/>
          <w:b w:val="0"/>
          <w:i/>
          <w:color w:val="A9801C"/>
          <w:sz w:val="28"/>
        </w:rPr>
        <w:t>The Krewe of Shamrock's Digital Gathering Place</w:t>
      </w:r>
    </w:p>
    <w:p>
      <w:pPr>
        <w:spacing w:after="120" w:before="0"/>
        <w:jc w:val="center"/>
      </w:pPr>
      <w:r>
        <w:rPr>
          <w:rFonts w:ascii="Georgia" w:hAnsi="Georgia"/>
          <w:b w:val="0"/>
          <w:i/>
          <w:color w:val="5F6B5A"/>
          <w:sz w:val="21"/>
        </w:rPr>
        <w:t>A céilí (KAY-lee) is the Irish gathering where neighbors bring the music, the stories, and the business of the community into one warm room. Now the krewe has one that never closes.</w:t>
      </w:r>
    </w:p>
    <w:p>
      <w:pPr>
        <w:spacing w:after="120" w:before="0"/>
        <w:jc w:val="center"/>
      </w:pPr>
      <w:r>
        <w:rPr>
          <w:rFonts w:ascii="Georgia" w:hAnsi="Georgia"/>
          <w:b/>
          <w:i w:val="0"/>
          <w:color w:val="14532D"/>
          <w:sz w:val="23"/>
        </w:rPr>
        <w:t>All for Fun, Fun for All — now with the infrastructure to keep it that way.</w:t>
      </w:r>
    </w:p>
    <w:p>
      <w:pPr>
        <w:spacing w:before="40" w:after="160"/>
        <w:pBdr>
          <w:bottom w:val="single" w:sz="12" w:color="D4AF37"/>
        </w:pBdr>
      </w:pPr>
    </w:p>
    <w:p>
      <w:pPr>
        <w:spacing w:after="80" w:before="80"/>
      </w:pPr>
      <w:r>
        <w:rPr>
          <w:rFonts w:ascii="Georgia" w:hAnsi="Georgia"/>
          <w:b/>
          <w:i w:val="0"/>
          <w:color w:val="14532D"/>
          <w:sz w:val="30"/>
        </w:rPr>
        <w:t>Why Céilí Exists</w:t>
      </w:r>
    </w:p>
    <w:p>
      <w:pPr>
        <w:spacing w:after="120" w:before="0"/>
      </w:pPr>
      <w:r>
        <w:rPr>
          <w:rFonts w:ascii="Georgia" w:hAnsi="Georgia"/>
          <w:b w:val="0"/>
          <w:i w:val="0"/>
          <w:color w:val="2A2A22"/>
          <w:sz w:val="21"/>
        </w:rPr>
        <w:t>You built a 140-member institution on volunteer hours and goodwill. Then the goodwill started going to spreadsheets: chasing dues by text, cross-referencing waivers at midnight before Gasparilla, retyping applications for board review, and watching institutional memory walk out the door with every officer transition.</w:t>
      </w:r>
    </w:p>
    <w:p>
      <w:pPr>
        <w:spacing w:after="120" w:before="0"/>
      </w:pPr>
      <w:r>
        <w:rPr>
          <w:rFonts w:ascii="Georgia" w:hAnsi="Georgia"/>
          <w:b/>
          <w:i w:val="0"/>
          <w:color w:val="2A2A22"/>
          <w:sz w:val="21"/>
        </w:rPr>
        <w:t>Céilí gives that time back. Every roster, requirement, RSVP, and report now lives in one secure system that members update themselves — so officers lead the krewe instead of administering it.</w:t>
      </w:r>
    </w:p>
    <w:p>
      <w:pPr>
        <w:spacing w:after="120" w:before="0"/>
      </w:pPr>
      <w:r>
        <w:rPr>
          <w:rFonts w:ascii="Georgia" w:hAnsi="Georgia"/>
          <w:b w:val="0"/>
          <w:i/>
          <w:color w:val="A9801C"/>
          <w:sz w:val="21"/>
        </w:rPr>
        <w:t>"The Krewe of Shamrock doesn't need software for software's sake. We need the right infrastructure so our leaders can spend less time in spreadsheets, and more time keeping the fun alive."  — The Fabric of a Krewe</w:t>
      </w:r>
    </w:p>
    <w:p>
      <w:pPr>
        <w:spacing w:after="80" w:before="280"/>
      </w:pPr>
      <w:r>
        <w:rPr>
          <w:rFonts w:ascii="Georgia" w:hAnsi="Georgia"/>
          <w:b/>
          <w:i w:val="0"/>
          <w:color w:val="14532D"/>
          <w:sz w:val="32"/>
        </w:rPr>
        <w:t>What Officers Get Back</w:t>
      </w:r>
    </w:p>
    <w:p>
      <w:pPr>
        <w:spacing w:after="40" w:before="160"/>
      </w:pPr>
      <w:r>
        <w:rPr>
          <w:rFonts w:ascii="Georgia" w:hAnsi="Georgia"/>
          <w:b/>
          <w:i w:val="0"/>
          <w:color w:val="14532D"/>
          <w:sz w:val="24"/>
        </w:rPr>
        <w:t>🎗️ The End of the Wristband Panic</w:t>
      </w:r>
    </w:p>
    <w:p>
      <w:pPr>
        <w:spacing w:after="80" w:before="0"/>
      </w:pPr>
      <w:r>
        <w:rPr>
          <w:rFonts w:ascii="Georgia" w:hAnsi="Georgia"/>
          <w:b w:val="0"/>
          <w:i w:val="0"/>
          <w:color w:val="2A2A22"/>
          <w:sz w:val="21"/>
        </w:rPr>
        <w:t>The Parade Ready engine watches every member's dues, digitally signed waiver, and mandatory meeting attendance — continuously, automatically. Open the Wristband Pickup List the night before a parade and it's already done: who's ready, and exactly what everyone else is missing. No cross-referencing. No midnight spreadsheet. A 75% reduction in manual eligibility checks, delivered.</w:t>
      </w:r>
    </w:p>
    <w:p>
      <w:pPr>
        <w:spacing w:after="40" w:before="160"/>
      </w:pPr>
      <w:r>
        <w:rPr>
          <w:rFonts w:ascii="Georgia" w:hAnsi="Georgia"/>
          <w:b/>
          <w:i w:val="0"/>
          <w:color w:val="14532D"/>
          <w:sz w:val="24"/>
        </w:rPr>
        <w:t>📲 Attendance That Takes Itself</w:t>
      </w:r>
    </w:p>
    <w:p>
      <w:pPr>
        <w:spacing w:after="80" w:before="0"/>
      </w:pPr>
      <w:r>
        <w:rPr>
          <w:rFonts w:ascii="Georgia" w:hAnsi="Georgia"/>
          <w:b w:val="0"/>
          <w:i w:val="0"/>
          <w:color w:val="2A2A22"/>
          <w:sz w:val="21"/>
        </w:rPr>
        <w:t>Put the meeting check-in QR on the screen and keep talking. Members scan, the database records, Parade Ready updates. What used to be a clipboard and an hour of data entry is now 90% captured the moment it happens.</w:t>
      </w:r>
    </w:p>
    <w:p>
      <w:pPr>
        <w:spacing w:after="40" w:before="160"/>
      </w:pPr>
      <w:r>
        <w:rPr>
          <w:rFonts w:ascii="Georgia" w:hAnsi="Georgia"/>
          <w:b/>
          <w:i w:val="0"/>
          <w:color w:val="14532D"/>
          <w:sz w:val="24"/>
        </w:rPr>
        <w:t>🙌 Twelve Hours, Zero Nagging</w:t>
      </w:r>
    </w:p>
    <w:p>
      <w:pPr>
        <w:spacing w:after="80" w:before="0"/>
      </w:pPr>
      <w:r>
        <w:rPr>
          <w:rFonts w:ascii="Georgia" w:hAnsi="Georgia"/>
          <w:b w:val="0"/>
          <w:i w:val="0"/>
          <w:color w:val="2A2A22"/>
          <w:sz w:val="21"/>
        </w:rPr>
        <w:t>Members log their own volunteer hours against the 12-hour commitment and watch their progress bar fill. Officers approve with one click. The impact numbers your charity partners and board want are always current — no end-of-season archaeology.</w:t>
      </w:r>
    </w:p>
    <w:p>
      <w:pPr>
        <w:spacing w:after="40" w:before="160"/>
      </w:pPr>
      <w:r>
        <w:rPr>
          <w:rFonts w:ascii="Georgia" w:hAnsi="Georgia"/>
          <w:b/>
          <w:i w:val="0"/>
          <w:color w:val="14532D"/>
          <w:sz w:val="24"/>
        </w:rPr>
        <w:t>💶 Dues You Can See, Reminders You Don't Send</w:t>
      </w:r>
    </w:p>
    <w:p>
      <w:pPr>
        <w:spacing w:after="80" w:before="0"/>
      </w:pPr>
      <w:r>
        <w:rPr>
          <w:rFonts w:ascii="Georgia" w:hAnsi="Georgia"/>
          <w:b w:val="0"/>
          <w:i w:val="0"/>
          <w:color w:val="2A2A22"/>
          <w:sz w:val="21"/>
        </w:rPr>
        <w:t>Live dues summaries, outstanding balances, and reminder history in one report — with an automated email pipeline standing by to make dues-chasing a story you tell new officers about the old days. (One API key away — see Coming Attractions.)</w:t>
      </w:r>
    </w:p>
    <w:p>
      <w:pPr>
        <w:spacing w:after="40" w:before="160"/>
      </w:pPr>
      <w:r>
        <w:rPr>
          <w:rFonts w:ascii="Georgia" w:hAnsi="Georgia"/>
          <w:b/>
          <w:i w:val="0"/>
          <w:color w:val="14532D"/>
          <w:sz w:val="24"/>
        </w:rPr>
        <w:t>📊 Every Answer, One Dashboard</w:t>
      </w:r>
    </w:p>
    <w:p>
      <w:pPr>
        <w:spacing w:after="80" w:before="0"/>
      </w:pPr>
      <w:r>
        <w:rPr>
          <w:rFonts w:ascii="Georgia" w:hAnsi="Georgia"/>
          <w:b w:val="0"/>
          <w:i w:val="0"/>
          <w:color w:val="2A2A22"/>
          <w:sz w:val="21"/>
        </w:rPr>
        <w:t>Headcounts and capacity. Volunteer coverage. Attendee contact lists. Membership rolls and pending applications. Locker, carpool, and van-pool logistics with recruiting alerts. Content inventory and the email log. If the board asks, the answer is two clicks, not two evenings.</w:t>
      </w:r>
    </w:p>
    <w:p>
      <w:pPr>
        <w:spacing w:after="40" w:before="160"/>
      </w:pPr>
      <w:r>
        <w:rPr>
          <w:rFonts w:ascii="Georgia" w:hAnsi="Georgia"/>
          <w:b/>
          <w:i w:val="0"/>
          <w:color w:val="14532D"/>
          <w:sz w:val="24"/>
        </w:rPr>
        <w:t>🔒 Institutional Memory That Stays</w:t>
      </w:r>
    </w:p>
    <w:p>
      <w:pPr>
        <w:spacing w:after="80" w:before="0"/>
      </w:pPr>
      <w:r>
        <w:rPr>
          <w:rFonts w:ascii="Georgia" w:hAnsi="Georgia"/>
          <w:b w:val="0"/>
          <w:i w:val="0"/>
          <w:color w:val="2A2A22"/>
          <w:sz w:val="21"/>
        </w:rPr>
        <w:t>Roles, requirements, and records live in the system, not in someone's inbox. When an officer hands over the sash, the knowledge stays put. And it's all protected the way a 140-family roster should be: closed signup, member-vs-officer access enforced in the database itself, every privileged action guarded server-side.</w:t>
      </w:r>
    </w:p>
    <w:p>
      <w:pPr>
        <w:spacing w:after="80" w:before="280"/>
      </w:pPr>
      <w:r>
        <w:rPr>
          <w:rFonts w:ascii="Georgia" w:hAnsi="Georgia"/>
          <w:b/>
          <w:i w:val="0"/>
          <w:color w:val="14532D"/>
          <w:sz w:val="32"/>
        </w:rPr>
        <w:t>What Members Fall in Love With</w:t>
      </w:r>
    </w:p>
    <w:p>
      <w:pPr>
        <w:pStyle w:val="ListBullet"/>
        <w:spacing w:after="80"/>
      </w:pPr>
      <w:r>
        <w:rPr>
          <w:rFonts w:ascii="Georgia" w:hAnsi="Georgia"/>
          <w:b/>
          <w:color w:val="14532D"/>
          <w:sz w:val="21"/>
        </w:rPr>
        <w:t xml:space="preserve">Their own Parade Ready card — </w:t>
      </w:r>
      <w:r>
        <w:rPr>
          <w:rFonts w:ascii="Georgia" w:hAnsi="Georgia"/>
          <w:color w:val="2A2A22"/>
          <w:sz w:val="21"/>
        </w:rPr>
        <w:t>three green checks and a "PARADE READY" banner beats wondering if they're on the list. The waiver takes ten seconds to sign, right on the card.</w:t>
      </w:r>
    </w:p>
    <w:p>
      <w:pPr>
        <w:pStyle w:val="ListBullet"/>
        <w:spacing w:after="80"/>
      </w:pPr>
      <w:r>
        <w:rPr>
          <w:rFonts w:ascii="Georgia" w:hAnsi="Georgia"/>
          <w:b/>
          <w:color w:val="14532D"/>
          <w:sz w:val="21"/>
        </w:rPr>
        <w:t xml:space="preserve">The Craic Cup — </w:t>
      </w:r>
      <w:r>
        <w:rPr>
          <w:rFonts w:ascii="Georgia" w:hAnsi="Georgia"/>
          <w:color w:val="2A2A22"/>
          <w:sz w:val="21"/>
        </w:rPr>
        <w:t>Clovers, ranks, badges, and a seasonal leaderboard that turns showing up and pitching in into the krewe's favorite friendly rivalry. Engagement, gamified.</w:t>
      </w:r>
    </w:p>
    <w:p>
      <w:pPr>
        <w:pStyle w:val="ListBullet"/>
        <w:spacing w:after="80"/>
      </w:pPr>
      <w:r>
        <w:rPr>
          <w:rFonts w:ascii="Georgia" w:hAnsi="Georgia"/>
          <w:b/>
          <w:color w:val="14532D"/>
          <w:sz w:val="21"/>
        </w:rPr>
        <w:t xml:space="preserve">Raffles in their pocket — </w:t>
      </w:r>
      <w:r>
        <w:rPr>
          <w:rFonts w:ascii="Georgia" w:hAnsi="Georgia"/>
          <w:color w:val="2A2A22"/>
          <w:sz w:val="21"/>
        </w:rPr>
        <w:t>baskets and the 50/50, QR-scannable at events, every ticket tied to their account.</w:t>
      </w:r>
    </w:p>
    <w:p>
      <w:pPr>
        <w:pStyle w:val="ListBullet"/>
        <w:spacing w:after="80"/>
      </w:pPr>
      <w:r>
        <w:rPr>
          <w:rFonts w:ascii="Georgia" w:hAnsi="Georgia"/>
          <w:b/>
          <w:color w:val="14532D"/>
          <w:sz w:val="21"/>
        </w:rPr>
        <w:t xml:space="preserve">A stage for their talents — </w:t>
      </w:r>
      <w:r>
        <w:rPr>
          <w:rFonts w:ascii="Georgia" w:hAnsi="Georgia"/>
          <w:color w:val="2A2A22"/>
          <w:sz w:val="21"/>
        </w:rPr>
        <w:t>Krewe Creativity showcases member photography, music, video, art, poetry, writing, and recipes, with officer review before anything goes public.</w:t>
      </w:r>
    </w:p>
    <w:p>
      <w:pPr>
        <w:pStyle w:val="ListBullet"/>
        <w:spacing w:after="80"/>
      </w:pPr>
      <w:r>
        <w:rPr>
          <w:rFonts w:ascii="Georgia" w:hAnsi="Georgia"/>
          <w:b/>
          <w:color w:val="14532D"/>
          <w:sz w:val="21"/>
        </w:rPr>
        <w:t xml:space="preserve">Self-service everything — </w:t>
      </w:r>
      <w:r>
        <w:rPr>
          <w:rFonts w:ascii="Georgia" w:hAnsi="Georgia"/>
          <w:color w:val="2A2A22"/>
          <w:sz w:val="21"/>
        </w:rPr>
        <w:t>RSVPs with guest counts, locker rentals, carpools, van-pool seats, the member directory. They help themselves; nobody plays switchboard.</w:t>
      </w:r>
    </w:p>
    <w:p>
      <w:pPr>
        <w:spacing w:after="80" w:before="280"/>
      </w:pPr>
      <w:r>
        <w:rPr>
          <w:rFonts w:ascii="Georgia" w:hAnsi="Georgia"/>
          <w:b/>
          <w:i w:val="0"/>
          <w:color w:val="14532D"/>
          <w:sz w:val="32"/>
        </w:rPr>
        <w:t>What the Public Sees</w:t>
      </w:r>
    </w:p>
    <w:p>
      <w:pPr>
        <w:spacing w:after="120" w:before="0"/>
      </w:pPr>
      <w:r>
        <w:rPr>
          <w:rFonts w:ascii="Georgia" w:hAnsi="Georgia"/>
          <w:b w:val="0"/>
          <w:i w:val="0"/>
          <w:color w:val="2A2A22"/>
          <w:sz w:val="21"/>
        </w:rPr>
        <w:t>A website worthy of Tampa's original kilted krewe — and a recruiting engine for the waiting list:</w:t>
      </w:r>
    </w:p>
    <w:p>
      <w:pPr>
        <w:pStyle w:val="ListBullet"/>
        <w:spacing w:after="80"/>
      </w:pPr>
      <w:r>
        <w:rPr>
          <w:rFonts w:ascii="Georgia" w:hAnsi="Georgia"/>
          <w:b/>
          <w:color w:val="14532D"/>
          <w:sz w:val="21"/>
        </w:rPr>
        <w:t xml:space="preserve">A living calendar: </w:t>
      </w:r>
      <w:r>
        <w:rPr>
          <w:rFonts w:ascii="Georgia" w:hAnsi="Georgia"/>
          <w:color w:val="2A2A22"/>
          <w:sz w:val="21"/>
        </w:rPr>
        <w:t>publish an event once, and it appears on the homepage, the RSVP page, and the season calendar instantly.</w:t>
      </w:r>
    </w:p>
    <w:p>
      <w:pPr>
        <w:pStyle w:val="ListBullet"/>
        <w:spacing w:after="80"/>
      </w:pPr>
      <w:r>
        <w:rPr>
          <w:rFonts w:ascii="Georgia" w:hAnsi="Georgia"/>
          <w:b/>
          <w:color w:val="14532D"/>
          <w:sz w:val="21"/>
        </w:rPr>
        <w:t xml:space="preserve">The Heritage Library: </w:t>
      </w:r>
      <w:r>
        <w:rPr>
          <w:rFonts w:ascii="Georgia" w:hAnsi="Georgia"/>
          <w:color w:val="2A2A22"/>
          <w:sz w:val="21"/>
        </w:rPr>
        <w:t>seven interactive video lessons and fourteen stories — kilts first, with quizzes, music, and a progress bar — that make your site a destination, not a brochure.</w:t>
      </w:r>
    </w:p>
    <w:p>
      <w:pPr>
        <w:pStyle w:val="ListBullet"/>
        <w:spacing w:after="80"/>
      </w:pPr>
      <w:r>
        <w:rPr>
          <w:rFonts w:ascii="Georgia" w:hAnsi="Georgia"/>
          <w:b/>
          <w:color w:val="14532D"/>
          <w:sz w:val="21"/>
        </w:rPr>
        <w:t xml:space="preserve">The stories that recruit: </w:t>
      </w:r>
      <w:r>
        <w:rPr>
          <w:rFonts w:ascii="Georgia" w:hAnsi="Georgia"/>
          <w:color w:val="2A2A22"/>
          <w:sz w:val="21"/>
        </w:rPr>
        <w:t>the Castle of Shenanigans built by member hands, the 1998 origin at the Grace O'Malley parade, nineteen founders to a proud 140 cap, and service stories that end with an open chair.</w:t>
      </w:r>
    </w:p>
    <w:p>
      <w:pPr>
        <w:pStyle w:val="ListBullet"/>
        <w:spacing w:after="80"/>
      </w:pPr>
      <w:r>
        <w:rPr>
          <w:rFonts w:ascii="Georgia" w:hAnsi="Georgia"/>
          <w:b/>
          <w:color w:val="14532D"/>
          <w:sz w:val="21"/>
        </w:rPr>
        <w:t xml:space="preserve">A Join page that sells the truth: </w:t>
      </w:r>
      <w:r>
        <w:rPr>
          <w:rFonts w:ascii="Georgia" w:hAnsi="Georgia"/>
          <w:color w:val="2A2A22"/>
          <w:sz w:val="21"/>
        </w:rPr>
        <w:t>tiers, dues, the 12-hour tradition, the sponsor and Board process, and the cap that makes membership worth wanting.</w:t>
      </w:r>
    </w:p>
    <w:p>
      <w:pPr>
        <w:spacing w:after="80" w:before="280"/>
      </w:pPr>
      <w:r>
        <w:rPr>
          <w:rFonts w:ascii="Georgia" w:hAnsi="Georgia"/>
          <w:b/>
          <w:i w:val="0"/>
          <w:color w:val="14532D"/>
          <w:sz w:val="32"/>
        </w:rPr>
        <w:t>The Numbers That Matter</w:t>
      </w:r>
    </w:p>
    <w:tbl>
      <w:tblPr>
        <w:tblStyle w:val="TableGrid"/>
        <w:tblW w:type="auto" w:w="0"/>
        <w:jc w:val="center"/>
        <w:tblLook w:firstColumn="1" w:firstRow="1" w:lastColumn="0" w:lastRow="0" w:noHBand="0" w:noVBand="1" w:val="04A0"/>
      </w:tblPr>
      <w:tblGrid>
        <w:gridCol w:w="4824"/>
        <w:gridCol w:w="4824"/>
      </w:tblGrid>
      <w:tr>
        <w:tc>
          <w:tcPr>
            <w:tcW w:type="dxa" w:w="4896"/>
            <w:shd w:val="clear" w:fill="14532D"/>
          </w:tcPr>
          <w:p>
            <w:r/>
            <w:r>
              <w:rPr>
                <w:rFonts w:ascii="Georgia" w:hAnsi="Georgia"/>
                <w:b/>
                <w:color w:val="F6EFDC"/>
                <w:sz w:val="21"/>
              </w:rPr>
              <w:t>Before Céilí</w:t>
            </w:r>
          </w:p>
        </w:tc>
        <w:tc>
          <w:tcPr>
            <w:tcW w:type="dxa" w:w="4320"/>
            <w:shd w:val="clear" w:fill="14532D"/>
          </w:tcPr>
          <w:p>
            <w:r/>
            <w:r>
              <w:rPr>
                <w:rFonts w:ascii="Georgia" w:hAnsi="Georgia"/>
                <w:b/>
                <w:color w:val="F6EFDC"/>
                <w:sz w:val="21"/>
              </w:rPr>
              <w:t>With Céilí</w:t>
            </w:r>
          </w:p>
        </w:tc>
      </w:tr>
      <w:tr>
        <w:tc>
          <w:tcPr>
            <w:tcW w:type="dxa" w:w="4896"/>
          </w:tcPr>
          <w:p>
            <w:r/>
            <w:r>
              <w:rPr>
                <w:rFonts w:ascii="Georgia" w:hAnsi="Georgia"/>
                <w:sz w:val="20"/>
              </w:rPr>
              <w:t>Hours of eligibility cross-referencing per parade</w:t>
            </w:r>
          </w:p>
        </w:tc>
        <w:tc>
          <w:tcPr>
            <w:tcW w:type="dxa" w:w="4320"/>
          </w:tcPr>
          <w:p>
            <w:r/>
            <w:r>
              <w:rPr>
                <w:rFonts w:ascii="Georgia" w:hAnsi="Georgia"/>
                <w:b/>
                <w:color w:val="14532D"/>
                <w:sz w:val="20"/>
              </w:rPr>
              <w:t>The list is already made</w:t>
            </w:r>
          </w:p>
        </w:tc>
      </w:tr>
      <w:tr>
        <w:tc>
          <w:tcPr>
            <w:tcW w:type="dxa" w:w="4896"/>
          </w:tcPr>
          <w:p>
            <w:r/>
            <w:r>
              <w:rPr>
                <w:rFonts w:ascii="Georgia" w:hAnsi="Georgia"/>
                <w:sz w:val="20"/>
              </w:rPr>
              <w:t>Clipboard attendance, typed up later</w:t>
            </w:r>
          </w:p>
        </w:tc>
        <w:tc>
          <w:tcPr>
            <w:tcW w:type="dxa" w:w="4320"/>
          </w:tcPr>
          <w:p>
            <w:r/>
            <w:r>
              <w:rPr>
                <w:rFonts w:ascii="Georgia" w:hAnsi="Georgia"/>
                <w:b/>
                <w:color w:val="14532D"/>
                <w:sz w:val="20"/>
              </w:rPr>
              <w:t>QR scan, recorded instantly</w:t>
            </w:r>
          </w:p>
        </w:tc>
      </w:tr>
      <w:tr>
        <w:tc>
          <w:tcPr>
            <w:tcW w:type="dxa" w:w="4896"/>
          </w:tcPr>
          <w:p>
            <w:r/>
            <w:r>
              <w:rPr>
                <w:rFonts w:ascii="Georgia" w:hAnsi="Georgia"/>
                <w:sz w:val="20"/>
              </w:rPr>
              <w:t>Dues status in one person's spreadsheet</w:t>
            </w:r>
          </w:p>
        </w:tc>
        <w:tc>
          <w:tcPr>
            <w:tcW w:type="dxa" w:w="4320"/>
          </w:tcPr>
          <w:p>
            <w:r/>
            <w:r>
              <w:rPr>
                <w:rFonts w:ascii="Georgia" w:hAnsi="Georgia"/>
                <w:b/>
                <w:color w:val="14532D"/>
                <w:sz w:val="20"/>
              </w:rPr>
              <w:t>Live reports any officer can run</w:t>
            </w:r>
          </w:p>
        </w:tc>
      </w:tr>
      <w:tr>
        <w:tc>
          <w:tcPr>
            <w:tcW w:type="dxa" w:w="4896"/>
          </w:tcPr>
          <w:p>
            <w:r/>
            <w:r>
              <w:rPr>
                <w:rFonts w:ascii="Georgia" w:hAnsi="Georgia"/>
                <w:sz w:val="20"/>
              </w:rPr>
              <w:t>"Ask the person who did it last year"</w:t>
            </w:r>
          </w:p>
        </w:tc>
        <w:tc>
          <w:tcPr>
            <w:tcW w:type="dxa" w:w="4320"/>
          </w:tcPr>
          <w:p>
            <w:r/>
            <w:r>
              <w:rPr>
                <w:rFonts w:ascii="Georgia" w:hAnsi="Georgia"/>
                <w:b/>
                <w:color w:val="14532D"/>
                <w:sz w:val="20"/>
              </w:rPr>
              <w:t>The system remembers</w:t>
            </w:r>
          </w:p>
        </w:tc>
      </w:tr>
      <w:tr>
        <w:tc>
          <w:tcPr>
            <w:tcW w:type="dxa" w:w="4896"/>
          </w:tcPr>
          <w:p>
            <w:r/>
            <w:r>
              <w:rPr>
                <w:rFonts w:ascii="Georgia" w:hAnsi="Georgia"/>
                <w:sz w:val="20"/>
              </w:rPr>
              <w:t>Six annual events run on group texts</w:t>
            </w:r>
          </w:p>
        </w:tc>
        <w:tc>
          <w:tcPr>
            <w:tcW w:type="dxa" w:w="4320"/>
          </w:tcPr>
          <w:p>
            <w:r/>
            <w:r>
              <w:rPr>
                <w:rFonts w:ascii="Georgia" w:hAnsi="Georgia"/>
                <w:b/>
                <w:color w:val="14532D"/>
                <w:sz w:val="20"/>
              </w:rPr>
              <w:t>One platform, every event</w:t>
            </w:r>
          </w:p>
        </w:tc>
      </w:tr>
    </w:tbl>
    <w:p>
      <w:pPr>
        <w:spacing w:after="80" w:before="0"/>
      </w:pPr>
      <w:r>
        <w:rPr>
          <w:rFonts w:ascii="Georgia" w:hAnsi="Georgia"/>
          <w:b w:val="0"/>
          <w:i w:val="0"/>
          <w:color w:val="2A2A22"/>
          <w:sz w:val="21"/>
        </w:rPr>
      </w:r>
    </w:p>
    <w:p>
      <w:pPr>
        <w:spacing w:after="80" w:before="280"/>
      </w:pPr>
      <w:r>
        <w:rPr>
          <w:rFonts w:ascii="Georgia" w:hAnsi="Georgia"/>
          <w:b/>
          <w:i w:val="0"/>
          <w:color w:val="14532D"/>
          <w:sz w:val="32"/>
        </w:rPr>
        <w:t>Coming Attractions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fill="14532D"/>
          </w:tcPr>
          <w:p>
            <w:r/>
            <w:r>
              <w:rPr>
                <w:rFonts w:ascii="Georgia" w:hAnsi="Georgia"/>
                <w:b/>
                <w:color w:val="F6EFDC"/>
                <w:sz w:val="21"/>
              </w:rPr>
              <w:t>Next</w:t>
            </w:r>
          </w:p>
        </w:tc>
        <w:tc>
          <w:tcPr>
            <w:tcW w:type="dxa" w:w="3216"/>
            <w:shd w:val="clear" w:fill="14532D"/>
          </w:tcPr>
          <w:p>
            <w:r/>
            <w:r>
              <w:rPr>
                <w:rFonts w:ascii="Georgia" w:hAnsi="Georgia"/>
                <w:b/>
                <w:color w:val="F6EFDC"/>
                <w:sz w:val="21"/>
              </w:rPr>
              <w:t>The Payoff</w:t>
            </w:r>
          </w:p>
        </w:tc>
        <w:tc>
          <w:tcPr>
            <w:tcW w:type="dxa" w:w="3216"/>
            <w:shd w:val="clear" w:fill="14532D"/>
          </w:tcPr>
          <w:p>
            <w:r/>
            <w:r>
              <w:rPr>
                <w:rFonts w:ascii="Georgia" w:hAnsi="Georgia"/>
                <w:b/>
                <w:color w:val="F6EFDC"/>
                <w:sz w:val="21"/>
              </w:rPr>
              <w:t>What It Takes</w:t>
            </w:r>
          </w:p>
        </w:tc>
      </w:tr>
      <w:tr>
        <w:tc>
          <w:tcPr>
            <w:tcW w:type="dxa" w:w="3216"/>
          </w:tcPr>
          <w:p>
            <w:r/>
            <w:r>
              <w:rPr>
                <w:rFonts w:ascii="Georgia" w:hAnsi="Georgia"/>
                <w:sz w:val="20"/>
              </w:rPr>
              <w:t>Automated dues reminders</w:t>
            </w:r>
          </w:p>
        </w:tc>
        <w:tc>
          <w:tcPr>
            <w:tcW w:type="dxa" w:w="3216"/>
          </w:tcPr>
          <w:p>
            <w:r/>
            <w:r>
              <w:rPr>
                <w:rFonts w:ascii="Georgia" w:hAnsi="Georgia"/>
                <w:b/>
                <w:color w:val="14532D"/>
                <w:sz w:val="20"/>
              </w:rPr>
              <w:t>100% elimination of dues-chasing</w:t>
            </w:r>
          </w:p>
        </w:tc>
        <w:tc>
          <w:tcPr>
            <w:tcW w:type="dxa" w:w="3216"/>
          </w:tcPr>
          <w:p>
            <w:r/>
            <w:r>
              <w:rPr>
                <w:rFonts w:ascii="Georgia" w:hAnsi="Georgia"/>
                <w:sz w:val="20"/>
              </w:rPr>
              <w:t>Resend key + domain (in progress)</w:t>
            </w:r>
          </w:p>
        </w:tc>
      </w:tr>
      <w:tr>
        <w:tc>
          <w:tcPr>
            <w:tcW w:type="dxa" w:w="3216"/>
          </w:tcPr>
          <w:p>
            <w:r/>
            <w:r>
              <w:rPr>
                <w:rFonts w:ascii="Georgia" w:hAnsi="Georgia"/>
                <w:sz w:val="20"/>
              </w:rPr>
              <w:t>Online payments</w:t>
            </w:r>
          </w:p>
        </w:tc>
        <w:tc>
          <w:tcPr>
            <w:tcW w:type="dxa" w:w="3216"/>
          </w:tcPr>
          <w:p>
            <w:r/>
            <w:r>
              <w:rPr>
                <w:rFonts w:ascii="Georgia" w:hAnsi="Georgia"/>
                <w:b/>
                <w:color w:val="14532D"/>
                <w:sz w:val="20"/>
              </w:rPr>
              <w:t>Dues and fees settle themselves</w:t>
            </w:r>
          </w:p>
        </w:tc>
        <w:tc>
          <w:tcPr>
            <w:tcW w:type="dxa" w:w="3216"/>
          </w:tcPr>
          <w:p>
            <w:r/>
            <w:r>
              <w:rPr>
                <w:rFonts w:ascii="Georgia" w:hAnsi="Georgia"/>
                <w:sz w:val="20"/>
              </w:rPr>
              <w:t>Stripe or PayPal account</w:t>
            </w:r>
          </w:p>
        </w:tc>
      </w:tr>
      <w:tr>
        <w:tc>
          <w:tcPr>
            <w:tcW w:type="dxa" w:w="3216"/>
          </w:tcPr>
          <w:p>
            <w:r/>
            <w:r>
              <w:rPr>
                <w:rFonts w:ascii="Georgia" w:hAnsi="Georgia"/>
                <w:sz w:val="20"/>
              </w:rPr>
              <w:t>Board packet automation</w:t>
            </w:r>
          </w:p>
        </w:tc>
        <w:tc>
          <w:tcPr>
            <w:tcW w:type="dxa" w:w="3216"/>
          </w:tcPr>
          <w:p>
            <w:r/>
            <w:r>
              <w:rPr>
                <w:rFonts w:ascii="Georgia" w:hAnsi="Georgia"/>
                <w:b/>
                <w:color w:val="14532D"/>
                <w:sz w:val="20"/>
              </w:rPr>
              <w:t>Meeting prep in one click</w:t>
            </w:r>
          </w:p>
        </w:tc>
        <w:tc>
          <w:tcPr>
            <w:tcW w:type="dxa" w:w="3216"/>
          </w:tcPr>
          <w:p>
            <w:r/>
            <w:r>
              <w:rPr>
                <w:rFonts w:ascii="Georgia" w:hAnsi="Georgia"/>
                <w:sz w:val="20"/>
              </w:rPr>
              <w:t>Builds on today's reports</w:t>
            </w:r>
          </w:p>
        </w:tc>
      </w:tr>
      <w:tr>
        <w:tc>
          <w:tcPr>
            <w:tcW w:type="dxa" w:w="3216"/>
          </w:tcPr>
          <w:p>
            <w:r/>
            <w:r>
              <w:rPr>
                <w:rFonts w:ascii="Georgia" w:hAnsi="Georgia"/>
                <w:sz w:val="20"/>
              </w:rPr>
              <w:t>Officer transition kit</w:t>
            </w:r>
          </w:p>
        </w:tc>
        <w:tc>
          <w:tcPr>
            <w:tcW w:type="dxa" w:w="3216"/>
          </w:tcPr>
          <w:p>
            <w:r/>
            <w:r>
              <w:rPr>
                <w:rFonts w:ascii="Georgia" w:hAnsi="Georgia"/>
                <w:b/>
                <w:color w:val="14532D"/>
                <w:sz w:val="20"/>
              </w:rPr>
              <w:t>Handovers without the scramble</w:t>
            </w:r>
          </w:p>
        </w:tc>
        <w:tc>
          <w:tcPr>
            <w:tcW w:type="dxa" w:w="3216"/>
          </w:tcPr>
          <w:p>
            <w:r/>
            <w:r>
              <w:rPr>
                <w:rFonts w:ascii="Georgia" w:hAnsi="Georgia"/>
                <w:sz w:val="20"/>
              </w:rPr>
              <w:t>Document repository</w:t>
            </w:r>
          </w:p>
        </w:tc>
      </w:tr>
      <w:tr>
        <w:tc>
          <w:tcPr>
            <w:tcW w:type="dxa" w:w="3216"/>
          </w:tcPr>
          <w:p>
            <w:r/>
            <w:r>
              <w:rPr>
                <w:rFonts w:ascii="Georgia" w:hAnsi="Georgia"/>
                <w:sz w:val="20"/>
              </w:rPr>
              <w:t>Social feed integration</w:t>
            </w:r>
          </w:p>
        </w:tc>
        <w:tc>
          <w:tcPr>
            <w:tcW w:type="dxa" w:w="3216"/>
          </w:tcPr>
          <w:p>
            <w:r/>
            <w:r>
              <w:rPr>
                <w:rFonts w:ascii="Georgia" w:hAnsi="Georgia"/>
                <w:b/>
                <w:color w:val="14532D"/>
                <w:sz w:val="20"/>
              </w:rPr>
              <w:t>Publish once → site + Facebook</w:t>
            </w:r>
          </w:p>
        </w:tc>
        <w:tc>
          <w:tcPr>
            <w:tcW w:type="dxa" w:w="3216"/>
          </w:tcPr>
          <w:p>
            <w:r/>
            <w:r>
              <w:rPr>
                <w:rFonts w:ascii="Georgia" w:hAnsi="Georgia"/>
                <w:sz w:val="20"/>
              </w:rPr>
              <w:t>Meta API setup</w:t>
            </w:r>
          </w:p>
        </w:tc>
      </w:tr>
    </w:tbl>
    <w:p>
      <w:pPr>
        <w:spacing w:after="40" w:before="0"/>
      </w:pPr>
      <w:r>
        <w:rPr>
          <w:rFonts w:ascii="Georgia" w:hAnsi="Georgia"/>
          <w:b w:val="0"/>
          <w:i w:val="0"/>
          <w:color w:val="2A2A22"/>
          <w:sz w:val="21"/>
        </w:rPr>
      </w:r>
    </w:p>
    <w:p>
      <w:pPr>
        <w:spacing w:before="40" w:after="160"/>
        <w:pBdr>
          <w:bottom w:val="single" w:sz="12" w:color="D4AF37"/>
        </w:pBdr>
      </w:pPr>
    </w:p>
    <w:p>
      <w:pPr>
        <w:spacing w:after="120" w:before="0"/>
        <w:jc w:val="center"/>
      </w:pPr>
      <w:r>
        <w:rPr>
          <w:rFonts w:ascii="Georgia" w:hAnsi="Georgia"/>
          <w:b w:val="0"/>
          <w:i/>
          <w:color w:val="14532D"/>
          <w:sz w:val="23"/>
        </w:rPr>
        <w:t>Céilí keeps the fun in front and the spreadsheets out of sight — so the leaders can lead, the members can march, and there's always room at the table. Sláinte!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color w:val="2A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