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Operations &amp; Revenue Analytics</w:t>
      </w:r>
    </w:p>
    <w:p>
      <w:r>
        <w:t>Power BI portfolio case study | Executive project brief</w:t>
      </w:r>
    </w:p>
    <w:p>
      <w:pPr>
        <w:pStyle w:val="Heading1"/>
      </w:pPr>
      <w:r>
        <w:t>Project purpose</w:t>
      </w:r>
    </w:p>
    <w:p>
      <w:r>
        <w:t>Analyze how appointment completion, patient experience, department workload, claims and collections connect to operational priorities and financial exposure across five source tables and six Power BI report pages.</w:t>
      </w:r>
    </w:p>
    <w:p>
      <w:pPr>
        <w:pStyle w:val="Heading1"/>
      </w:pPr>
      <w:r>
        <w:t>Validated project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Patients / providers</w:t>
            </w:r>
          </w:p>
        </w:tc>
        <w:tc>
          <w:tcPr>
            <w:tcW w:type="dxa" w:w="4320"/>
          </w:tcPr>
          <w:p>
            <w:r>
              <w:t>500 / 40</w:t>
            </w:r>
          </w:p>
        </w:tc>
      </w:tr>
      <w:tr>
        <w:tc>
          <w:tcPr>
            <w:tcW w:type="dxa" w:w="4320"/>
          </w:tcPr>
          <w:p>
            <w:r>
              <w:t>Encounters / completed</w:t>
            </w:r>
          </w:p>
        </w:tc>
        <w:tc>
          <w:tcPr>
            <w:tcW w:type="dxa" w:w="4320"/>
          </w:tcPr>
          <w:p>
            <w:r>
              <w:t>1,200 / 889</w:t>
            </w:r>
          </w:p>
        </w:tc>
      </w:tr>
      <w:tr>
        <w:tc>
          <w:tcPr>
            <w:tcW w:type="dxa" w:w="4320"/>
          </w:tcPr>
          <w:p>
            <w:r>
              <w:t>Completion / no-show rates</w:t>
            </w:r>
          </w:p>
        </w:tc>
        <w:tc>
          <w:tcPr>
            <w:tcW w:type="dxa" w:w="4320"/>
          </w:tcPr>
          <w:p>
            <w:r>
              <w:t>74.1% / 10.0%</w:t>
            </w:r>
          </w:p>
        </w:tc>
      </w:tr>
      <w:tr>
        <w:tc>
          <w:tcPr>
            <w:tcW w:type="dxa" w:w="4320"/>
          </w:tcPr>
          <w:p>
            <w:r>
              <w:t>Average wait</w:t>
            </w:r>
          </w:p>
        </w:tc>
        <w:tc>
          <w:tcPr>
            <w:tcW w:type="dxa" w:w="4320"/>
          </w:tcPr>
          <w:p>
            <w:r>
              <w:t>20.9 minutes</w:t>
            </w:r>
          </w:p>
        </w:tc>
      </w:tr>
      <w:tr>
        <w:tc>
          <w:tcPr>
            <w:tcW w:type="dxa" w:w="4320"/>
          </w:tcPr>
          <w:p>
            <w:r>
              <w:t>Total billed</w:t>
            </w:r>
          </w:p>
        </w:tc>
        <w:tc>
          <w:tcPr>
            <w:tcW w:type="dxa" w:w="4320"/>
          </w:tcPr>
          <w:p>
            <w:r>
              <w:t>$465,896</w:t>
            </w:r>
          </w:p>
        </w:tc>
      </w:tr>
      <w:tr>
        <w:tc>
          <w:tcPr>
            <w:tcW w:type="dxa" w:w="4320"/>
          </w:tcPr>
          <w:p>
            <w:r>
              <w:t>Total collected</w:t>
            </w:r>
          </w:p>
        </w:tc>
        <w:tc>
          <w:tcPr>
            <w:tcW w:type="dxa" w:w="4320"/>
          </w:tcPr>
          <w:p>
            <w:r>
              <w:t>$284,664</w:t>
            </w:r>
          </w:p>
        </w:tc>
      </w:tr>
      <w:tr>
        <w:tc>
          <w:tcPr>
            <w:tcW w:type="dxa" w:w="4320"/>
          </w:tcPr>
          <w:p>
            <w:r>
              <w:t>Total pending</w:t>
            </w:r>
          </w:p>
        </w:tc>
        <w:tc>
          <w:tcPr>
            <w:tcW w:type="dxa" w:w="4320"/>
          </w:tcPr>
          <w:p>
            <w:r>
              <w:t>$77,737</w:t>
            </w:r>
          </w:p>
        </w:tc>
      </w:tr>
      <w:tr>
        <w:tc>
          <w:tcPr>
            <w:tcW w:type="dxa" w:w="4320"/>
          </w:tcPr>
          <w:p>
            <w:r>
              <w:t>Total denied</w:t>
            </w:r>
          </w:p>
        </w:tc>
        <w:tc>
          <w:tcPr>
            <w:tcW w:type="dxa" w:w="4320"/>
          </w:tcPr>
          <w:p>
            <w:r>
              <w:t>$30,651</w:t>
            </w:r>
          </w:p>
        </w:tc>
      </w:tr>
    </w:tbl>
    <w:p>
      <w:pPr>
        <w:pStyle w:val="Heading1"/>
      </w:pPr>
      <w:r>
        <w:t>Decision-oriented insights</w:t>
      </w:r>
    </w:p>
    <w:p>
      <w:pPr>
        <w:pStyle w:val="ListBullet"/>
      </w:pPr>
      <w:r>
        <w:t>Primary Care has the highest encounter volume (187). Review demand in conjunction with provider coverage and wait time.</w:t>
      </w:r>
    </w:p>
    <w:p>
      <w:pPr>
        <w:pStyle w:val="ListBullet"/>
      </w:pPr>
      <w:r>
        <w:t>Cardiology has the highest pending-payment amount ($12,663). Triage payer-level aging and payment status.</w:t>
      </w:r>
    </w:p>
    <w:p>
      <w:pPr>
        <w:pStyle w:val="ListBullet"/>
      </w:pPr>
      <w:r>
        <w:t>120 no-show visits and 108 cancellations suggest opportunities for scheduling follow-up; benefits of interventions still need measurement.</w:t>
      </w:r>
    </w:p>
    <w:p>
      <w:pPr>
        <w:pStyle w:val="ListBullet"/>
      </w:pPr>
      <w:r>
        <w:t>Pending amounts ($77,737) exceed denied amounts ($30,651). Treat these as distinct operational queues.</w:t>
      </w:r>
    </w:p>
    <w:p>
      <w:pPr>
        <w:pStyle w:val="Heading1"/>
      </w:pPr>
      <w:r>
        <w:t>Recommended actions</w:t>
      </w:r>
    </w:p>
    <w:p>
      <w:r>
        <w:t>Weekly dashboard governance; appointment reminders and rapid rebooking pilots; capacity review; prioritized payment follow-up; denial root-cause review. Track pre/post results rather than assuming improvement.</w:t>
      </w:r>
    </w:p>
    <w:p>
      <w:pPr>
        <w:pStyle w:val="Heading1"/>
      </w:pPr>
      <w:r>
        <w:t>Technical and privacy notes</w:t>
      </w:r>
    </w:p>
    <w:p>
      <w:r>
        <w:t>Source tables: Patients, Providers, Encounters, Claims, Payments. Power BI visuals include cards, charts, slicers, a table, and comparative operational/financial views. Numerical validation here uses the unfiltered workbook and is not a substitute for auditing all PBIX DAX expressions. Original patient-named source data and the original PBIX are excluded from the public package.</w:t>
      </w:r>
    </w:p>
    <w:p>
      <w:r>
        <w:t>Author: [YOUR NAME]   |   GitHub: [URL]   |   Portfolio: [URL]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HEALTHCARE OPERATIONS &amp; REVENUE  |  ANALYTICS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