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t>STM32H503 灵巧手指尖固件架构</w:t>
      </w:r>
    </w:p>
    <w:p>
      <w:pPr>
        <w:spacing w:after="240"/>
      </w:pPr>
      <w:r>
        <w:t>当前版本：原始数据采集、固定协议组帧、CRC、LPUART1 TX DMA；算法留给上位机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7E6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MCU 上电 / 复位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HAL、时钟、GPIO、I2C1、LPUART1、GPDMA 初始化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SensorApp_Init：初始化 3 颗 MLX90393 + 2 颗 LSM6DSOW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启动首轮 MLX XYZT 转换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主循环 SensorApp_Process：检查 10 ms deadline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读取上一轮</w:t>
              <w:br/>
              <w:t>3颗 MLX 原始值</w:t>
            </w:r>
          </w:p>
        </w:tc>
        <w:tc>
          <w:tcPr>
            <w:tcW w:type="dxa" w:w="2794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启动下一轮</w:t>
              <w:br/>
              <w:t>MLX 转换</w:t>
            </w:r>
          </w:p>
        </w:tc>
        <w:tc>
          <w:tcPr>
            <w:tcW w:type="dxa" w:w="279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读取 2颗 IMU</w:t>
              <w:br/>
              <w:t>温度+原始六轴</w:t>
            </w:r>
          </w:p>
        </w:tc>
        <w:tc>
          <w:tcPr>
            <w:tcW w:type="dxa" w:w="2794"/>
            <w:shd w:fill="E7E6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生成逐颗</w:t>
              <w:br/>
              <w:t>有效位</w:t>
            </w:r>
          </w:p>
        </w:tc>
        <w:tc>
          <w:tcPr>
            <w:tcW w:type="dxa" w:w="2794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68 B 协议组帧</w:t>
              <w:br/>
              <w:t>+ CRC8</w:t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 UART DMA 空闲时发送；忙时只丢弃本次上行，不停止采集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LPUART1 TX DMA 异步发送 → 上位机接收原始值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7E6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上位机：磁干扰判断、姿态识别、滤波、标定与数据展示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</w:tbl>
    <w:p>
      <w:pPr>
        <w:spacing w:before="160" w:after="0"/>
      </w:pPr>
      <w:r>
        <w:t>职责边界： MCU 只保证可靠采集与传输，不在当前版本内解释磁场或姿态。</w:t>
      </w:r>
    </w:p>
    <w:p>
      <w:pPr>
        <w:sectPr>
          <w:footerReference w:type="default" r:id="rId9"/>
          <w:pgSz w:w="15840" w:h="12240" w:orient="landscape"/>
          <w:pgMar w:top="792" w:right="936" w:bottom="792" w:left="936" w:header="720" w:footer="720" w:gutter="0"/>
          <w:cols w:space="720"/>
          <w:docGrid w:linePitch="360"/>
        </w:sectPr>
      </w:pPr>
      <w:r/>
    </w:p>
    <w:p>
      <w:pPr>
        <w:spacing w:after="60"/>
        <w:jc w:val="left"/>
      </w:pPr>
      <w:r>
        <w:t>Bootloader 与参数 Flash 维护流程</w:t>
      </w:r>
    </w:p>
    <w:p>
      <w:pPr>
        <w:spacing w:after="240"/>
      </w:pPr>
      <w:r>
        <w:t>参数区已确认：0x0801E000 - 0x0801FFFF，全局第15页，Bank 2 Sector 7，8 KB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7E6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MCU 复位 → 进入 Bootloader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读取升级标志、A/B 固件状态和启动控制字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E7E6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无升级请求</w:t>
            </w:r>
          </w:p>
        </w:tc>
        <w:tc>
          <w:tcPr>
            <w:tcW w:type="dxa" w:w="279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选择有效 A/B 固件</w:t>
            </w:r>
          </w:p>
        </w:tc>
        <w:tc>
          <w:tcPr>
            <w:tcW w:type="dxa" w:w="2794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设置 VTOR / MSP / PC</w:t>
            </w:r>
          </w:p>
        </w:tc>
        <w:tc>
          <w:tcPr>
            <w:tcW w:type="dxa" w:w="2794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跳转应用</w:t>
            </w:r>
          </w:p>
        </w:tc>
        <w:tc>
          <w:tcPr>
            <w:tcW w:type="dxa" w:w="2794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运行</w:t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升级完成或需要清除运行标志时，调用 H503Flash_UpdatePreserve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完整读取第15页 8 KB 到调用者提供的 RAM 备份区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只在 RAM 镜像中修改目标标志；内容未变化则直接返回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擦除 Bank 2 Sector 7 → 检查完整 8 KB 均为 0xFF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按 16 字节 Quad-word 写回完整 8 KB RAM 镜像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  <w:tr>
        <w:tc>
          <w:tcPr>
            <w:tcW w:type="dxa" w:w="13970"/>
            <w:gridSpan w:val="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↓</w:t>
            </w:r>
          </w:p>
        </w:tc>
      </w:tr>
      <w:tr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  <w:tc>
          <w:tcPr>
            <w:tcW w:type="dxa" w:w="8382"/>
            <w:gridSpan w:val="3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比较完整 8 KB：一致则成功；不一致则返回校验错误</w:t>
            </w:r>
          </w:p>
        </w:tc>
        <w:tc>
          <w:tcPr>
            <w:tcW w:type="dxa" w:w="279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</w:r>
          </w:p>
        </w:tc>
      </w:tr>
    </w:tbl>
    <w:p>
      <w:pPr>
        <w:spacing w:before="160" w:after="0"/>
      </w:pPr>
      <w:r>
        <w:t>维护提醒： RAM 备份可防止误删同页参数，但不能防止擦除到写回期间掉电；掉电安全需双 Sector 主备事务。</w:t>
      </w:r>
    </w:p>
    <w:p>
      <w:pPr>
        <w:sectPr>
          <w:pgSz w:w="15840" w:h="12240" w:orient="landscape"/>
          <w:pgMar w:top="792" w:right="936" w:bottom="792" w:left="936" w:header="720" w:footer="720" w:gutter="0"/>
          <w:cols w:space="720"/>
          <w:docGrid w:linePitch="360"/>
        </w:sectPr>
      </w:pPr>
      <w:r/>
    </w:p>
    <w:p>
      <w:pPr>
        <w:spacing w:after="60"/>
        <w:jc w:val="left"/>
      </w:pPr>
      <w:r>
        <w:t>通信协议最终方案</w:t>
      </w:r>
    </w:p>
    <w:p>
      <w:pPr>
        <w:spacing w:after="240"/>
      </w:pPr>
      <w:r>
        <w:t>严格对照 image/通信协议.png：一块指尖板作为一个模块，所有多字节字段大端编码，总帧固定 68 字节。</w:t>
      </w:r>
    </w:p>
    <w:p>
      <w:pPr>
        <w:spacing w:before="160" w:after="100"/>
      </w:pPr>
      <w:r>
        <w:t>固定头部、GAIN_SEL 与校验字段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  <w:gridCol w:w="1552"/>
        <w:gridCol w:w="1552"/>
        <w:gridCol w:w="1552"/>
        <w:gridCol w:w="1040"/>
      </w:tblGrid>
      <w:tr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帧头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传感器数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传感器ID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类型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GAIN_SEL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总帧长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时间戳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报文长度</w:t>
            </w:r>
          </w:p>
        </w:tc>
        <w:tc>
          <w:tcPr>
            <w:tcW w:type="dxa" w:w="1552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CRC8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帧尾</w:t>
            </w:r>
          </w:p>
        </w:tc>
      </w:tr>
      <w:tr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1A 2B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01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00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01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05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00 44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4 B 大端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00 34</w:t>
            </w:r>
          </w:p>
        </w:tc>
        <w:tc>
          <w:tcPr>
            <w:tcW w:type="dxa" w:w="15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 B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3C</w:t>
            </w:r>
          </w:p>
        </w:tc>
      </w:tr>
    </w:tbl>
    <w:p>
      <w:pPr>
        <w:spacing w:before="160" w:after="100"/>
      </w:pPr>
      <w:r>
        <w:t>状态字节表示 MLX90393 当前 GAIN_SEL，当前为 0x05；52 字节载荷保持不变。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MLX T (x3)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MLX X (x3)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MLX Y (x3)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MLX Z (x3)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ACX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ACY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ACZ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ANX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ANY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ANZ (x2) (x2)</w:t>
            </w:r>
          </w:p>
        </w:tc>
        <w:tc>
          <w:tcPr>
            <w:tcW w:type="dxa" w:w="127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IMU T (x2) (x2)</w:t>
            </w:r>
          </w:p>
        </w:tc>
      </w:tr>
      <w:tr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  <w:tc>
          <w:tcPr>
            <w:tcW w:type="dxa" w:w="127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16"/>
              </w:rPr>
              <w:t>2 B</w:t>
            </w:r>
          </w:p>
        </w:tc>
      </w:tr>
    </w:tbl>
    <w:p>
      <w:pPr>
        <w:spacing w:before="160" w:after="100"/>
      </w:pPr>
      <w:r>
        <w:t>CRC8-CCITT：Poly=0x07，Init=0x00，不反转，XorOut=0x00；覆盖 0x1A 至载荷末字节，不含 CRC 和 0x3C。</w:t>
      </w:r>
    </w:p>
    <w:p>
      <w:pPr>
        <w:spacing w:after="60"/>
        <w:ind w:left="288" w:hanging="216"/>
      </w:pPr>
      <w:r>
        <w:t>• CRC 为 1 字节，但图片未给算法、初值、异或值和覆盖范围；当前 CRC32 不能直接替代。</w:t>
      </w:r>
    </w:p>
    <w:p>
      <w:pPr>
        <w:spacing w:after="60"/>
        <w:ind w:left="288" w:hanging="216"/>
      </w:pPr>
      <w:r>
        <w:t>• 传感器 ID 与“状态保留”字段各自到底占 1 字节还是 2 字节。</w:t>
      </w:r>
    </w:p>
    <w:p>
      <w:pPr>
        <w:spacing w:after="60"/>
        <w:ind w:left="288" w:hanging="216"/>
      </w:pPr>
      <w:r>
        <w:t>• 总帧长和报文长度字段的精确字节宽度及大端表示。</w:t>
      </w:r>
    </w:p>
    <w:p>
      <w:pPr>
        <w:spacing w:after="60"/>
        <w:ind w:left="288" w:hanging="216"/>
      </w:pPr>
      <w:r>
        <w:t>• 本板有 3 颗 MLX、2 颗 IMU；图中只画 1 组 MLX+IMU，需确认多器件重复顺序和缺少 IMU 温度寄存器的处理。</w:t>
      </w:r>
    </w:p>
    <w:p>
      <w:pPr>
        <w:spacing w:after="60"/>
        <w:ind w:left="288" w:hanging="216"/>
      </w:pPr>
      <w:r>
        <w:t>• 图中 AC/AN 的含义需确认：通常可理解为加速度/角速度，但必须与接收端字段定义一致。</w:t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777777"/>
        <w:sz w:val="16"/>
      </w:rPr>
      <w:t>STM32H503 灵巧手指尖固件 | 2026-07-29</w:t>
    </w:r>
    <w:r>
      <w:rPr>
        <w:rFonts w:ascii="Microsoft YaHei" w:hAnsi="Microsoft YaHei" w:eastAsia="Microsoft YaHei"/>
        <w:b w:val="0"/>
        <w:color w:val="777777"/>
        <w:sz w:val="16"/>
      </w:rPr>
      <w:t>STM32H503 灵巧手指尖固件 | 2026-07-29</w:t>
    </w:r>
    <w:r>
      <w:rPr>
        <w:rFonts w:ascii="Microsoft YaHei" w:hAnsi="Microsoft YaHei" w:eastAsia="Microsoft YaHei"/>
        <w:b w:val="0"/>
        <w:color w:val="777777"/>
        <w:sz w:val="16"/>
      </w:rPr>
      <w:t>STM32H503 灵巧手指尖固件 |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STM32H503 固件架构与 Bootloader 流程图</dc:title>
  <dc:subject>可编辑工作汇报流程图与通信协议对照</dc:subject>
  <dc:creator>Mosense Firmware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