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Tenancies Act, subleasing may require written consent from the landlord depending on your specific lease and local regulations.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Tenancies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