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Tenancies Act, subleasing requires written consent from the landlord unless the lease specifies otherwise.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Tenancies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