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Rental of a Residential Property Act, subleasing requires written consent from the landlord.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Rental of a Residential Property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