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Tenancies Act which allows for early termination under exceptional circumstances (14 days for domestic violence, 30 days for health reasons).</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Tenancies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