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(28 days for domestic violence, immediate for safety threats).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