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Landlord and Tenant Act which allows for early termination under exceptional circumstances (28 days for domestic violence, immediate for safety threats).</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Landlord and Tenant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