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Controlled Vocabulary for School Librarianship</w:t>
      </w:r>
    </w:p>
    <w:p>
      <w:pPr>
        <w:pStyle w:val="Heading2"/>
      </w:pPr>
      <w:r>
        <w:t>Project Overview</w:t>
      </w:r>
    </w:p>
    <w:p>
      <w:r>
        <w:t>This project demonstrates the design of a controlled vocabulary to support MLIS students training as school librarians. The goal was to improve metadata quality, consistency, and discoverability of resources across K–12 contexts.</w:t>
      </w:r>
    </w:p>
    <w:p>
      <w:pPr>
        <w:pStyle w:val="Heading2"/>
      </w:pPr>
      <w:r>
        <w:t>Process</w:t>
      </w:r>
    </w:p>
    <w:p>
      <w:r>
        <w:t>Key steps in the process included:</w:t>
      </w:r>
    </w:p>
    <w:p>
      <w:r>
        <w:t>• Extracted key concepts from scholarly sources and practice-based readings.</w:t>
      </w:r>
    </w:p>
    <w:p>
      <w:r>
        <w:t>• Normalized terms, consolidated duplicates, and defined preferred labels.</w:t>
      </w:r>
    </w:p>
    <w:p>
      <w:r>
        <w:t>• Wrote scope notes to ensure clarity and proper usage of terms.</w:t>
      </w:r>
    </w:p>
    <w:p>
      <w:r>
        <w:t>• Established hierarchical relationships (BT/NT/RT).</w:t>
      </w:r>
    </w:p>
    <w:p>
      <w:r>
        <w:t>• Packaged terms in a professional table for portfolio presentation.</w:t>
      </w:r>
    </w:p>
    <w:p>
      <w:pPr>
        <w:pStyle w:val="Heading2"/>
      </w:pPr>
      <w:r>
        <w:t>Impact</w:t>
      </w:r>
    </w:p>
    <w:p>
      <w:r>
        <w:t>The final controlled vocabulary provided improved consistency across records, a reusable framework for indexing school library resources, and evidence of applied skills in taxonomy design, metadata management, and information architecture.</w:t>
      </w:r>
    </w:p>
    <w:p>
      <w:pPr>
        <w:pStyle w:val="Heading2"/>
      </w:pPr>
      <w:r>
        <w:t>Sample Vocabulary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Preferred Term</w:t>
            </w:r>
          </w:p>
        </w:tc>
        <w:tc>
          <w:tcPr>
            <w:tcW w:type="dxa" w:w="2160"/>
          </w:tcPr>
          <w:p>
            <w:r>
              <w:t>Synonyms / Variants</w:t>
            </w:r>
          </w:p>
        </w:tc>
        <w:tc>
          <w:tcPr>
            <w:tcW w:type="dxa" w:w="2160"/>
          </w:tcPr>
          <w:p>
            <w:r>
              <w:t>Scope Note</w:t>
            </w:r>
          </w:p>
        </w:tc>
        <w:tc>
          <w:tcPr>
            <w:tcW w:type="dxa" w:w="2160"/>
          </w:tcPr>
          <w:p>
            <w:r>
              <w:t>Relationships (BT/NT/RT)</w:t>
            </w:r>
          </w:p>
        </w:tc>
      </w:tr>
      <w:tr>
        <w:tc>
          <w:tcPr>
            <w:tcW w:type="dxa" w:w="2160"/>
          </w:tcPr>
          <w:p>
            <w:r>
              <w:t>Taxonomy</w:t>
            </w:r>
          </w:p>
        </w:tc>
        <w:tc>
          <w:tcPr>
            <w:tcW w:type="dxa" w:w="2160"/>
          </w:tcPr>
          <w:p>
            <w:r>
              <w:t>Classification system</w:t>
            </w:r>
          </w:p>
        </w:tc>
        <w:tc>
          <w:tcPr>
            <w:tcW w:type="dxa" w:w="2160"/>
          </w:tcPr>
          <w:p>
            <w:r>
              <w:t>Controlled classification system for organizing school library resources.</w:t>
            </w:r>
          </w:p>
        </w:tc>
        <w:tc>
          <w:tcPr>
            <w:tcW w:type="dxa" w:w="2160"/>
          </w:tcPr>
          <w:p>
            <w:r>
              <w:t>BT: Knowledge organization; RT: Metadata</w:t>
            </w:r>
          </w:p>
        </w:tc>
      </w:tr>
      <w:tr>
        <w:tc>
          <w:tcPr>
            <w:tcW w:type="dxa" w:w="2160"/>
          </w:tcPr>
          <w:p>
            <w:r>
              <w:t>Information-seeking behaviors</w:t>
            </w:r>
          </w:p>
        </w:tc>
        <w:tc>
          <w:tcPr>
            <w:tcW w:type="dxa" w:w="2160"/>
          </w:tcPr>
          <w:p>
            <w:r>
              <w:t>ELIS; Information behaviors</w:t>
            </w:r>
          </w:p>
        </w:tc>
        <w:tc>
          <w:tcPr>
            <w:tcW w:type="dxa" w:w="2160"/>
          </w:tcPr>
          <w:p>
            <w:r>
              <w:t>User patterns in locating and using information, particularly in youth and educational contexts.</w:t>
            </w:r>
          </w:p>
        </w:tc>
        <w:tc>
          <w:tcPr>
            <w:tcW w:type="dxa" w:w="2160"/>
          </w:tcPr>
          <w:p>
            <w:r>
              <w:t>BT: User behavior; NT: Everyday life information-seeking</w:t>
            </w:r>
          </w:p>
        </w:tc>
      </w:tr>
      <w:tr>
        <w:tc>
          <w:tcPr>
            <w:tcW w:type="dxa" w:w="2160"/>
          </w:tcPr>
          <w:p>
            <w:r>
              <w:t>Library services</w:t>
            </w:r>
          </w:p>
        </w:tc>
        <w:tc>
          <w:tcPr>
            <w:tcW w:type="dxa" w:w="2160"/>
          </w:tcPr>
          <w:p>
            <w:r>
              <w:t>School library services</w:t>
            </w:r>
          </w:p>
        </w:tc>
        <w:tc>
          <w:tcPr>
            <w:tcW w:type="dxa" w:w="2160"/>
          </w:tcPr>
          <w:p>
            <w:r>
              <w:t>Programs, resources, and assistance provided by school librarians to support learning communities.</w:t>
            </w:r>
          </w:p>
        </w:tc>
        <w:tc>
          <w:tcPr>
            <w:tcW w:type="dxa" w:w="2160"/>
          </w:tcPr>
          <w:p>
            <w:r>
              <w:t>BT: Library operations; RT: Information literacy</w:t>
            </w:r>
          </w:p>
        </w:tc>
      </w:tr>
      <w:tr>
        <w:tc>
          <w:tcPr>
            <w:tcW w:type="dxa" w:w="2160"/>
          </w:tcPr>
          <w:p>
            <w:r>
              <w:t>Metadata</w:t>
            </w:r>
          </w:p>
        </w:tc>
        <w:tc>
          <w:tcPr>
            <w:tcW w:type="dxa" w:w="2160"/>
          </w:tcPr>
          <w:p>
            <w:r>
              <w:t>Descriptive data</w:t>
            </w:r>
          </w:p>
        </w:tc>
        <w:tc>
          <w:tcPr>
            <w:tcW w:type="dxa" w:w="2160"/>
          </w:tcPr>
          <w:p>
            <w:r>
              <w:t>Structured information that describes, explains, or enables retrieval of resources.</w:t>
            </w:r>
          </w:p>
        </w:tc>
        <w:tc>
          <w:tcPr>
            <w:tcW w:type="dxa" w:w="2160"/>
          </w:tcPr>
          <w:p>
            <w:r>
              <w:t>BT: Knowledge representation; RT: Cataloging</w:t>
            </w:r>
          </w:p>
        </w:tc>
      </w:tr>
      <w:tr>
        <w:tc>
          <w:tcPr>
            <w:tcW w:type="dxa" w:w="2160"/>
          </w:tcPr>
          <w:p>
            <w:r>
              <w:t>Usability</w:t>
            </w:r>
          </w:p>
        </w:tc>
        <w:tc>
          <w:tcPr>
            <w:tcW w:type="dxa" w:w="2160"/>
          </w:tcPr>
          <w:p>
            <w:r>
              <w:t>Ease of use</w:t>
            </w:r>
          </w:p>
        </w:tc>
        <w:tc>
          <w:tcPr>
            <w:tcW w:type="dxa" w:w="2160"/>
          </w:tcPr>
          <w:p>
            <w:r>
              <w:t>Measure of how effectively users can navigate and interact with a library website or system.</w:t>
            </w:r>
          </w:p>
        </w:tc>
        <w:tc>
          <w:tcPr>
            <w:tcW w:type="dxa" w:w="2160"/>
          </w:tcPr>
          <w:p>
            <w:r>
              <w:t>BT: User experience; RT: Website design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