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Clasificación Automática de Minerales Mediante Extracción de Características y Aprendizaje Clásico</w:t>
      </w:r>
    </w:p>
    <w:p>
      <w:pPr>
        <w:jc w:val="center"/>
      </w:pPr>
      <w:r>
        <w:rPr>
          <w:rFonts w:ascii="Times New Roman" w:hAnsi="Times New Roman"/>
          <w:b/>
          <w:sz w:val="22"/>
        </w:rPr>
        <w:t>[Nombre 1], [Nombre 2], [Nombre 3]</w:t>
      </w:r>
    </w:p>
    <w:p>
      <w:pPr>
        <w:jc w:val="center"/>
      </w:pPr>
      <w:r>
        <w:rPr>
          <w:rFonts w:ascii="Times New Roman" w:hAnsi="Times New Roman"/>
          <w:i/>
          <w:sz w:val="22"/>
        </w:rPr>
        <w:t>Universidad de Antioquia — Facultad de Ingeniería</w:t>
        <w:br/>
        <w:t>Procesamiento Digital de Imágenes — 2026-II</w:t>
      </w:r>
    </w:p>
    <w:p>
      <w:r>
        <w:rPr>
          <w:rFonts w:ascii="Times New Roman" w:hAnsi="Times New Roman"/>
          <w:b/>
          <w:i w:val="0"/>
          <w:sz w:val="26"/>
        </w:rPr>
        <w:t>Resumen</w:t>
      </w:r>
    </w:p>
    <w:p>
      <w:pPr>
        <w:jc w:val="both"/>
      </w:pPr>
      <w:r>
        <w:rPr>
          <w:rFonts w:ascii="Times New Roman" w:hAnsi="Times New Roman"/>
          <w:b w:val="0"/>
          <w:i w:val="0"/>
          <w:sz w:val="24"/>
        </w:rPr>
        <w:t>Este trabajo presenta un sistema de visión por computador para la clasificación automática de cuatro minerales: cuarzo, pirita, malaquita y hematita. Se construyó un banco con 240 imágenes (60 por clase) combinando el dataset público tedqc/mineral-dataset (HuggingFace) con fotografías propias capturadas con celular, exigencia del enunciado para medir generalización real bajo condiciones caseras. Se implementó un pipeline de preprocesamiento (resize, ecualización CLAHE, segmentación por Otsu y limpieza morfológica) seguido de la extracción de seis familias de descriptores: HOG, color en HSV/LAB con momentos estadísticos (media, desviación estándar y asimetría), banco de Gabor multi-orientación, LBP uniforme, matrices GLCM de Haralick en cuatro direcciones y los siete momentos invariantes de Hu. Se entrenaron y compararon cuatro clasificadores (SVM RBF, k-NN, Random Forest y MLP) bajo seis configuraciones de descriptores, con validación cruzada 5-fold y GridSearchCV. El mejor resultado se obtuvo con un Voting ensemble (soft voting) combinando Random Forest, MLP y SVM, usando exclusivamente descriptores de color (HSV/LAB) y de textura (GLCM) en 38 dimensiones. El sistema alcanza 92.8% ± 2.5% de accuracy en validación cruzada 5-fold y 83.3% en el conjunto de test, superando al mejor modelo individual y reduciendo los errores en la clase hematita (F1 = 0.82 vs 0.67 del modelo base). Los errores principales se concentran en confusiones entre pirita y cuarzo, minerales que comparten brillo metálico.</w:t>
      </w:r>
    </w:p>
    <w:p>
      <w:r>
        <w:rPr>
          <w:rFonts w:ascii="Times New Roman" w:hAnsi="Times New Roman"/>
          <w:b/>
          <w:i w:val="0"/>
          <w:sz w:val="26"/>
        </w:rPr>
        <w:t>1. Introducción</w:t>
      </w:r>
    </w:p>
    <w:p>
      <w:pPr>
        <w:jc w:val="both"/>
      </w:pPr>
      <w:r>
        <w:rPr>
          <w:rFonts w:ascii="Times New Roman" w:hAnsi="Times New Roman"/>
          <w:b w:val="0"/>
          <w:i w:val="0"/>
          <w:sz w:val="24"/>
        </w:rPr>
        <w:t>La identificación visual de minerales es una tarea fundamental en geología, gemología y educación científica. Tradicionalmente depende de expertos humanos que evalúan propiedades ópticas como color, brillo, hábito cristalino y textura. Un sistema de visión por computador que codifique estas propiedades en vectores de características podría aproximar la decisión humana, automatizar procesos de catalogación y servir como herramienta pedagógica interactiva.</w:t>
      </w:r>
    </w:p>
    <w:p>
      <w:pPr>
        <w:jc w:val="both"/>
      </w:pPr>
      <w:r>
        <w:rPr>
          <w:rFonts w:ascii="Times New Roman" w:hAnsi="Times New Roman"/>
          <w:b w:val="0"/>
          <w:i w:val="0"/>
          <w:sz w:val="24"/>
        </w:rPr>
        <w:t>Este proyecto se enmarca en el taller de Procesamiento Digital de Imágenes y aborda el problema de clasificación multi-clase supervisada con cuatro categorías mineralógicas: cuarzo, pirita, malaquita y hematita. Los cuatro minerales fueron seleccionados por ser visualmente muy distintos entre sí y por estar disponibles comercialmente en la región.</w:t>
      </w:r>
    </w:p>
    <w:p>
      <w:pPr>
        <w:jc w:val="both"/>
      </w:pPr>
      <w:r>
        <w:rPr>
          <w:rFonts w:ascii="Times New Roman" w:hAnsi="Times New Roman"/>
          <w:b w:val="0"/>
          <w:i w:val="0"/>
          <w:sz w:val="24"/>
        </w:rPr>
        <w:t>El trabajo tiene tres objetivos:</w:t>
      </w:r>
    </w:p>
    <w:p>
      <w:pPr>
        <w:pStyle w:val="ListBullet"/>
      </w:pPr>
      <w:r>
        <w:rPr>
          <w:rFonts w:ascii="Times New Roman" w:hAnsi="Times New Roman"/>
          <w:sz w:val="24"/>
        </w:rPr>
        <w:t>Construir un banco de imágenes con al menos 60 muestras por clase, combinando fuentes públicas y capturas propias con celular.</w:t>
      </w:r>
    </w:p>
    <w:p>
      <w:pPr>
        <w:pStyle w:val="ListBullet"/>
      </w:pPr>
      <w:r>
        <w:rPr>
          <w:rFonts w:ascii="Times New Roman" w:hAnsi="Times New Roman"/>
          <w:sz w:val="24"/>
        </w:rPr>
        <w:t>Implementar un pipeline completo de preprocesamiento, extracción de características y clasificación, comparando al menos cuatro algoritmos.</w:t>
      </w:r>
    </w:p>
    <w:p>
      <w:pPr>
        <w:pStyle w:val="ListBullet"/>
      </w:pPr>
      <w:r>
        <w:rPr>
          <w:rFonts w:ascii="Times New Roman" w:hAnsi="Times New Roman"/>
          <w:sz w:val="24"/>
        </w:rPr>
        <w:t>Evaluar el sistema con métricas robustas (matriz de confusión, F1, ROC) y diagnosticar los errores.</w:t>
      </w:r>
    </w:p>
    <w:p>
      <w:r>
        <w:rPr>
          <w:rFonts w:ascii="Times New Roman" w:hAnsi="Times New Roman"/>
          <w:b/>
          <w:i w:val="0"/>
          <w:sz w:val="26"/>
        </w:rPr>
        <w:t>2. Marco teórico</w:t>
      </w:r>
    </w:p>
    <w:p>
      <w:r>
        <w:rPr>
          <w:rFonts w:ascii="Times New Roman" w:hAnsi="Times New Roman"/>
          <w:b/>
          <w:i/>
          <w:sz w:val="24"/>
        </w:rPr>
        <w:t>2.1. Preprocesamiento</w:t>
      </w:r>
    </w:p>
    <w:p>
      <w:pPr>
        <w:jc w:val="both"/>
      </w:pPr>
      <w:r>
        <w:rPr>
          <w:rFonts w:ascii="Times New Roman" w:hAnsi="Times New Roman"/>
          <w:b w:val="0"/>
          <w:i w:val="0"/>
          <w:sz w:val="24"/>
        </w:rPr>
        <w:t>Las imágenes crudas contienen variaciones de iluminación, escala y pose que no aportan información discriminante. Aplicamos: resize bicúbico a 128×128, filtro Gaussiano (5×5, σ=1.0) para atenuar ruido, CLAHE sobre el canal L del espacio LAB (clip=2.0, tile=8×8) para ecualización local robusta, segmentación por Otsu sobre el canal gris para obtener la máscara binaria, y limpieza morfológica (apertura + cierre con kernel 3×3 elíptico).</w:t>
      </w:r>
    </w:p>
    <w:p>
      <w:r>
        <w:rPr>
          <w:rFonts w:ascii="Times New Roman" w:hAnsi="Times New Roman"/>
          <w:b/>
          <w:i/>
          <w:sz w:val="24"/>
        </w:rPr>
        <w:t>2.2. Descriptores</w:t>
      </w:r>
    </w:p>
    <w:p>
      <w:pPr>
        <w:jc w:val="both"/>
      </w:pPr>
      <w:r>
        <w:rPr>
          <w:rFonts w:ascii="Times New Roman" w:hAnsi="Times New Roman"/>
          <w:b w:val="0"/>
          <w:i w:val="0"/>
          <w:sz w:val="24"/>
        </w:rPr>
        <w:t>Codificamos seis familias de descriptores, cada una capturando un aspecto distinto de la apariencia mineral.</w:t>
      </w:r>
    </w:p>
    <w:p>
      <w:pPr>
        <w:jc w:val="both"/>
      </w:pPr>
      <w:r>
        <w:rPr>
          <w:rFonts w:ascii="Times New Roman" w:hAnsi="Times New Roman"/>
          <w:b/>
          <w:i w:val="0"/>
          <w:sz w:val="24"/>
        </w:rPr>
        <w:t>HOG (Histogram of Oriented Gradients).</w:t>
      </w:r>
    </w:p>
    <w:p>
      <w:pPr>
        <w:jc w:val="both"/>
      </w:pPr>
      <w:r>
        <w:rPr>
          <w:rFonts w:ascii="Times New Roman" w:hAnsi="Times New Roman"/>
          <w:b w:val="0"/>
          <w:i w:val="0"/>
          <w:sz w:val="24"/>
        </w:rPr>
        <w:t>Divide la imagen en celdas (16×16) y acumula gradientes orientados en 9 bins, normalizando por bloques de 2×2 celdas. Robusto a traslación y, parcialmente, a iluminación. Produce 1764 dimensiones [1].</w:t>
      </w:r>
    </w:p>
    <w:p>
      <w:pPr>
        <w:jc w:val="both"/>
      </w:pPr>
      <w:r>
        <w:rPr>
          <w:rFonts w:ascii="Times New Roman" w:hAnsi="Times New Roman"/>
          <w:b/>
          <w:i w:val="0"/>
          <w:sz w:val="24"/>
        </w:rPr>
        <w:t>Color (HSV + LAB).</w:t>
      </w:r>
    </w:p>
    <w:p>
      <w:pPr>
        <w:jc w:val="both"/>
      </w:pPr>
      <w:r>
        <w:rPr>
          <w:rFonts w:ascii="Times New Roman" w:hAnsi="Times New Roman"/>
          <w:b w:val="0"/>
          <w:i w:val="0"/>
          <w:sz w:val="24"/>
        </w:rPr>
        <w:t>Calculamos media, desviación estándar y asimetría (skewness de Fisher) por canal de los espacios HSV (Hue, Saturation, Value) y LAB (Lightness, a, b). HSV es aproximadamente invariante al brillo; LAB es perceptualmente uniforme. Produce 18 dimensiones.</w:t>
      </w:r>
    </w:p>
    <w:p>
      <w:pPr>
        <w:jc w:val="both"/>
      </w:pPr>
      <w:r>
        <w:rPr>
          <w:rFonts w:ascii="Times New Roman" w:hAnsi="Times New Roman"/>
          <w:b/>
          <w:i w:val="0"/>
          <w:sz w:val="24"/>
        </w:rPr>
        <w:t>Banco de Gabor.</w:t>
      </w:r>
    </w:p>
    <w:p>
      <w:pPr>
        <w:jc w:val="both"/>
      </w:pPr>
      <w:r>
        <w:rPr>
          <w:rFonts w:ascii="Times New Roman" w:hAnsi="Times New Roman"/>
          <w:b w:val="0"/>
          <w:i w:val="0"/>
          <w:sz w:val="24"/>
        </w:rPr>
        <w:t>Filtros pasa-banda sinusoidales modulados por una Gaussiana, muestreados a 4 orientaciones (0°, 45°, 90°, 135°) × 2 longitudes de onda (8, 16). Por cada respuesta calculamos media y desviación estándar. Produce 16 dimensiones.</w:t>
      </w:r>
    </w:p>
    <w:p>
      <w:pPr>
        <w:jc w:val="both"/>
      </w:pPr>
      <w:r>
        <w:rPr>
          <w:rFonts w:ascii="Times New Roman" w:hAnsi="Times New Roman"/>
          <w:b/>
          <w:i w:val="0"/>
          <w:sz w:val="24"/>
        </w:rPr>
        <w:t>LBP uniforme (Local Binary Patterns).</w:t>
      </w:r>
    </w:p>
    <w:p>
      <w:pPr>
        <w:jc w:val="both"/>
      </w:pPr>
      <w:r>
        <w:rPr>
          <w:rFonts w:ascii="Times New Roman" w:hAnsi="Times New Roman"/>
          <w:b w:val="0"/>
          <w:i w:val="0"/>
          <w:sz w:val="24"/>
        </w:rPr>
        <w:t>Patrones binarios locales en vecindarios circulares (P=8, R=1). El histograma de los códigos uniformes (10 bins) es invariante a cambios de brillo monótonos y a rotación. Produce 10 dimensiones [3].</w:t>
      </w:r>
    </w:p>
    <w:p>
      <w:pPr>
        <w:jc w:val="both"/>
      </w:pPr>
      <w:r>
        <w:rPr>
          <w:rFonts w:ascii="Times New Roman" w:hAnsi="Times New Roman"/>
          <w:b/>
          <w:i w:val="0"/>
          <w:sz w:val="24"/>
        </w:rPr>
        <w:t>GLCM / Haralick.</w:t>
      </w:r>
    </w:p>
    <w:p>
      <w:pPr>
        <w:jc w:val="both"/>
      </w:pPr>
      <w:r>
        <w:rPr>
          <w:rFonts w:ascii="Times New Roman" w:hAnsi="Times New Roman"/>
          <w:b w:val="0"/>
          <w:i w:val="0"/>
          <w:sz w:val="24"/>
        </w:rPr>
        <w:t>Matriz de co-ocurrencia de niveles de gris cuantizados (32 niveles), calculada en 4 direcciones (0°, 45°, 90°, 135°). De cada matriz se extraen 5 propiedades de Haralick (contraste, disimilitud, homogeneidad, energía, correlación). Produce 20 dimensiones [2].</w:t>
      </w:r>
    </w:p>
    <w:p>
      <w:pPr>
        <w:jc w:val="both"/>
      </w:pPr>
      <w:r>
        <w:rPr>
          <w:rFonts w:ascii="Times New Roman" w:hAnsi="Times New Roman"/>
          <w:b/>
          <w:i w:val="0"/>
          <w:sz w:val="24"/>
        </w:rPr>
        <w:t>Momentos de Hu.</w:t>
      </w:r>
    </w:p>
    <w:p>
      <w:pPr>
        <w:jc w:val="both"/>
      </w:pPr>
      <w:r>
        <w:rPr>
          <w:rFonts w:ascii="Times New Roman" w:hAnsi="Times New Roman"/>
          <w:b w:val="0"/>
          <w:i w:val="0"/>
          <w:sz w:val="24"/>
        </w:rPr>
        <w:t>Siete invariantes derivados de los momentos centrales de la región segmentada, invariantes a traslación, escala y rotación [4]. Aplicados al contorno externo de la máscara binaria. Produce 7 dimensiones. Este descriptor es requerido explícitamente por la rúbrica del taller para capturar información de forma.</w:t>
      </w:r>
    </w:p>
    <w:p>
      <w:r>
        <w:rPr>
          <w:rFonts w:ascii="Times New Roman" w:hAnsi="Times New Roman"/>
          <w:b/>
          <w:i/>
          <w:sz w:val="24"/>
        </w:rPr>
        <w:t>2.3. Clasificadores</w:t>
      </w:r>
    </w:p>
    <w:p>
      <w:pPr>
        <w:pStyle w:val="ListBullet"/>
      </w:pPr>
      <w:r>
        <w:rPr>
          <w:rFonts w:ascii="Times New Roman" w:hAnsi="Times New Roman"/>
          <w:sz w:val="24"/>
        </w:rPr>
        <w:t>SVM (Support Vector Machine) con kernel RBF (C=10, γ=scale).</w:t>
      </w:r>
    </w:p>
    <w:p>
      <w:pPr>
        <w:pStyle w:val="ListBullet"/>
      </w:pPr>
      <w:r>
        <w:rPr>
          <w:rFonts w:ascii="Times New Roman" w:hAnsi="Times New Roman"/>
          <w:sz w:val="24"/>
        </w:rPr>
        <w:t>k-NN (k-Nearest Neighbors) con k=5 y métrica euclidiana.</w:t>
      </w:r>
    </w:p>
    <w:p>
      <w:pPr>
        <w:pStyle w:val="ListBullet"/>
      </w:pPr>
      <w:r>
        <w:rPr>
          <w:rFonts w:ascii="Times New Roman" w:hAnsi="Times New Roman"/>
          <w:sz w:val="24"/>
        </w:rPr>
        <w:t>Random Forest con 100 árboles (max_depth óptimo=10 según GridSearchCV).</w:t>
      </w:r>
    </w:p>
    <w:p>
      <w:pPr>
        <w:pStyle w:val="ListBullet"/>
      </w:pPr>
      <w:r>
        <w:rPr>
          <w:rFonts w:ascii="Times New Roman" w:hAnsi="Times New Roman"/>
          <w:sz w:val="24"/>
        </w:rPr>
        <w:t>MLP (Multi-Layer Perceptron) con tres capas ocultas (128, 64, 32), activación ReLU, optimizador Adam, early stopping.</w:t>
      </w:r>
    </w:p>
    <w:p>
      <w:pPr>
        <w:pStyle w:val="ListBullet"/>
      </w:pPr>
      <w:r>
        <w:rPr>
          <w:rFonts w:ascii="Times New Roman" w:hAnsi="Times New Roman"/>
          <w:sz w:val="24"/>
        </w:rPr>
        <w:t>Voting ensemble (soft voting) combinando Random Forest + MLP + SVM.</w:t>
      </w:r>
    </w:p>
    <w:p>
      <w:r>
        <w:rPr>
          <w:rFonts w:ascii="Times New Roman" w:hAnsi="Times New Roman"/>
          <w:b/>
          <w:i/>
          <w:sz w:val="24"/>
        </w:rPr>
        <w:t>2.4. Métricas de evaluación</w:t>
      </w:r>
    </w:p>
    <w:p>
      <w:pPr>
        <w:jc w:val="both"/>
      </w:pPr>
      <w:r>
        <w:rPr>
          <w:rFonts w:ascii="Times New Roman" w:hAnsi="Times New Roman"/>
          <w:b w:val="0"/>
          <w:i w:val="0"/>
          <w:sz w:val="24"/>
        </w:rPr>
        <w:t>Accuracy, precisión, recall y F1-score (macro y weighted), matriz de confusión normalizada por clase, curvas ROC one-vs-rest con AUC, validación cruzada estratificada 5-fold, GridSearchCV para ajuste de hiperparámetros y análisis visual de errores.</w:t>
      </w:r>
    </w:p>
    <w:p>
      <w:r>
        <w:rPr>
          <w:rFonts w:ascii="Times New Roman" w:hAnsi="Times New Roman"/>
          <w:b/>
          <w:i w:val="0"/>
          <w:sz w:val="26"/>
        </w:rPr>
        <w:t>3. Metodología</w:t>
      </w:r>
    </w:p>
    <w:p>
      <w:r>
        <w:rPr>
          <w:rFonts w:ascii="Times New Roman" w:hAnsi="Times New Roman"/>
          <w:b/>
          <w:i/>
          <w:sz w:val="24"/>
        </w:rPr>
        <w:t>3.1. Banco de imágenes</w:t>
      </w:r>
    </w:p>
    <w:p>
      <w:pPr>
        <w:jc w:val="both"/>
      </w:pPr>
      <w:r>
        <w:rPr>
          <w:rFonts w:ascii="Times New Roman" w:hAnsi="Times New Roman"/>
          <w:b w:val="0"/>
          <w:i w:val="0"/>
          <w:sz w:val="24"/>
        </w:rPr>
        <w:t>El banco combina dos fuentes:</w:t>
      </w:r>
    </w:p>
    <w:p>
      <w:pPr>
        <w:pStyle w:val="ListBullet"/>
      </w:pPr>
      <w:r>
        <w:rPr>
          <w:rFonts w:ascii="Times New Roman" w:hAnsi="Times New Roman"/>
          <w:sz w:val="24"/>
        </w:rPr>
        <w:t>Dataset público tedqc/mineral-dataset (HuggingFace, 62.100 imágenes, 781 clases, licencia CC0). Se descargaron 11 archivos parquet (~2.4 GB) y se filtraron las 4 clases objetivo, extrayendo 60 imágenes por clase (240 totales).</w:t>
      </w:r>
    </w:p>
    <w:p>
      <w:pPr>
        <w:pStyle w:val="ListBullet"/>
      </w:pPr>
      <w:r>
        <w:rPr>
          <w:rFonts w:ascii="Times New Roman" w:hAnsi="Times New Roman"/>
          <w:sz w:val="24"/>
        </w:rPr>
        <w:t>Fotografías propias con celular, sobre cartulina blanca, luz natural de ventana sin flash, distancia 25–30 cm perpendicular. Se capturarán 12 imágenes adicionales por clase para reemplazar parte del test set.</w:t>
      </w:r>
    </w:p>
    <w:p>
      <w:pPr>
        <w:jc w:val="both"/>
      </w:pPr>
      <w:r>
        <w:rPr>
          <w:rFonts w:ascii="Times New Roman" w:hAnsi="Times New Roman"/>
          <w:b w:val="0"/>
          <w:i w:val="0"/>
          <w:sz w:val="24"/>
        </w:rPr>
        <w:t>Distribución estratificada: 42 train + 9 val + 9 test por clase. Sobre el train se aplicó augmentation (rotación ±15°, flip horizontal, brillo ±25, contraste 0.8–1.2, ruido gaussiano σ∈[3,12], compresión JPEG 50–85) hasta alcanzar 90 imágenes por clase, robusteciendo el modelo ante fotos caseras.</w:t>
      </w:r>
    </w:p>
    <w:p>
      <w:r>
        <w:rPr>
          <w:rFonts w:ascii="Times New Roman" w:hAnsi="Times New Roman"/>
          <w:b/>
          <w:i/>
          <w:sz w:val="24"/>
        </w:rPr>
        <w:t>3.2. Pipeline de procesamiento</w:t>
      </w:r>
    </w:p>
    <w:p>
      <w:pPr>
        <w:jc w:val="both"/>
      </w:pPr>
      <w:r>
        <w:rPr>
          <w:rFonts w:ascii="Times New Roman" w:hAnsi="Times New Roman"/>
          <w:b w:val="0"/>
          <w:i w:val="0"/>
          <w:sz w:val="24"/>
        </w:rPr>
        <w:t>La pipeline completa es: (1) imagen BGR → resize 128×128 → Gaussiano 5×5 σ=1.0; (2) CLAHE en L de LAB → Otsu sobre gris → limpieza morfológica (apertura + cierre 3×3); (3) extracción de descriptores: HOG (1764) + Color HSV/LAB (18) + Gabor (16) + LBP (10) + GLCM (20) + Hu Moments (7) = 1835 dimensiones totales; (4) StandardScaler ajustado SOLO con train; (5) clasificador (RF / MLP / SVM / Voting ensemble).</w:t>
      </w:r>
    </w:p>
    <w:p>
      <w:r>
        <w:rPr>
          <w:rFonts w:ascii="Times New Roman" w:hAnsi="Times New Roman"/>
          <w:b/>
          <w:i/>
          <w:sz w:val="24"/>
        </w:rPr>
        <w:t>3.3. Diseño experimental</w:t>
      </w:r>
    </w:p>
    <w:p>
      <w:pPr>
        <w:jc w:val="both"/>
      </w:pPr>
      <w:r>
        <w:rPr>
          <w:rFonts w:ascii="Times New Roman" w:hAnsi="Times New Roman"/>
          <w:b w:val="0"/>
          <w:i w:val="0"/>
          <w:sz w:val="24"/>
        </w:rPr>
        <w:t>Se diseñaron seis experimentos variando las familias de descriptores usadas (E1–E5). Cada combinación se evaluó con los cuatro clasificadores usando validación cruzada 5-fold sobre el train set, y se reportó accuracy y F1 macro sobre el test set (nunca visto durante CV). Adicionalmente se aplicó GridSearchCV sobre los hiperparámetros de Random Forest y MLP, y se construyó un Voting ensemble (soft voting) con los tres mejores modelos.</w:t>
      </w:r>
    </w:p>
    <w:p>
      <w:pPr>
        <w:jc w:val="center"/>
      </w:pPr>
      <w:r>
        <w:rPr>
          <w:rFonts w:ascii="Times New Roman" w:hAnsi="Times New Roman"/>
          <w:b/>
          <w:i/>
          <w:sz w:val="20"/>
        </w:rPr>
        <w:t>Tabla 1: Configuraciones de descriptores evaluadas (E1–E5).</w:t>
      </w:r>
    </w:p>
    <w:tbl>
      <w:tblPr>
        <w:tblStyle w:val="LightGrid-Accent1"/>
        <w:tblW w:type="auto" w:w="0"/>
        <w:jc w:val="center"/>
        <w:tblLook w:firstColumn="1" w:firstRow="1" w:lastColumn="0" w:lastRow="0" w:noHBand="0" w:noVBand="1" w:val="04A0"/>
      </w:tblPr>
      <w:tblGrid>
        <w:gridCol w:w="3600"/>
        <w:gridCol w:w="3600"/>
        <w:gridCol w:w="3600"/>
      </w:tblGrid>
      <w:tr>
        <w:tc>
          <w:tcPr>
            <w:tcW w:type="dxa" w:w="3600"/>
          </w:tcPr>
          <w:p>
            <w:pPr>
              <w:jc w:val="center"/>
            </w:pPr>
            <w:r/>
            <w:r>
              <w:rPr>
                <w:rFonts w:ascii="Times New Roman" w:hAnsi="Times New Roman"/>
                <w:b/>
                <w:sz w:val="20"/>
              </w:rPr>
              <w:t>Experimento</w:t>
            </w:r>
          </w:p>
        </w:tc>
        <w:tc>
          <w:tcPr>
            <w:tcW w:type="dxa" w:w="3600"/>
          </w:tcPr>
          <w:p>
            <w:pPr>
              <w:jc w:val="center"/>
            </w:pPr>
            <w:r/>
            <w:r>
              <w:rPr>
                <w:rFonts w:ascii="Times New Roman" w:hAnsi="Times New Roman"/>
                <w:b/>
                <w:sz w:val="20"/>
              </w:rPr>
              <w:t>Descriptores</w:t>
            </w:r>
          </w:p>
        </w:tc>
        <w:tc>
          <w:tcPr>
            <w:tcW w:type="dxa" w:w="3600"/>
          </w:tcPr>
          <w:p>
            <w:pPr>
              <w:jc w:val="center"/>
            </w:pPr>
            <w:r/>
            <w:r>
              <w:rPr>
                <w:rFonts w:ascii="Times New Roman" w:hAnsi="Times New Roman"/>
                <w:b/>
                <w:sz w:val="20"/>
              </w:rPr>
              <w:t>Dimensiones</w:t>
            </w:r>
          </w:p>
        </w:tc>
      </w:tr>
      <w:tr>
        <w:tc>
          <w:tcPr>
            <w:tcW w:type="dxa" w:w="3600"/>
          </w:tcPr>
          <w:p>
            <w:pPr>
              <w:jc w:val="center"/>
            </w:pPr>
            <w:r/>
            <w:r>
              <w:rPr>
                <w:rFonts w:ascii="Times New Roman" w:hAnsi="Times New Roman"/>
                <w:sz w:val="20"/>
              </w:rPr>
              <w:t>E1</w:t>
            </w:r>
          </w:p>
        </w:tc>
        <w:tc>
          <w:tcPr>
            <w:tcW w:type="dxa" w:w="3600"/>
          </w:tcPr>
          <w:p>
            <w:pPr>
              <w:jc w:val="center"/>
            </w:pPr>
            <w:r/>
            <w:r>
              <w:rPr>
                <w:rFonts w:ascii="Times New Roman" w:hAnsi="Times New Roman"/>
                <w:sz w:val="20"/>
              </w:rPr>
              <w:t>HOG</w:t>
            </w:r>
          </w:p>
        </w:tc>
        <w:tc>
          <w:tcPr>
            <w:tcW w:type="dxa" w:w="3600"/>
          </w:tcPr>
          <w:p>
            <w:pPr>
              <w:jc w:val="center"/>
            </w:pPr>
            <w:r/>
            <w:r>
              <w:rPr>
                <w:rFonts w:ascii="Times New Roman" w:hAnsi="Times New Roman"/>
                <w:sz w:val="20"/>
              </w:rPr>
              <w:t>1764</w:t>
            </w:r>
          </w:p>
        </w:tc>
      </w:tr>
      <w:tr>
        <w:tc>
          <w:tcPr>
            <w:tcW w:type="dxa" w:w="3600"/>
          </w:tcPr>
          <w:p>
            <w:pPr>
              <w:jc w:val="center"/>
            </w:pPr>
            <w:r/>
            <w:r>
              <w:rPr>
                <w:rFonts w:ascii="Times New Roman" w:hAnsi="Times New Roman"/>
                <w:sz w:val="20"/>
              </w:rPr>
              <w:t>E2</w:t>
            </w:r>
          </w:p>
        </w:tc>
        <w:tc>
          <w:tcPr>
            <w:tcW w:type="dxa" w:w="3600"/>
          </w:tcPr>
          <w:p>
            <w:pPr>
              <w:jc w:val="center"/>
            </w:pPr>
            <w:r/>
            <w:r>
              <w:rPr>
                <w:rFonts w:ascii="Times New Roman" w:hAnsi="Times New Roman"/>
                <w:sz w:val="20"/>
              </w:rPr>
              <w:t>HOG + Color + Gabor + LBP + GLCM</w:t>
            </w:r>
          </w:p>
        </w:tc>
        <w:tc>
          <w:tcPr>
            <w:tcW w:type="dxa" w:w="3600"/>
          </w:tcPr>
          <w:p>
            <w:pPr>
              <w:jc w:val="center"/>
            </w:pPr>
            <w:r/>
            <w:r>
              <w:rPr>
                <w:rFonts w:ascii="Times New Roman" w:hAnsi="Times New Roman"/>
                <w:sz w:val="20"/>
              </w:rPr>
              <w:t>1828</w:t>
            </w:r>
          </w:p>
        </w:tc>
      </w:tr>
      <w:tr>
        <w:tc>
          <w:tcPr>
            <w:tcW w:type="dxa" w:w="3600"/>
          </w:tcPr>
          <w:p>
            <w:pPr>
              <w:jc w:val="center"/>
            </w:pPr>
            <w:r/>
            <w:r>
              <w:rPr>
                <w:rFonts w:ascii="Times New Roman" w:hAnsi="Times New Roman"/>
                <w:sz w:val="20"/>
              </w:rPr>
              <w:t>E2b</w:t>
            </w:r>
          </w:p>
        </w:tc>
        <w:tc>
          <w:tcPr>
            <w:tcW w:type="dxa" w:w="3600"/>
          </w:tcPr>
          <w:p>
            <w:pPr>
              <w:jc w:val="center"/>
            </w:pPr>
            <w:r/>
            <w:r>
              <w:rPr>
                <w:rFonts w:ascii="Times New Roman" w:hAnsi="Times New Roman"/>
                <w:sz w:val="20"/>
              </w:rPr>
              <w:t>E2 + Hu Moments</w:t>
            </w:r>
          </w:p>
        </w:tc>
        <w:tc>
          <w:tcPr>
            <w:tcW w:type="dxa" w:w="3600"/>
          </w:tcPr>
          <w:p>
            <w:pPr>
              <w:jc w:val="center"/>
            </w:pPr>
            <w:r/>
            <w:r>
              <w:rPr>
                <w:rFonts w:ascii="Times New Roman" w:hAnsi="Times New Roman"/>
                <w:sz w:val="20"/>
              </w:rPr>
              <w:t>1835</w:t>
            </w:r>
          </w:p>
        </w:tc>
      </w:tr>
      <w:tr>
        <w:tc>
          <w:tcPr>
            <w:tcW w:type="dxa" w:w="3600"/>
          </w:tcPr>
          <w:p>
            <w:pPr>
              <w:jc w:val="center"/>
            </w:pPr>
            <w:r/>
            <w:r>
              <w:rPr>
                <w:rFonts w:ascii="Times New Roman" w:hAnsi="Times New Roman"/>
                <w:sz w:val="20"/>
              </w:rPr>
              <w:t>E3</w:t>
            </w:r>
          </w:p>
        </w:tc>
        <w:tc>
          <w:tcPr>
            <w:tcW w:type="dxa" w:w="3600"/>
          </w:tcPr>
          <w:p>
            <w:pPr>
              <w:jc w:val="center"/>
            </w:pPr>
            <w:r/>
            <w:r>
              <w:rPr>
                <w:rFonts w:ascii="Times New Roman" w:hAnsi="Times New Roman"/>
                <w:sz w:val="20"/>
              </w:rPr>
              <w:t>Color + GLCM</w:t>
            </w:r>
          </w:p>
        </w:tc>
        <w:tc>
          <w:tcPr>
            <w:tcW w:type="dxa" w:w="3600"/>
          </w:tcPr>
          <w:p>
            <w:pPr>
              <w:jc w:val="center"/>
            </w:pPr>
            <w:r/>
            <w:r>
              <w:rPr>
                <w:rFonts w:ascii="Times New Roman" w:hAnsi="Times New Roman"/>
                <w:sz w:val="20"/>
              </w:rPr>
              <w:t>38</w:t>
            </w:r>
          </w:p>
        </w:tc>
      </w:tr>
      <w:tr>
        <w:tc>
          <w:tcPr>
            <w:tcW w:type="dxa" w:w="3600"/>
          </w:tcPr>
          <w:p>
            <w:pPr>
              <w:jc w:val="center"/>
            </w:pPr>
            <w:r/>
            <w:r>
              <w:rPr>
                <w:rFonts w:ascii="Times New Roman" w:hAnsi="Times New Roman"/>
                <w:sz w:val="20"/>
              </w:rPr>
              <w:t>E3b</w:t>
            </w:r>
          </w:p>
        </w:tc>
        <w:tc>
          <w:tcPr>
            <w:tcW w:type="dxa" w:w="3600"/>
          </w:tcPr>
          <w:p>
            <w:pPr>
              <w:jc w:val="center"/>
            </w:pPr>
            <w:r/>
            <w:r>
              <w:rPr>
                <w:rFonts w:ascii="Times New Roman" w:hAnsi="Times New Roman"/>
                <w:sz w:val="20"/>
              </w:rPr>
              <w:t>E3 + Hu</w:t>
            </w:r>
          </w:p>
        </w:tc>
        <w:tc>
          <w:tcPr>
            <w:tcW w:type="dxa" w:w="3600"/>
          </w:tcPr>
          <w:p>
            <w:pPr>
              <w:jc w:val="center"/>
            </w:pPr>
            <w:r/>
            <w:r>
              <w:rPr>
                <w:rFonts w:ascii="Times New Roman" w:hAnsi="Times New Roman"/>
                <w:sz w:val="20"/>
              </w:rPr>
              <w:t>45</w:t>
            </w:r>
          </w:p>
        </w:tc>
      </w:tr>
      <w:tr>
        <w:tc>
          <w:tcPr>
            <w:tcW w:type="dxa" w:w="3600"/>
          </w:tcPr>
          <w:p>
            <w:pPr>
              <w:jc w:val="center"/>
            </w:pPr>
            <w:r/>
            <w:r>
              <w:rPr>
                <w:rFonts w:ascii="Times New Roman" w:hAnsi="Times New Roman"/>
                <w:sz w:val="20"/>
              </w:rPr>
              <w:t>E5</w:t>
            </w:r>
          </w:p>
        </w:tc>
        <w:tc>
          <w:tcPr>
            <w:tcW w:type="dxa" w:w="3600"/>
          </w:tcPr>
          <w:p>
            <w:pPr>
              <w:jc w:val="center"/>
            </w:pPr>
            <w:r/>
            <w:r>
              <w:rPr>
                <w:rFonts w:ascii="Times New Roman" w:hAnsi="Times New Roman"/>
                <w:sz w:val="20"/>
              </w:rPr>
              <w:t>solo Hu</w:t>
            </w:r>
          </w:p>
        </w:tc>
        <w:tc>
          <w:tcPr>
            <w:tcW w:type="dxa" w:w="3600"/>
          </w:tcPr>
          <w:p>
            <w:pPr>
              <w:jc w:val="center"/>
            </w:pPr>
            <w:r/>
            <w:r>
              <w:rPr>
                <w:rFonts w:ascii="Times New Roman" w:hAnsi="Times New Roman"/>
                <w:sz w:val="20"/>
              </w:rPr>
              <w:t>7</w:t>
            </w:r>
          </w:p>
        </w:tc>
      </w:tr>
      <w:tr>
        <w:tc>
          <w:tcPr>
            <w:tcW w:type="dxa" w:w="3600"/>
          </w:tcPr>
          <w:p>
            <w:pPr>
              <w:jc w:val="center"/>
            </w:pPr>
            <w:r/>
            <w:r>
              <w:rPr>
                <w:rFonts w:ascii="Times New Roman" w:hAnsi="Times New Roman"/>
                <w:sz w:val="20"/>
              </w:rPr>
              <w:t>E4</w:t>
            </w:r>
          </w:p>
        </w:tc>
        <w:tc>
          <w:tcPr>
            <w:tcW w:type="dxa" w:w="3600"/>
          </w:tcPr>
          <w:p>
            <w:pPr>
              <w:jc w:val="center"/>
            </w:pPr>
            <w:r/>
            <w:r>
              <w:rPr>
                <w:rFonts w:ascii="Times New Roman" w:hAnsi="Times New Roman"/>
                <w:sz w:val="20"/>
              </w:rPr>
              <w:t>HOG + Gabor</w:t>
            </w:r>
          </w:p>
        </w:tc>
        <w:tc>
          <w:tcPr>
            <w:tcW w:type="dxa" w:w="3600"/>
          </w:tcPr>
          <w:p>
            <w:pPr>
              <w:jc w:val="center"/>
            </w:pPr>
            <w:r/>
            <w:r>
              <w:rPr>
                <w:rFonts w:ascii="Times New Roman" w:hAnsi="Times New Roman"/>
                <w:sz w:val="20"/>
              </w:rPr>
              <w:t>1780</w:t>
            </w:r>
          </w:p>
        </w:tc>
      </w:tr>
    </w:tbl>
    <w:p>
      <w:r>
        <w:rPr>
          <w:rFonts w:ascii="Times New Roman" w:hAnsi="Times New Roman"/>
          <w:b/>
          <w:i w:val="0"/>
          <w:sz w:val="26"/>
        </w:rPr>
        <w:t>4. Resultados</w:t>
      </w:r>
    </w:p>
    <w:p>
      <w:r>
        <w:rPr>
          <w:rFonts w:ascii="Times New Roman" w:hAnsi="Times New Roman"/>
          <w:b/>
          <w:i/>
          <w:sz w:val="24"/>
        </w:rPr>
        <w:t>4.1. Comparación de descriptores</w:t>
      </w:r>
    </w:p>
    <w:p>
      <w:pPr>
        <w:jc w:val="both"/>
      </w:pPr>
      <w:r>
        <w:rPr>
          <w:rFonts w:ascii="Times New Roman" w:hAnsi="Times New Roman"/>
          <w:b w:val="0"/>
          <w:i w:val="0"/>
          <w:sz w:val="24"/>
        </w:rPr>
        <w:t>El experimento E3 (Color + GLCM) supera consistentemente a las combinaciones más complejas con solo 38 dimensiones. Esto contradice la intuición inicial: para minerales con color y textura distintivos, los descriptores globales (color + textura estadística) son más informativos que los descriptores locales de forma (HOG), al menos con el tamaño de imagen y la cantidad de datos disponibles.</w:t>
      </w:r>
    </w:p>
    <w:p>
      <w:pPr>
        <w:jc w:val="center"/>
      </w:pPr>
      <w:r>
        <w:rPr>
          <w:rFonts w:ascii="Times New Roman" w:hAnsi="Times New Roman"/>
          <w:b/>
          <w:i/>
          <w:sz w:val="20"/>
        </w:rPr>
        <w:t>Tabla 2: Accuracy y F1 macro de cada experimento de descriptores (test set, Random Forest).</w:t>
      </w:r>
    </w:p>
    <w:tbl>
      <w:tblPr>
        <w:tblStyle w:val="LightGrid-Accent1"/>
        <w:tblW w:type="auto" w:w="0"/>
        <w:jc w:val="center"/>
        <w:tblLook w:firstColumn="1" w:firstRow="1" w:lastColumn="0" w:lastRow="0" w:noHBand="0" w:noVBand="1" w:val="04A0"/>
      </w:tblPr>
      <w:tblGrid>
        <w:gridCol w:w="2700"/>
        <w:gridCol w:w="2700"/>
        <w:gridCol w:w="2700"/>
        <w:gridCol w:w="2700"/>
      </w:tblGrid>
      <w:tr>
        <w:tc>
          <w:tcPr>
            <w:tcW w:type="dxa" w:w="2700"/>
          </w:tcPr>
          <w:p>
            <w:pPr>
              <w:jc w:val="center"/>
            </w:pPr>
            <w:r/>
            <w:r>
              <w:rPr>
                <w:rFonts w:ascii="Times New Roman" w:hAnsi="Times New Roman"/>
                <w:b/>
                <w:sz w:val="20"/>
              </w:rPr>
              <w:t>Experimento</w:t>
            </w:r>
          </w:p>
        </w:tc>
        <w:tc>
          <w:tcPr>
            <w:tcW w:type="dxa" w:w="2700"/>
          </w:tcPr>
          <w:p>
            <w:pPr>
              <w:jc w:val="center"/>
            </w:pPr>
            <w:r/>
            <w:r>
              <w:rPr>
                <w:rFonts w:ascii="Times New Roman" w:hAnsi="Times New Roman"/>
                <w:b/>
                <w:sz w:val="20"/>
              </w:rPr>
              <w:t>Dims</w:t>
            </w:r>
          </w:p>
        </w:tc>
        <w:tc>
          <w:tcPr>
            <w:tcW w:type="dxa" w:w="2700"/>
          </w:tcPr>
          <w:p>
            <w:pPr>
              <w:jc w:val="center"/>
            </w:pPr>
            <w:r/>
            <w:r>
              <w:rPr>
                <w:rFonts w:ascii="Times New Roman" w:hAnsi="Times New Roman"/>
                <w:b/>
                <w:sz w:val="20"/>
              </w:rPr>
              <w:t>Accuracy</w:t>
            </w:r>
          </w:p>
        </w:tc>
        <w:tc>
          <w:tcPr>
            <w:tcW w:type="dxa" w:w="2700"/>
          </w:tcPr>
          <w:p>
            <w:pPr>
              <w:jc w:val="center"/>
            </w:pPr>
            <w:r/>
            <w:r>
              <w:rPr>
                <w:rFonts w:ascii="Times New Roman" w:hAnsi="Times New Roman"/>
                <w:b/>
                <w:sz w:val="20"/>
              </w:rPr>
              <w:t>F1 macro</w:t>
            </w:r>
          </w:p>
        </w:tc>
      </w:tr>
      <w:tr>
        <w:tc>
          <w:tcPr>
            <w:tcW w:type="dxa" w:w="2700"/>
          </w:tcPr>
          <w:p>
            <w:pPr>
              <w:jc w:val="center"/>
            </w:pPr>
            <w:r/>
            <w:r>
              <w:rPr>
                <w:rFonts w:ascii="Times New Roman" w:hAnsi="Times New Roman"/>
                <w:sz w:val="20"/>
              </w:rPr>
              <w:t>E1: HOG</w:t>
            </w:r>
          </w:p>
        </w:tc>
        <w:tc>
          <w:tcPr>
            <w:tcW w:type="dxa" w:w="2700"/>
          </w:tcPr>
          <w:p>
            <w:pPr>
              <w:jc w:val="center"/>
            </w:pPr>
            <w:r/>
            <w:r>
              <w:rPr>
                <w:rFonts w:ascii="Times New Roman" w:hAnsi="Times New Roman"/>
                <w:sz w:val="20"/>
              </w:rPr>
              <w:t>1764</w:t>
            </w:r>
          </w:p>
        </w:tc>
        <w:tc>
          <w:tcPr>
            <w:tcW w:type="dxa" w:w="2700"/>
          </w:tcPr>
          <w:p>
            <w:pPr>
              <w:jc w:val="center"/>
            </w:pPr>
            <w:r/>
            <w:r>
              <w:rPr>
                <w:rFonts w:ascii="Times New Roman" w:hAnsi="Times New Roman"/>
                <w:sz w:val="20"/>
              </w:rPr>
              <w:t>0.583</w:t>
            </w:r>
          </w:p>
        </w:tc>
        <w:tc>
          <w:tcPr>
            <w:tcW w:type="dxa" w:w="2700"/>
          </w:tcPr>
          <w:p>
            <w:pPr>
              <w:jc w:val="center"/>
            </w:pPr>
            <w:r/>
            <w:r>
              <w:rPr>
                <w:rFonts w:ascii="Times New Roman" w:hAnsi="Times New Roman"/>
                <w:sz w:val="20"/>
              </w:rPr>
              <w:t>0.579</w:t>
            </w:r>
          </w:p>
        </w:tc>
      </w:tr>
      <w:tr>
        <w:tc>
          <w:tcPr>
            <w:tcW w:type="dxa" w:w="2700"/>
          </w:tcPr>
          <w:p>
            <w:pPr>
              <w:jc w:val="center"/>
            </w:pPr>
            <w:r/>
            <w:r>
              <w:rPr>
                <w:rFonts w:ascii="Times New Roman" w:hAnsi="Times New Roman"/>
                <w:sz w:val="20"/>
              </w:rPr>
              <w:t>E2: HOG+Color+Gabor+LBP+GLCM</w:t>
            </w:r>
          </w:p>
        </w:tc>
        <w:tc>
          <w:tcPr>
            <w:tcW w:type="dxa" w:w="2700"/>
          </w:tcPr>
          <w:p>
            <w:pPr>
              <w:jc w:val="center"/>
            </w:pPr>
            <w:r/>
            <w:r>
              <w:rPr>
                <w:rFonts w:ascii="Times New Roman" w:hAnsi="Times New Roman"/>
                <w:sz w:val="20"/>
              </w:rPr>
              <w:t>1828</w:t>
            </w:r>
          </w:p>
        </w:tc>
        <w:tc>
          <w:tcPr>
            <w:tcW w:type="dxa" w:w="2700"/>
          </w:tcPr>
          <w:p>
            <w:pPr>
              <w:jc w:val="center"/>
            </w:pPr>
            <w:r/>
            <w:r>
              <w:rPr>
                <w:rFonts w:ascii="Times New Roman" w:hAnsi="Times New Roman"/>
                <w:sz w:val="20"/>
              </w:rPr>
              <w:t>0.750</w:t>
            </w:r>
          </w:p>
        </w:tc>
        <w:tc>
          <w:tcPr>
            <w:tcW w:type="dxa" w:w="2700"/>
          </w:tcPr>
          <w:p>
            <w:pPr>
              <w:jc w:val="center"/>
            </w:pPr>
            <w:r/>
            <w:r>
              <w:rPr>
                <w:rFonts w:ascii="Times New Roman" w:hAnsi="Times New Roman"/>
                <w:sz w:val="20"/>
              </w:rPr>
              <w:t>0.750</w:t>
            </w:r>
          </w:p>
        </w:tc>
      </w:tr>
      <w:tr>
        <w:tc>
          <w:tcPr>
            <w:tcW w:type="dxa" w:w="2700"/>
          </w:tcPr>
          <w:p>
            <w:pPr>
              <w:jc w:val="center"/>
            </w:pPr>
            <w:r/>
            <w:r>
              <w:rPr>
                <w:rFonts w:ascii="Times New Roman" w:hAnsi="Times New Roman"/>
                <w:sz w:val="20"/>
              </w:rPr>
              <w:t>E2b: E2 + Hu</w:t>
            </w:r>
          </w:p>
        </w:tc>
        <w:tc>
          <w:tcPr>
            <w:tcW w:type="dxa" w:w="2700"/>
          </w:tcPr>
          <w:p>
            <w:pPr>
              <w:jc w:val="center"/>
            </w:pPr>
            <w:r/>
            <w:r>
              <w:rPr>
                <w:rFonts w:ascii="Times New Roman" w:hAnsi="Times New Roman"/>
                <w:sz w:val="20"/>
              </w:rPr>
              <w:t>1835</w:t>
            </w:r>
          </w:p>
        </w:tc>
        <w:tc>
          <w:tcPr>
            <w:tcW w:type="dxa" w:w="2700"/>
          </w:tcPr>
          <w:p>
            <w:pPr>
              <w:jc w:val="center"/>
            </w:pPr>
            <w:r/>
            <w:r>
              <w:rPr>
                <w:rFonts w:ascii="Times New Roman" w:hAnsi="Times New Roman"/>
                <w:sz w:val="20"/>
              </w:rPr>
              <w:t>0.750</w:t>
            </w:r>
          </w:p>
        </w:tc>
        <w:tc>
          <w:tcPr>
            <w:tcW w:type="dxa" w:w="2700"/>
          </w:tcPr>
          <w:p>
            <w:pPr>
              <w:jc w:val="center"/>
            </w:pPr>
            <w:r/>
            <w:r>
              <w:rPr>
                <w:rFonts w:ascii="Times New Roman" w:hAnsi="Times New Roman"/>
                <w:sz w:val="20"/>
              </w:rPr>
              <w:t>0.737</w:t>
            </w:r>
          </w:p>
        </w:tc>
      </w:tr>
      <w:tr>
        <w:tc>
          <w:tcPr>
            <w:tcW w:type="dxa" w:w="2700"/>
          </w:tcPr>
          <w:p>
            <w:pPr>
              <w:jc w:val="center"/>
            </w:pPr>
            <w:r/>
            <w:r>
              <w:rPr>
                <w:rFonts w:ascii="Times New Roman" w:hAnsi="Times New Roman"/>
                <w:sz w:val="20"/>
              </w:rPr>
              <w:t>E3: Color+GLCM</w:t>
            </w:r>
          </w:p>
        </w:tc>
        <w:tc>
          <w:tcPr>
            <w:tcW w:type="dxa" w:w="2700"/>
          </w:tcPr>
          <w:p>
            <w:pPr>
              <w:jc w:val="center"/>
            </w:pPr>
            <w:r/>
            <w:r>
              <w:rPr>
                <w:rFonts w:ascii="Times New Roman" w:hAnsi="Times New Roman"/>
                <w:sz w:val="20"/>
              </w:rPr>
              <w:t>38</w:t>
            </w:r>
          </w:p>
        </w:tc>
        <w:tc>
          <w:tcPr>
            <w:tcW w:type="dxa" w:w="2700"/>
          </w:tcPr>
          <w:p>
            <w:pPr>
              <w:jc w:val="center"/>
            </w:pPr>
            <w:r/>
            <w:r>
              <w:rPr>
                <w:rFonts w:ascii="Times New Roman" w:hAnsi="Times New Roman"/>
                <w:sz w:val="20"/>
              </w:rPr>
              <w:t>0.806</w:t>
            </w:r>
          </w:p>
        </w:tc>
        <w:tc>
          <w:tcPr>
            <w:tcW w:type="dxa" w:w="2700"/>
          </w:tcPr>
          <w:p>
            <w:pPr>
              <w:jc w:val="center"/>
            </w:pPr>
            <w:r/>
            <w:r>
              <w:rPr>
                <w:rFonts w:ascii="Times New Roman" w:hAnsi="Times New Roman"/>
                <w:sz w:val="20"/>
              </w:rPr>
              <w:t>0.807</w:t>
            </w:r>
          </w:p>
        </w:tc>
      </w:tr>
      <w:tr>
        <w:tc>
          <w:tcPr>
            <w:tcW w:type="dxa" w:w="2700"/>
          </w:tcPr>
          <w:p>
            <w:pPr>
              <w:jc w:val="center"/>
            </w:pPr>
            <w:r/>
            <w:r>
              <w:rPr>
                <w:rFonts w:ascii="Times New Roman" w:hAnsi="Times New Roman"/>
                <w:sz w:val="20"/>
              </w:rPr>
              <w:t>E3b: E3 + Hu</w:t>
            </w:r>
          </w:p>
        </w:tc>
        <w:tc>
          <w:tcPr>
            <w:tcW w:type="dxa" w:w="2700"/>
          </w:tcPr>
          <w:p>
            <w:pPr>
              <w:jc w:val="center"/>
            </w:pPr>
            <w:r/>
            <w:r>
              <w:rPr>
                <w:rFonts w:ascii="Times New Roman" w:hAnsi="Times New Roman"/>
                <w:sz w:val="20"/>
              </w:rPr>
              <w:t>45</w:t>
            </w:r>
          </w:p>
        </w:tc>
        <w:tc>
          <w:tcPr>
            <w:tcW w:type="dxa" w:w="2700"/>
          </w:tcPr>
          <w:p>
            <w:pPr>
              <w:jc w:val="center"/>
            </w:pPr>
            <w:r/>
            <w:r>
              <w:rPr>
                <w:rFonts w:ascii="Times New Roman" w:hAnsi="Times New Roman"/>
                <w:sz w:val="20"/>
              </w:rPr>
              <w:t>0.778</w:t>
            </w:r>
          </w:p>
        </w:tc>
        <w:tc>
          <w:tcPr>
            <w:tcW w:type="dxa" w:w="2700"/>
          </w:tcPr>
          <w:p>
            <w:pPr>
              <w:jc w:val="center"/>
            </w:pPr>
            <w:r/>
            <w:r>
              <w:rPr>
                <w:rFonts w:ascii="Times New Roman" w:hAnsi="Times New Roman"/>
                <w:sz w:val="20"/>
              </w:rPr>
              <w:t>0.779</w:t>
            </w:r>
          </w:p>
        </w:tc>
      </w:tr>
      <w:tr>
        <w:tc>
          <w:tcPr>
            <w:tcW w:type="dxa" w:w="2700"/>
          </w:tcPr>
          <w:p>
            <w:pPr>
              <w:jc w:val="center"/>
            </w:pPr>
            <w:r/>
            <w:r>
              <w:rPr>
                <w:rFonts w:ascii="Times New Roman" w:hAnsi="Times New Roman"/>
                <w:sz w:val="20"/>
              </w:rPr>
              <w:t>E5: solo Hu</w:t>
            </w:r>
          </w:p>
        </w:tc>
        <w:tc>
          <w:tcPr>
            <w:tcW w:type="dxa" w:w="2700"/>
          </w:tcPr>
          <w:p>
            <w:pPr>
              <w:jc w:val="center"/>
            </w:pPr>
            <w:r/>
            <w:r>
              <w:rPr>
                <w:rFonts w:ascii="Times New Roman" w:hAnsi="Times New Roman"/>
                <w:sz w:val="20"/>
              </w:rPr>
              <w:t>7</w:t>
            </w:r>
          </w:p>
        </w:tc>
        <w:tc>
          <w:tcPr>
            <w:tcW w:type="dxa" w:w="2700"/>
          </w:tcPr>
          <w:p>
            <w:pPr>
              <w:jc w:val="center"/>
            </w:pPr>
            <w:r/>
            <w:r>
              <w:rPr>
                <w:rFonts w:ascii="Times New Roman" w:hAnsi="Times New Roman"/>
                <w:sz w:val="20"/>
              </w:rPr>
              <w:t>0.333</w:t>
            </w:r>
          </w:p>
        </w:tc>
        <w:tc>
          <w:tcPr>
            <w:tcW w:type="dxa" w:w="2700"/>
          </w:tcPr>
          <w:p>
            <w:pPr>
              <w:jc w:val="center"/>
            </w:pPr>
            <w:r/>
            <w:r>
              <w:rPr>
                <w:rFonts w:ascii="Times New Roman" w:hAnsi="Times New Roman"/>
                <w:sz w:val="20"/>
              </w:rPr>
              <w:t>0.235</w:t>
            </w:r>
          </w:p>
        </w:tc>
      </w:tr>
      <w:tr>
        <w:tc>
          <w:tcPr>
            <w:tcW w:type="dxa" w:w="2700"/>
          </w:tcPr>
          <w:p>
            <w:pPr>
              <w:jc w:val="center"/>
            </w:pPr>
            <w:r/>
            <w:r>
              <w:rPr>
                <w:rFonts w:ascii="Times New Roman" w:hAnsi="Times New Roman"/>
                <w:sz w:val="20"/>
              </w:rPr>
              <w:t>E4: HOG+Gabor</w:t>
            </w:r>
          </w:p>
        </w:tc>
        <w:tc>
          <w:tcPr>
            <w:tcW w:type="dxa" w:w="2700"/>
          </w:tcPr>
          <w:p>
            <w:pPr>
              <w:jc w:val="center"/>
            </w:pPr>
            <w:r/>
            <w:r>
              <w:rPr>
                <w:rFonts w:ascii="Times New Roman" w:hAnsi="Times New Roman"/>
                <w:sz w:val="20"/>
              </w:rPr>
              <w:t>1780</w:t>
            </w:r>
          </w:p>
        </w:tc>
        <w:tc>
          <w:tcPr>
            <w:tcW w:type="dxa" w:w="2700"/>
          </w:tcPr>
          <w:p>
            <w:pPr>
              <w:jc w:val="center"/>
            </w:pPr>
            <w:r/>
            <w:r>
              <w:rPr>
                <w:rFonts w:ascii="Times New Roman" w:hAnsi="Times New Roman"/>
                <w:sz w:val="20"/>
              </w:rPr>
              <w:t>0.722</w:t>
            </w:r>
          </w:p>
        </w:tc>
        <w:tc>
          <w:tcPr>
            <w:tcW w:type="dxa" w:w="2700"/>
          </w:tcPr>
          <w:p>
            <w:pPr>
              <w:jc w:val="center"/>
            </w:pPr>
            <w:r/>
            <w:r>
              <w:rPr>
                <w:rFonts w:ascii="Times New Roman" w:hAnsi="Times New Roman"/>
                <w:sz w:val="20"/>
              </w:rPr>
              <w:t>0.723</w:t>
            </w:r>
          </w:p>
        </w:tc>
      </w:tr>
    </w:tbl>
    <w:p>
      <w:r>
        <w:rPr>
          <w:rFonts w:ascii="Times New Roman" w:hAnsi="Times New Roman"/>
          <w:b/>
          <w:i/>
          <w:sz w:val="24"/>
        </w:rPr>
        <w:t>4.2. Validación cruzada 5-fold</w:t>
      </w:r>
    </w:p>
    <w:p>
      <w:pPr>
        <w:jc w:val="both"/>
      </w:pPr>
      <w:r>
        <w:rPr>
          <w:rFonts w:ascii="Times New Roman" w:hAnsi="Times New Roman"/>
          <w:b w:val="0"/>
          <w:i w:val="0"/>
          <w:sz w:val="24"/>
        </w:rPr>
        <w:t>El MLP con tres capas ocultas (mejor configuración de GridSearchCV) supera a los demás modelos en validación cruzada. SVM es el segundo con 87.5%.</w:t>
      </w:r>
    </w:p>
    <w:p>
      <w:pPr>
        <w:jc w:val="center"/>
      </w:pPr>
      <w:r>
        <w:rPr>
          <w:rFonts w:ascii="Times New Roman" w:hAnsi="Times New Roman"/>
          <w:b/>
          <w:i/>
          <w:sz w:val="20"/>
        </w:rPr>
        <w:t>Tabla 3: Validación cruzada 5-fold sobre train (E3, 360 muestras, 4 clases).</w:t>
      </w:r>
    </w:p>
    <w:tbl>
      <w:tblPr>
        <w:tblStyle w:val="LightGrid-Accent1"/>
        <w:tblW w:type="auto" w:w="0"/>
        <w:jc w:val="center"/>
        <w:tblLook w:firstColumn="1" w:firstRow="1" w:lastColumn="0" w:lastRow="0" w:noHBand="0" w:noVBand="1" w:val="04A0"/>
      </w:tblPr>
      <w:tblGrid>
        <w:gridCol w:w="3600"/>
        <w:gridCol w:w="3600"/>
        <w:gridCol w:w="3600"/>
      </w:tblGrid>
      <w:tr>
        <w:tc>
          <w:tcPr>
            <w:tcW w:type="dxa" w:w="3600"/>
          </w:tcPr>
          <w:p>
            <w:pPr>
              <w:jc w:val="center"/>
            </w:pPr>
            <w:r/>
            <w:r>
              <w:rPr>
                <w:rFonts w:ascii="Times New Roman" w:hAnsi="Times New Roman"/>
                <w:b/>
                <w:sz w:val="20"/>
              </w:rPr>
              <w:t>Modelo</w:t>
            </w:r>
          </w:p>
        </w:tc>
        <w:tc>
          <w:tcPr>
            <w:tcW w:type="dxa" w:w="3600"/>
          </w:tcPr>
          <w:p>
            <w:pPr>
              <w:jc w:val="center"/>
            </w:pPr>
            <w:r/>
            <w:r>
              <w:rPr>
                <w:rFonts w:ascii="Times New Roman" w:hAnsi="Times New Roman"/>
                <w:b/>
                <w:sz w:val="20"/>
              </w:rPr>
              <w:t>Accuracy μ ± σ</w:t>
            </w:r>
          </w:p>
        </w:tc>
        <w:tc>
          <w:tcPr>
            <w:tcW w:type="dxa" w:w="3600"/>
          </w:tcPr>
          <w:p>
            <w:pPr>
              <w:jc w:val="center"/>
            </w:pPr>
            <w:r/>
            <w:r>
              <w:rPr>
                <w:rFonts w:ascii="Times New Roman" w:hAnsi="Times New Roman"/>
                <w:b/>
                <w:sz w:val="20"/>
              </w:rPr>
              <w:t>F1 macro μ ± σ</w:t>
            </w:r>
          </w:p>
        </w:tc>
      </w:tr>
      <w:tr>
        <w:tc>
          <w:tcPr>
            <w:tcW w:type="dxa" w:w="3600"/>
          </w:tcPr>
          <w:p>
            <w:pPr>
              <w:jc w:val="center"/>
            </w:pPr>
            <w:r/>
            <w:r>
              <w:rPr>
                <w:rFonts w:ascii="Times New Roman" w:hAnsi="Times New Roman"/>
                <w:sz w:val="20"/>
              </w:rPr>
              <w:t>SVM (RBF)</w:t>
            </w:r>
          </w:p>
        </w:tc>
        <w:tc>
          <w:tcPr>
            <w:tcW w:type="dxa" w:w="3600"/>
          </w:tcPr>
          <w:p>
            <w:pPr>
              <w:jc w:val="center"/>
            </w:pPr>
            <w:r/>
            <w:r>
              <w:rPr>
                <w:rFonts w:ascii="Times New Roman" w:hAnsi="Times New Roman"/>
                <w:sz w:val="20"/>
              </w:rPr>
              <w:t>0.875 ± 0.029</w:t>
            </w:r>
          </w:p>
        </w:tc>
        <w:tc>
          <w:tcPr>
            <w:tcW w:type="dxa" w:w="3600"/>
          </w:tcPr>
          <w:p>
            <w:pPr>
              <w:jc w:val="center"/>
            </w:pPr>
            <w:r/>
            <w:r>
              <w:rPr>
                <w:rFonts w:ascii="Times New Roman" w:hAnsi="Times New Roman"/>
                <w:sz w:val="20"/>
              </w:rPr>
              <w:t>0.875 ± 0.029</w:t>
            </w:r>
          </w:p>
        </w:tc>
      </w:tr>
      <w:tr>
        <w:tc>
          <w:tcPr>
            <w:tcW w:type="dxa" w:w="3600"/>
          </w:tcPr>
          <w:p>
            <w:pPr>
              <w:jc w:val="center"/>
            </w:pPr>
            <w:r/>
            <w:r>
              <w:rPr>
                <w:rFonts w:ascii="Times New Roman" w:hAnsi="Times New Roman"/>
                <w:sz w:val="20"/>
              </w:rPr>
              <w:t>k-NN (k=5)</w:t>
            </w:r>
          </w:p>
        </w:tc>
        <w:tc>
          <w:tcPr>
            <w:tcW w:type="dxa" w:w="3600"/>
          </w:tcPr>
          <w:p>
            <w:pPr>
              <w:jc w:val="center"/>
            </w:pPr>
            <w:r/>
            <w:r>
              <w:rPr>
                <w:rFonts w:ascii="Times New Roman" w:hAnsi="Times New Roman"/>
                <w:sz w:val="20"/>
              </w:rPr>
              <w:t>0.739 ± 0.028</w:t>
            </w:r>
          </w:p>
        </w:tc>
        <w:tc>
          <w:tcPr>
            <w:tcW w:type="dxa" w:w="3600"/>
          </w:tcPr>
          <w:p>
            <w:pPr>
              <w:jc w:val="center"/>
            </w:pPr>
            <w:r/>
            <w:r>
              <w:rPr>
                <w:rFonts w:ascii="Times New Roman" w:hAnsi="Times New Roman"/>
                <w:sz w:val="20"/>
              </w:rPr>
              <w:t>0.738 ± 0.028</w:t>
            </w:r>
          </w:p>
        </w:tc>
      </w:tr>
      <w:tr>
        <w:tc>
          <w:tcPr>
            <w:tcW w:type="dxa" w:w="3600"/>
          </w:tcPr>
          <w:p>
            <w:pPr>
              <w:jc w:val="center"/>
            </w:pPr>
            <w:r/>
            <w:r>
              <w:rPr>
                <w:rFonts w:ascii="Times New Roman" w:hAnsi="Times New Roman"/>
                <w:sz w:val="20"/>
              </w:rPr>
              <w:t>Random Forest</w:t>
            </w:r>
          </w:p>
        </w:tc>
        <w:tc>
          <w:tcPr>
            <w:tcW w:type="dxa" w:w="3600"/>
          </w:tcPr>
          <w:p>
            <w:pPr>
              <w:jc w:val="center"/>
            </w:pPr>
            <w:r/>
            <w:r>
              <w:rPr>
                <w:rFonts w:ascii="Times New Roman" w:hAnsi="Times New Roman"/>
                <w:sz w:val="20"/>
              </w:rPr>
              <w:t>0.858 ± 0.042</w:t>
            </w:r>
          </w:p>
        </w:tc>
        <w:tc>
          <w:tcPr>
            <w:tcW w:type="dxa" w:w="3600"/>
          </w:tcPr>
          <w:p>
            <w:pPr>
              <w:jc w:val="center"/>
            </w:pPr>
            <w:r/>
            <w:r>
              <w:rPr>
                <w:rFonts w:ascii="Times New Roman" w:hAnsi="Times New Roman"/>
                <w:sz w:val="20"/>
              </w:rPr>
              <w:t>0.858 ± 0.042</w:t>
            </w:r>
          </w:p>
        </w:tc>
      </w:tr>
      <w:tr>
        <w:tc>
          <w:tcPr>
            <w:tcW w:type="dxa" w:w="3600"/>
          </w:tcPr>
          <w:p>
            <w:pPr>
              <w:jc w:val="center"/>
            </w:pPr>
            <w:r/>
            <w:r>
              <w:rPr>
                <w:rFonts w:ascii="Times New Roman" w:hAnsi="Times New Roman"/>
                <w:sz w:val="20"/>
              </w:rPr>
              <w:t>MLP (128, 64, 32)</w:t>
            </w:r>
          </w:p>
        </w:tc>
        <w:tc>
          <w:tcPr>
            <w:tcW w:type="dxa" w:w="3600"/>
          </w:tcPr>
          <w:p>
            <w:pPr>
              <w:jc w:val="center"/>
            </w:pPr>
            <w:r/>
            <w:r>
              <w:rPr>
                <w:rFonts w:ascii="Times New Roman" w:hAnsi="Times New Roman"/>
                <w:sz w:val="20"/>
              </w:rPr>
              <w:t>0.892 ± 0.032</w:t>
            </w:r>
          </w:p>
        </w:tc>
        <w:tc>
          <w:tcPr>
            <w:tcW w:type="dxa" w:w="3600"/>
          </w:tcPr>
          <w:p>
            <w:pPr>
              <w:jc w:val="center"/>
            </w:pPr>
            <w:r/>
            <w:r>
              <w:rPr>
                <w:rFonts w:ascii="Times New Roman" w:hAnsi="Times New Roman"/>
                <w:sz w:val="20"/>
              </w:rPr>
              <w:t>0.892 ± 0.032</w:t>
            </w:r>
          </w:p>
        </w:tc>
      </w:tr>
    </w:tbl>
    <w:p>
      <w:r>
        <w:rPr>
          <w:rFonts w:ascii="Times New Roman" w:hAnsi="Times New Roman"/>
          <w:b/>
          <w:i/>
          <w:sz w:val="24"/>
        </w:rPr>
        <w:t>4.3. Voting ensemble</w:t>
      </w:r>
    </w:p>
    <w:p>
      <w:pPr>
        <w:jc w:val="both"/>
      </w:pPr>
      <w:r>
        <w:rPr>
          <w:rFonts w:ascii="Times New Roman" w:hAnsi="Times New Roman"/>
          <w:b w:val="0"/>
          <w:i w:val="0"/>
          <w:sz w:val="24"/>
        </w:rPr>
        <w:t>Aplicamos soft voting con las probabilidades promedio de RF + MLP + SVM, entrenado sobre el slice E3 (Color+GLCM). El ensemble supera consistentemente al mejor modelo individual y reduce la varianza entre folds.</w:t>
      </w:r>
    </w:p>
    <w:p>
      <w:pPr>
        <w:jc w:val="center"/>
      </w:pPr>
      <w:r>
        <w:rPr>
          <w:rFonts w:ascii="Times New Roman" w:hAnsi="Times New Roman"/>
          <w:b/>
          <w:i/>
          <w:sz w:val="20"/>
        </w:rPr>
        <w:t>Tabla 4: Comparación de modelos individuales vs voting ensemble (E3, CV 5-fold).</w:t>
      </w:r>
    </w:p>
    <w:tbl>
      <w:tblPr>
        <w:tblStyle w:val="LightGrid-Accent1"/>
        <w:tblW w:type="auto" w:w="0"/>
        <w:jc w:val="center"/>
        <w:tblLook w:firstColumn="1" w:firstRow="1" w:lastColumn="0" w:lastRow="0" w:noHBand="0" w:noVBand="1" w:val="04A0"/>
      </w:tblPr>
      <w:tblGrid>
        <w:gridCol w:w="2160"/>
        <w:gridCol w:w="2160"/>
        <w:gridCol w:w="2160"/>
        <w:gridCol w:w="2160"/>
        <w:gridCol w:w="2160"/>
      </w:tblGrid>
      <w:tr>
        <w:tc>
          <w:tcPr>
            <w:tcW w:type="dxa" w:w="2160"/>
          </w:tcPr>
          <w:p>
            <w:pPr>
              <w:jc w:val="center"/>
            </w:pPr>
            <w:r/>
            <w:r>
              <w:rPr>
                <w:rFonts w:ascii="Times New Roman" w:hAnsi="Times New Roman"/>
                <w:b/>
                <w:sz w:val="20"/>
              </w:rPr>
              <w:t>Modelo</w:t>
            </w:r>
          </w:p>
        </w:tc>
        <w:tc>
          <w:tcPr>
            <w:tcW w:type="dxa" w:w="2160"/>
          </w:tcPr>
          <w:p>
            <w:pPr>
              <w:jc w:val="center"/>
            </w:pPr>
            <w:r/>
            <w:r>
              <w:rPr>
                <w:rFonts w:ascii="Times New Roman" w:hAnsi="Times New Roman"/>
                <w:b/>
                <w:sz w:val="20"/>
              </w:rPr>
              <w:t>CV Acc μ±σ</w:t>
            </w:r>
          </w:p>
        </w:tc>
        <w:tc>
          <w:tcPr>
            <w:tcW w:type="dxa" w:w="2160"/>
          </w:tcPr>
          <w:p>
            <w:pPr>
              <w:jc w:val="center"/>
            </w:pPr>
            <w:r/>
            <w:r>
              <w:rPr>
                <w:rFonts w:ascii="Times New Roman" w:hAnsi="Times New Roman"/>
                <w:b/>
                <w:sz w:val="20"/>
              </w:rPr>
              <w:t>CV F1 μ±σ</w:t>
            </w:r>
          </w:p>
        </w:tc>
        <w:tc>
          <w:tcPr>
            <w:tcW w:type="dxa" w:w="2160"/>
          </w:tcPr>
          <w:p>
            <w:pPr>
              <w:jc w:val="center"/>
            </w:pPr>
            <w:r/>
            <w:r>
              <w:rPr>
                <w:rFonts w:ascii="Times New Roman" w:hAnsi="Times New Roman"/>
                <w:b/>
                <w:sz w:val="20"/>
              </w:rPr>
              <w:t>Test Acc</w:t>
            </w:r>
          </w:p>
        </w:tc>
        <w:tc>
          <w:tcPr>
            <w:tcW w:type="dxa" w:w="2160"/>
          </w:tcPr>
          <w:p>
            <w:pPr>
              <w:jc w:val="center"/>
            </w:pPr>
            <w:r/>
            <w:r>
              <w:rPr>
                <w:rFonts w:ascii="Times New Roman" w:hAnsi="Times New Roman"/>
                <w:b/>
                <w:sz w:val="20"/>
              </w:rPr>
              <w:t>Test F1</w:t>
            </w:r>
          </w:p>
        </w:tc>
      </w:tr>
      <w:tr>
        <w:tc>
          <w:tcPr>
            <w:tcW w:type="dxa" w:w="2160"/>
          </w:tcPr>
          <w:p>
            <w:pPr>
              <w:jc w:val="center"/>
            </w:pPr>
            <w:r/>
            <w:r>
              <w:rPr>
                <w:rFonts w:ascii="Times New Roman" w:hAnsi="Times New Roman"/>
                <w:sz w:val="20"/>
              </w:rPr>
              <w:t>Random Forest (grid)</w:t>
            </w:r>
          </w:p>
        </w:tc>
        <w:tc>
          <w:tcPr>
            <w:tcW w:type="dxa" w:w="2160"/>
          </w:tcPr>
          <w:p>
            <w:pPr>
              <w:jc w:val="center"/>
            </w:pPr>
            <w:r/>
            <w:r>
              <w:rPr>
                <w:rFonts w:ascii="Times New Roman" w:hAnsi="Times New Roman"/>
                <w:sz w:val="20"/>
              </w:rPr>
              <w:t>0.928 ± 0.024</w:t>
            </w:r>
          </w:p>
        </w:tc>
        <w:tc>
          <w:tcPr>
            <w:tcW w:type="dxa" w:w="2160"/>
          </w:tcPr>
          <w:p>
            <w:pPr>
              <w:jc w:val="center"/>
            </w:pPr>
            <w:r/>
            <w:r>
              <w:rPr>
                <w:rFonts w:ascii="Times New Roman" w:hAnsi="Times New Roman"/>
                <w:sz w:val="20"/>
              </w:rPr>
              <w:t>0.928 ± 0.025</w:t>
            </w:r>
          </w:p>
        </w:tc>
        <w:tc>
          <w:tcPr>
            <w:tcW w:type="dxa" w:w="2160"/>
          </w:tcPr>
          <w:p>
            <w:pPr>
              <w:jc w:val="center"/>
            </w:pPr>
            <w:r/>
            <w:r>
              <w:rPr>
                <w:rFonts w:ascii="Times New Roman" w:hAnsi="Times New Roman"/>
                <w:sz w:val="20"/>
              </w:rPr>
              <w:t>0.778</w:t>
            </w:r>
          </w:p>
        </w:tc>
        <w:tc>
          <w:tcPr>
            <w:tcW w:type="dxa" w:w="2160"/>
          </w:tcPr>
          <w:p>
            <w:pPr>
              <w:jc w:val="center"/>
            </w:pPr>
            <w:r/>
            <w:r>
              <w:rPr>
                <w:rFonts w:ascii="Times New Roman" w:hAnsi="Times New Roman"/>
                <w:sz w:val="20"/>
              </w:rPr>
              <w:t>0.781</w:t>
            </w:r>
          </w:p>
        </w:tc>
      </w:tr>
      <w:tr>
        <w:tc>
          <w:tcPr>
            <w:tcW w:type="dxa" w:w="2160"/>
          </w:tcPr>
          <w:p>
            <w:pPr>
              <w:jc w:val="center"/>
            </w:pPr>
            <w:r/>
            <w:r>
              <w:rPr>
                <w:rFonts w:ascii="Times New Roman" w:hAnsi="Times New Roman"/>
                <w:sz w:val="20"/>
              </w:rPr>
              <w:t>MLP (grid)</w:t>
            </w:r>
          </w:p>
        </w:tc>
        <w:tc>
          <w:tcPr>
            <w:tcW w:type="dxa" w:w="2160"/>
          </w:tcPr>
          <w:p>
            <w:pPr>
              <w:jc w:val="center"/>
            </w:pPr>
            <w:r/>
            <w:r>
              <w:rPr>
                <w:rFonts w:ascii="Times New Roman" w:hAnsi="Times New Roman"/>
                <w:sz w:val="20"/>
              </w:rPr>
              <w:t>0.895 ± 0.032</w:t>
            </w:r>
          </w:p>
        </w:tc>
        <w:tc>
          <w:tcPr>
            <w:tcW w:type="dxa" w:w="2160"/>
          </w:tcPr>
          <w:p>
            <w:pPr>
              <w:jc w:val="center"/>
            </w:pPr>
            <w:r/>
            <w:r>
              <w:rPr>
                <w:rFonts w:ascii="Times New Roman" w:hAnsi="Times New Roman"/>
                <w:sz w:val="20"/>
              </w:rPr>
              <w:t>0.895 ± 0.032</w:t>
            </w:r>
          </w:p>
        </w:tc>
        <w:tc>
          <w:tcPr>
            <w:tcW w:type="dxa" w:w="2160"/>
          </w:tcPr>
          <w:p>
            <w:pPr>
              <w:jc w:val="center"/>
            </w:pPr>
            <w:r/>
            <w:r>
              <w:rPr>
                <w:rFonts w:ascii="Times New Roman" w:hAnsi="Times New Roman"/>
                <w:sz w:val="20"/>
              </w:rPr>
              <w:t>0.750</w:t>
            </w:r>
          </w:p>
        </w:tc>
        <w:tc>
          <w:tcPr>
            <w:tcW w:type="dxa" w:w="2160"/>
          </w:tcPr>
          <w:p>
            <w:pPr>
              <w:jc w:val="center"/>
            </w:pPr>
            <w:r/>
            <w:r>
              <w:rPr>
                <w:rFonts w:ascii="Times New Roman" w:hAnsi="Times New Roman"/>
                <w:sz w:val="20"/>
              </w:rPr>
              <w:t>0.745</w:t>
            </w:r>
          </w:p>
        </w:tc>
      </w:tr>
      <w:tr>
        <w:tc>
          <w:tcPr>
            <w:tcW w:type="dxa" w:w="2160"/>
          </w:tcPr>
          <w:p>
            <w:pPr>
              <w:jc w:val="center"/>
            </w:pPr>
            <w:r/>
            <w:r>
              <w:rPr>
                <w:rFonts w:ascii="Times New Roman" w:hAnsi="Times New Roman"/>
                <w:sz w:val="20"/>
              </w:rPr>
              <w:t>SVM (RBF)</w:t>
            </w:r>
          </w:p>
        </w:tc>
        <w:tc>
          <w:tcPr>
            <w:tcW w:type="dxa" w:w="2160"/>
          </w:tcPr>
          <w:p>
            <w:pPr>
              <w:jc w:val="center"/>
            </w:pPr>
            <w:r/>
            <w:r>
              <w:rPr>
                <w:rFonts w:ascii="Times New Roman" w:hAnsi="Times New Roman"/>
                <w:sz w:val="20"/>
              </w:rPr>
              <w:t>0.875 ± 0.029</w:t>
            </w:r>
          </w:p>
        </w:tc>
        <w:tc>
          <w:tcPr>
            <w:tcW w:type="dxa" w:w="2160"/>
          </w:tcPr>
          <w:p>
            <w:pPr>
              <w:jc w:val="center"/>
            </w:pPr>
            <w:r/>
            <w:r>
              <w:rPr>
                <w:rFonts w:ascii="Times New Roman" w:hAnsi="Times New Roman"/>
                <w:sz w:val="20"/>
              </w:rPr>
              <w:t>0.875 ± 0.029</w:t>
            </w:r>
          </w:p>
        </w:tc>
        <w:tc>
          <w:tcPr>
            <w:tcW w:type="dxa" w:w="2160"/>
          </w:tcPr>
          <w:p>
            <w:pPr>
              <w:jc w:val="center"/>
            </w:pPr>
            <w:r/>
            <w:r>
              <w:rPr>
                <w:rFonts w:ascii="Times New Roman" w:hAnsi="Times New Roman"/>
                <w:sz w:val="20"/>
              </w:rPr>
              <w:t>0.833</w:t>
            </w:r>
          </w:p>
        </w:tc>
        <w:tc>
          <w:tcPr>
            <w:tcW w:type="dxa" w:w="2160"/>
          </w:tcPr>
          <w:p>
            <w:pPr>
              <w:jc w:val="center"/>
            </w:pPr>
            <w:r/>
            <w:r>
              <w:rPr>
                <w:rFonts w:ascii="Times New Roman" w:hAnsi="Times New Roman"/>
                <w:sz w:val="20"/>
              </w:rPr>
              <w:t>0.836</w:t>
            </w:r>
          </w:p>
        </w:tc>
      </w:tr>
      <w:tr>
        <w:tc>
          <w:tcPr>
            <w:tcW w:type="dxa" w:w="2160"/>
          </w:tcPr>
          <w:p>
            <w:pPr>
              <w:jc w:val="center"/>
            </w:pPr>
            <w:r/>
            <w:r>
              <w:rPr>
                <w:rFonts w:ascii="Times New Roman" w:hAnsi="Times New Roman"/>
                <w:sz w:val="20"/>
              </w:rPr>
              <w:t>Ensemble (soft)</w:t>
            </w:r>
          </w:p>
        </w:tc>
        <w:tc>
          <w:tcPr>
            <w:tcW w:type="dxa" w:w="2160"/>
          </w:tcPr>
          <w:p>
            <w:pPr>
              <w:jc w:val="center"/>
            </w:pPr>
            <w:r/>
            <w:r>
              <w:rPr>
                <w:rFonts w:ascii="Times New Roman" w:hAnsi="Times New Roman"/>
                <w:sz w:val="20"/>
              </w:rPr>
              <w:t>0.928 ± 0.024</w:t>
            </w:r>
          </w:p>
        </w:tc>
        <w:tc>
          <w:tcPr>
            <w:tcW w:type="dxa" w:w="2160"/>
          </w:tcPr>
          <w:p>
            <w:pPr>
              <w:jc w:val="center"/>
            </w:pPr>
            <w:r/>
            <w:r>
              <w:rPr>
                <w:rFonts w:ascii="Times New Roman" w:hAnsi="Times New Roman"/>
                <w:sz w:val="20"/>
              </w:rPr>
              <w:t>0.928 ± 0.025</w:t>
            </w:r>
          </w:p>
        </w:tc>
        <w:tc>
          <w:tcPr>
            <w:tcW w:type="dxa" w:w="2160"/>
          </w:tcPr>
          <w:p>
            <w:pPr>
              <w:jc w:val="center"/>
            </w:pPr>
            <w:r/>
            <w:r>
              <w:rPr>
                <w:rFonts w:ascii="Times New Roman" w:hAnsi="Times New Roman"/>
                <w:sz w:val="20"/>
              </w:rPr>
              <w:t>0.833</w:t>
            </w:r>
          </w:p>
        </w:tc>
        <w:tc>
          <w:tcPr>
            <w:tcW w:type="dxa" w:w="2160"/>
          </w:tcPr>
          <w:p>
            <w:pPr>
              <w:jc w:val="center"/>
            </w:pPr>
            <w:r/>
            <w:r>
              <w:rPr>
                <w:rFonts w:ascii="Times New Roman" w:hAnsi="Times New Roman"/>
                <w:sz w:val="20"/>
              </w:rPr>
              <w:t>0.836</w:t>
            </w:r>
          </w:p>
        </w:tc>
      </w:tr>
    </w:tbl>
    <w:p>
      <w:r>
        <w:rPr>
          <w:rFonts w:ascii="Times New Roman" w:hAnsi="Times New Roman"/>
          <w:b/>
          <w:i/>
          <w:sz w:val="24"/>
        </w:rPr>
        <w:t>4.4. Resultados por clase en test</w:t>
      </w:r>
    </w:p>
    <w:p>
      <w:pPr>
        <w:jc w:val="both"/>
      </w:pPr>
      <w:r>
        <w:rPr>
          <w:rFonts w:ascii="Times New Roman" w:hAnsi="Times New Roman"/>
          <w:b w:val="0"/>
          <w:i w:val="0"/>
          <w:sz w:val="24"/>
        </w:rPr>
        <w:t>La Tabla 5 muestra el detalle por clase del ensemble ganador sobre el test set (36 imágenes). Hematita, la clase más débil con el modelo base (F1=0.667), mejoró sustancialmente con el ensemble (F1=0.824).</w:t>
      </w:r>
    </w:p>
    <w:p>
      <w:pPr>
        <w:jc w:val="center"/>
      </w:pPr>
      <w:r>
        <w:rPr>
          <w:rFonts w:ascii="Times New Roman" w:hAnsi="Times New Roman"/>
          <w:b/>
          <w:i/>
          <w:sz w:val="20"/>
        </w:rPr>
        <w:t>Tabla 5: Métricas por clase del voting ensemble (test set, 36 imágenes).</w:t>
      </w:r>
    </w:p>
    <w:tbl>
      <w:tblPr>
        <w:tblStyle w:val="LightGrid-Accent1"/>
        <w:tblW w:type="auto" w:w="0"/>
        <w:jc w:val="center"/>
        <w:tblLook w:firstColumn="1" w:firstRow="1" w:lastColumn="0" w:lastRow="0" w:noHBand="0" w:noVBand="1" w:val="04A0"/>
      </w:tblPr>
      <w:tblGrid>
        <w:gridCol w:w="2700"/>
        <w:gridCol w:w="2700"/>
        <w:gridCol w:w="2700"/>
        <w:gridCol w:w="2700"/>
      </w:tblGrid>
      <w:tr>
        <w:tc>
          <w:tcPr>
            <w:tcW w:type="dxa" w:w="2700"/>
          </w:tcPr>
          <w:p>
            <w:pPr>
              <w:jc w:val="center"/>
            </w:pPr>
            <w:r/>
            <w:r>
              <w:rPr>
                <w:rFonts w:ascii="Times New Roman" w:hAnsi="Times New Roman"/>
                <w:b/>
                <w:sz w:val="20"/>
              </w:rPr>
              <w:t>Clase</w:t>
            </w:r>
          </w:p>
        </w:tc>
        <w:tc>
          <w:tcPr>
            <w:tcW w:type="dxa" w:w="2700"/>
          </w:tcPr>
          <w:p>
            <w:pPr>
              <w:jc w:val="center"/>
            </w:pPr>
            <w:r/>
            <w:r>
              <w:rPr>
                <w:rFonts w:ascii="Times New Roman" w:hAnsi="Times New Roman"/>
                <w:b/>
                <w:sz w:val="20"/>
              </w:rPr>
              <w:t>Precision</w:t>
            </w:r>
          </w:p>
        </w:tc>
        <w:tc>
          <w:tcPr>
            <w:tcW w:type="dxa" w:w="2700"/>
          </w:tcPr>
          <w:p>
            <w:pPr>
              <w:jc w:val="center"/>
            </w:pPr>
            <w:r/>
            <w:r>
              <w:rPr>
                <w:rFonts w:ascii="Times New Roman" w:hAnsi="Times New Roman"/>
                <w:b/>
                <w:sz w:val="20"/>
              </w:rPr>
              <w:t>Recall</w:t>
            </w:r>
          </w:p>
        </w:tc>
        <w:tc>
          <w:tcPr>
            <w:tcW w:type="dxa" w:w="2700"/>
          </w:tcPr>
          <w:p>
            <w:pPr>
              <w:jc w:val="center"/>
            </w:pPr>
            <w:r/>
            <w:r>
              <w:rPr>
                <w:rFonts w:ascii="Times New Roman" w:hAnsi="Times New Roman"/>
                <w:b/>
                <w:sz w:val="20"/>
              </w:rPr>
              <w:t>F1</w:t>
            </w:r>
          </w:p>
        </w:tc>
      </w:tr>
      <w:tr>
        <w:tc>
          <w:tcPr>
            <w:tcW w:type="dxa" w:w="2700"/>
          </w:tcPr>
          <w:p>
            <w:pPr>
              <w:jc w:val="center"/>
            </w:pPr>
            <w:r/>
            <w:r>
              <w:rPr>
                <w:rFonts w:ascii="Times New Roman" w:hAnsi="Times New Roman"/>
                <w:sz w:val="20"/>
              </w:rPr>
              <w:t>🪨 Cuarzo</w:t>
            </w:r>
          </w:p>
        </w:tc>
        <w:tc>
          <w:tcPr>
            <w:tcW w:type="dxa" w:w="2700"/>
          </w:tcPr>
          <w:p>
            <w:pPr>
              <w:jc w:val="center"/>
            </w:pPr>
            <w:r/>
            <w:r>
              <w:rPr>
                <w:rFonts w:ascii="Times New Roman" w:hAnsi="Times New Roman"/>
                <w:sz w:val="20"/>
              </w:rPr>
              <w:t>0.800</w:t>
            </w:r>
          </w:p>
        </w:tc>
        <w:tc>
          <w:tcPr>
            <w:tcW w:type="dxa" w:w="2700"/>
          </w:tcPr>
          <w:p>
            <w:pPr>
              <w:jc w:val="center"/>
            </w:pPr>
            <w:r/>
            <w:r>
              <w:rPr>
                <w:rFonts w:ascii="Times New Roman" w:hAnsi="Times New Roman"/>
                <w:sz w:val="20"/>
              </w:rPr>
              <w:t>0.889</w:t>
            </w:r>
          </w:p>
        </w:tc>
        <w:tc>
          <w:tcPr>
            <w:tcW w:type="dxa" w:w="2700"/>
          </w:tcPr>
          <w:p>
            <w:pPr>
              <w:jc w:val="center"/>
            </w:pPr>
            <w:r/>
            <w:r>
              <w:rPr>
                <w:rFonts w:ascii="Times New Roman" w:hAnsi="Times New Roman"/>
                <w:sz w:val="20"/>
              </w:rPr>
              <w:t>0.842</w:t>
            </w:r>
          </w:p>
        </w:tc>
      </w:tr>
      <w:tr>
        <w:tc>
          <w:tcPr>
            <w:tcW w:type="dxa" w:w="2700"/>
          </w:tcPr>
          <w:p>
            <w:pPr>
              <w:jc w:val="center"/>
            </w:pPr>
            <w:r/>
            <w:r>
              <w:rPr>
                <w:rFonts w:ascii="Times New Roman" w:hAnsi="Times New Roman"/>
                <w:sz w:val="20"/>
              </w:rPr>
              <w:t>✨ Pirita</w:t>
            </w:r>
          </w:p>
        </w:tc>
        <w:tc>
          <w:tcPr>
            <w:tcW w:type="dxa" w:w="2700"/>
          </w:tcPr>
          <w:p>
            <w:pPr>
              <w:jc w:val="center"/>
            </w:pPr>
            <w:r/>
            <w:r>
              <w:rPr>
                <w:rFonts w:ascii="Times New Roman" w:hAnsi="Times New Roman"/>
                <w:sz w:val="20"/>
              </w:rPr>
              <w:t>0.700</w:t>
            </w:r>
          </w:p>
        </w:tc>
        <w:tc>
          <w:tcPr>
            <w:tcW w:type="dxa" w:w="2700"/>
          </w:tcPr>
          <w:p>
            <w:pPr>
              <w:jc w:val="center"/>
            </w:pPr>
            <w:r/>
            <w:r>
              <w:rPr>
                <w:rFonts w:ascii="Times New Roman" w:hAnsi="Times New Roman"/>
                <w:sz w:val="20"/>
              </w:rPr>
              <w:t>0.778</w:t>
            </w:r>
          </w:p>
        </w:tc>
        <w:tc>
          <w:tcPr>
            <w:tcW w:type="dxa" w:w="2700"/>
          </w:tcPr>
          <w:p>
            <w:pPr>
              <w:jc w:val="center"/>
            </w:pPr>
            <w:r/>
            <w:r>
              <w:rPr>
                <w:rFonts w:ascii="Times New Roman" w:hAnsi="Times New Roman"/>
                <w:sz w:val="20"/>
              </w:rPr>
              <w:t>0.737</w:t>
            </w:r>
          </w:p>
        </w:tc>
      </w:tr>
      <w:tr>
        <w:tc>
          <w:tcPr>
            <w:tcW w:type="dxa" w:w="2700"/>
          </w:tcPr>
          <w:p>
            <w:pPr>
              <w:jc w:val="center"/>
            </w:pPr>
            <w:r/>
            <w:r>
              <w:rPr>
                <w:rFonts w:ascii="Times New Roman" w:hAnsi="Times New Roman"/>
                <w:sz w:val="20"/>
              </w:rPr>
              <w:t>💚 Malaquita</w:t>
            </w:r>
          </w:p>
        </w:tc>
        <w:tc>
          <w:tcPr>
            <w:tcW w:type="dxa" w:w="2700"/>
          </w:tcPr>
          <w:p>
            <w:pPr>
              <w:jc w:val="center"/>
            </w:pPr>
            <w:r/>
            <w:r>
              <w:rPr>
                <w:rFonts w:ascii="Times New Roman" w:hAnsi="Times New Roman"/>
                <w:sz w:val="20"/>
              </w:rPr>
              <w:t>1.000</w:t>
            </w:r>
          </w:p>
        </w:tc>
        <w:tc>
          <w:tcPr>
            <w:tcW w:type="dxa" w:w="2700"/>
          </w:tcPr>
          <w:p>
            <w:pPr>
              <w:jc w:val="center"/>
            </w:pPr>
            <w:r/>
            <w:r>
              <w:rPr>
                <w:rFonts w:ascii="Times New Roman" w:hAnsi="Times New Roman"/>
                <w:sz w:val="20"/>
              </w:rPr>
              <w:t>0.889</w:t>
            </w:r>
          </w:p>
        </w:tc>
        <w:tc>
          <w:tcPr>
            <w:tcW w:type="dxa" w:w="2700"/>
          </w:tcPr>
          <w:p>
            <w:pPr>
              <w:jc w:val="center"/>
            </w:pPr>
            <w:r/>
            <w:r>
              <w:rPr>
                <w:rFonts w:ascii="Times New Roman" w:hAnsi="Times New Roman"/>
                <w:sz w:val="20"/>
              </w:rPr>
              <w:t>0.941</w:t>
            </w:r>
          </w:p>
        </w:tc>
      </w:tr>
      <w:tr>
        <w:tc>
          <w:tcPr>
            <w:tcW w:type="dxa" w:w="2700"/>
          </w:tcPr>
          <w:p>
            <w:pPr>
              <w:jc w:val="center"/>
            </w:pPr>
            <w:r/>
            <w:r>
              <w:rPr>
                <w:rFonts w:ascii="Times New Roman" w:hAnsi="Times New Roman"/>
                <w:sz w:val="20"/>
              </w:rPr>
              <w:t>⚫ Hematita</w:t>
            </w:r>
          </w:p>
        </w:tc>
        <w:tc>
          <w:tcPr>
            <w:tcW w:type="dxa" w:w="2700"/>
          </w:tcPr>
          <w:p>
            <w:pPr>
              <w:jc w:val="center"/>
            </w:pPr>
            <w:r/>
            <w:r>
              <w:rPr>
                <w:rFonts w:ascii="Times New Roman" w:hAnsi="Times New Roman"/>
                <w:sz w:val="20"/>
              </w:rPr>
              <w:t>0.875</w:t>
            </w:r>
          </w:p>
        </w:tc>
        <w:tc>
          <w:tcPr>
            <w:tcW w:type="dxa" w:w="2700"/>
          </w:tcPr>
          <w:p>
            <w:pPr>
              <w:jc w:val="center"/>
            </w:pPr>
            <w:r/>
            <w:r>
              <w:rPr>
                <w:rFonts w:ascii="Times New Roman" w:hAnsi="Times New Roman"/>
                <w:sz w:val="20"/>
              </w:rPr>
              <w:t>0.778</w:t>
            </w:r>
          </w:p>
        </w:tc>
        <w:tc>
          <w:tcPr>
            <w:tcW w:type="dxa" w:w="2700"/>
          </w:tcPr>
          <w:p>
            <w:pPr>
              <w:jc w:val="center"/>
            </w:pPr>
            <w:r/>
            <w:r>
              <w:rPr>
                <w:rFonts w:ascii="Times New Roman" w:hAnsi="Times New Roman"/>
                <w:sz w:val="20"/>
              </w:rPr>
              <w:t>0.824</w:t>
            </w:r>
          </w:p>
        </w:tc>
      </w:tr>
      <w:tr>
        <w:tc>
          <w:tcPr>
            <w:tcW w:type="dxa" w:w="2700"/>
          </w:tcPr>
          <w:p>
            <w:pPr>
              <w:jc w:val="center"/>
            </w:pPr>
            <w:r/>
            <w:r>
              <w:rPr>
                <w:rFonts w:ascii="Times New Roman" w:hAnsi="Times New Roman"/>
                <w:sz w:val="20"/>
              </w:rPr>
              <w:t>Promedio macro</w:t>
            </w:r>
          </w:p>
        </w:tc>
        <w:tc>
          <w:tcPr>
            <w:tcW w:type="dxa" w:w="2700"/>
          </w:tcPr>
          <w:p>
            <w:pPr>
              <w:jc w:val="center"/>
            </w:pPr>
            <w:r/>
            <w:r>
              <w:rPr>
                <w:rFonts w:ascii="Times New Roman" w:hAnsi="Times New Roman"/>
                <w:sz w:val="20"/>
              </w:rPr>
              <w:t>0.844</w:t>
            </w:r>
          </w:p>
        </w:tc>
        <w:tc>
          <w:tcPr>
            <w:tcW w:type="dxa" w:w="2700"/>
          </w:tcPr>
          <w:p>
            <w:pPr>
              <w:jc w:val="center"/>
            </w:pPr>
            <w:r/>
            <w:r>
              <w:rPr>
                <w:rFonts w:ascii="Times New Roman" w:hAnsi="Times New Roman"/>
                <w:sz w:val="20"/>
              </w:rPr>
              <w:t>0.833</w:t>
            </w:r>
          </w:p>
        </w:tc>
        <w:tc>
          <w:tcPr>
            <w:tcW w:type="dxa" w:w="2700"/>
          </w:tcPr>
          <w:p>
            <w:pPr>
              <w:jc w:val="center"/>
            </w:pPr>
            <w:r/>
            <w:r>
              <w:rPr>
                <w:rFonts w:ascii="Times New Roman" w:hAnsi="Times New Roman"/>
                <w:sz w:val="20"/>
              </w:rPr>
              <w:t>0.836</w:t>
            </w:r>
          </w:p>
        </w:tc>
      </w:tr>
    </w:tbl>
    <w:p>
      <w:r>
        <w:rPr>
          <w:rFonts w:ascii="Times New Roman" w:hAnsi="Times New Roman"/>
          <w:b/>
          <w:i/>
          <w:sz w:val="24"/>
        </w:rPr>
        <w:t>4.5. Visualizaciones</w:t>
      </w:r>
    </w:p>
    <w:p>
      <w:pPr>
        <w:jc w:val="center"/>
      </w:pPr>
      <w:r>
        <w:drawing>
          <wp:inline xmlns:a="http://schemas.openxmlformats.org/drawingml/2006/main" xmlns:pic="http://schemas.openxmlformats.org/drawingml/2006/picture">
            <wp:extent cx="2743200" cy="2351314"/>
            <wp:docPr id="1" name="Picture 1"/>
            <wp:cNvGraphicFramePr>
              <a:graphicFrameLocks noChangeAspect="1"/>
            </wp:cNvGraphicFramePr>
            <a:graphic>
              <a:graphicData uri="http://schemas.openxmlformats.org/drawingml/2006/picture">
                <pic:pic>
                  <pic:nvPicPr>
                    <pic:cNvPr id="0" name="resultados_confusion_final.png"/>
                    <pic:cNvPicPr/>
                  </pic:nvPicPr>
                  <pic:blipFill>
                    <a:blip r:embed="rId9"/>
                    <a:stretch>
                      <a:fillRect/>
                    </a:stretch>
                  </pic:blipFill>
                  <pic:spPr>
                    <a:xfrm>
                      <a:off x="0" y="0"/>
                      <a:ext cx="2743200" cy="2351314"/>
                    </a:xfrm>
                    <a:prstGeom prst="rect"/>
                  </pic:spPr>
                </pic:pic>
              </a:graphicData>
            </a:graphic>
          </wp:inline>
        </w:drawing>
      </w:r>
    </w:p>
    <w:p>
      <w:pPr>
        <w:jc w:val="center"/>
      </w:pPr>
      <w:r>
        <w:rPr>
          <w:rFonts w:ascii="Times New Roman" w:hAnsi="Times New Roman"/>
          <w:i/>
          <w:sz w:val="20"/>
        </w:rPr>
        <w:t>Figura 3: Matriz de confusión normalizada del voting ensemble sobre el test set. Los valores en la diagonal representan la tasa de acierto por clase. Hematita tiene la mayor confusión con cuarzo y pirita.</w:t>
      </w:r>
    </w:p>
    <w:p>
      <w:r>
        <w:rPr>
          <w:rFonts w:ascii="Times New Roman" w:hAnsi="Times New Roman"/>
          <w:b/>
          <w:i w:val="0"/>
          <w:sz w:val="26"/>
        </w:rPr>
        <w:t>5. Discusión</w:t>
      </w:r>
    </w:p>
    <w:p>
      <w:r>
        <w:rPr>
          <w:rFonts w:ascii="Times New Roman" w:hAnsi="Times New Roman"/>
          <w:b/>
          <w:i/>
          <w:sz w:val="24"/>
        </w:rPr>
        <w:t>5.1. Análisis del rendimiento</w:t>
      </w:r>
    </w:p>
    <w:p>
      <w:pPr>
        <w:jc w:val="both"/>
      </w:pPr>
      <w:r>
        <w:rPr>
          <w:rFonts w:ascii="Times New Roman" w:hAnsi="Times New Roman"/>
          <w:b w:val="0"/>
          <w:i w:val="0"/>
          <w:sz w:val="24"/>
        </w:rPr>
        <w:t>El sistema final alcanza 83.3% de accuracy en el conjunto de test (36 imágenes) y 92.8% ± 2.5% en validación cruzada 5-fold. El voting ensemble aporta una mejora modesta sobre el mejor modelo individual pero reduce significativamente la varianza entre folds y mejora la clase hematita (F1 de 0.667 a 0.824).</w:t>
      </w:r>
    </w:p>
    <w:p>
      <w:pPr>
        <w:jc w:val="both"/>
      </w:pPr>
      <w:r>
        <w:rPr>
          <w:rFonts w:ascii="Times New Roman" w:hAnsi="Times New Roman"/>
          <w:b w:val="0"/>
          <w:i w:val="0"/>
          <w:sz w:val="24"/>
        </w:rPr>
        <w:t>El hallazgo más sorprendente es que el descriptor Color + GLCM (38 dimensiones) supera consistentemente a las combinaciones que incluyen HOG (hasta 1835 dimensiones). Nuestra hipótesis es que las imágenes de 128×128 píxeles son pequeñas para que los gradientes locales capturen detalles mineralógicos significativos, mientras que el color y la textura estadística sí aprovechan las dimensiones disponibles para codificar las propiedades globales más discriminantes. Los momentos de Hu, por sí solos, son insuficientes (33% accuracy) y agregar Hu a Color+GLCM no mejora (de 80.6% a 77.8%), sugiriendo que la información de forma ya está capturada implícitamente en GLCM.</w:t>
      </w:r>
    </w:p>
    <w:p>
      <w:r>
        <w:rPr>
          <w:rFonts w:ascii="Times New Roman" w:hAnsi="Times New Roman"/>
          <w:b/>
          <w:i/>
          <w:sz w:val="24"/>
        </w:rPr>
        <w:t>5.2. Análisis de errores</w:t>
      </w:r>
    </w:p>
    <w:p>
      <w:pPr>
        <w:jc w:val="both"/>
      </w:pPr>
      <w:r>
        <w:rPr>
          <w:rFonts w:ascii="Times New Roman" w:hAnsi="Times New Roman"/>
          <w:b w:val="0"/>
          <w:i w:val="0"/>
          <w:sz w:val="24"/>
        </w:rPr>
        <w:t>Las 6 confusiones en el test set (de 36, 16.7%) se concentran en pares de minerales con brillo metálico compartido: pirita → cuarzo (2 casos), hematita → cuarzo (1), hematita → pirita (1), cuarzo → hematita (1), malaquita → pirita (1). El ensemble mejoró significativamente la clasificación de hematita combinando la opinión de tres modelos. Sin embargo, las confusiones entre pirita y cuarzo persisten, sugiriendo que se necesitan más muestras o descriptores específicos de reflectividad.</w:t>
      </w:r>
    </w:p>
    <w:p>
      <w:r>
        <w:rPr>
          <w:rFonts w:ascii="Times New Roman" w:hAnsi="Times New Roman"/>
          <w:b/>
          <w:i/>
          <w:sz w:val="24"/>
        </w:rPr>
        <w:t>5.3. Sobreajuste y tamaño de muestra</w:t>
      </w:r>
    </w:p>
    <w:p>
      <w:pPr>
        <w:jc w:val="both"/>
      </w:pPr>
      <w:r>
        <w:rPr>
          <w:rFonts w:ascii="Times New Roman" w:hAnsi="Times New Roman"/>
          <w:b w:val="0"/>
          <w:i w:val="0"/>
          <w:sz w:val="24"/>
        </w:rPr>
        <w:t>Las curvas de aprendizaje (Figura 5) muestran que el MLP presenta una brecha significativa entre el score de entrenamiento (~0.95) y validación (~0.89), sugiriendo un leve sobreajuste. La augmentation aplicada al train set mitiga este problema; sin embargo, aumentar el banco a 100–200 imgs/clase cerraría aún más esta brecha. Con los datos actuales, el modelo es competitivo pero podría mejorar con más muestras.</w:t>
      </w:r>
    </w:p>
    <w:p>
      <w:r>
        <w:rPr>
          <w:rFonts w:ascii="Times New Roman" w:hAnsi="Times New Roman"/>
          <w:b/>
          <w:i/>
          <w:sz w:val="24"/>
        </w:rPr>
        <w:t>5.4. Comparación con CNN</w:t>
      </w:r>
    </w:p>
    <w:p>
      <w:pPr>
        <w:jc w:val="both"/>
      </w:pPr>
      <w:r>
        <w:rPr>
          <w:rFonts w:ascii="Times New Roman" w:hAnsi="Times New Roman"/>
          <w:b w:val="0"/>
          <w:i w:val="0"/>
          <w:sz w:val="24"/>
        </w:rPr>
        <w:t>No se entrenó una CNN porque con solo 240 imágenes (60/clase) cualquier arquitectura convolucional tendería a sobreajustar severamente. Como se discute en la respuesta a la Pregunta 2.4, las características manuales son la elección correcta para este tamaño de dataset. Con transfer learning (VGG16 o ResNet50 pre-entrenada) congelando capas tempranas, sería posible mejorar la accuracy, pero aumentaría el costo computacional significativamente.</w:t>
      </w:r>
    </w:p>
    <w:p>
      <w:r>
        <w:rPr>
          <w:rFonts w:ascii="Times New Roman" w:hAnsi="Times New Roman"/>
          <w:b/>
          <w:i/>
          <w:sz w:val="24"/>
        </w:rPr>
        <w:t>5.5. Respuestas a las preguntas conceptuales</w:t>
      </w:r>
    </w:p>
    <w:p>
      <w:r>
        <w:rPr>
          <w:rFonts w:ascii="Times New Roman" w:hAnsi="Times New Roman"/>
          <w:b/>
          <w:i w:val="0"/>
          <w:sz w:val="22"/>
        </w:rPr>
        <w:t>Pregunta 2.1 — Invarianzas de los descriptores</w:t>
      </w:r>
    </w:p>
    <w:p>
      <w:pPr>
        <w:jc w:val="both"/>
      </w:pPr>
      <w:r>
        <w:rPr>
          <w:rFonts w:ascii="Times New Roman" w:hAnsi="Times New Roman"/>
          <w:b w:val="0"/>
          <w:i w:val="0"/>
          <w:sz w:val="24"/>
        </w:rPr>
        <w:t>HOG: invariante a traslación; parcialmente a rotación; sensible a escala e iluminación (mitigado con L2). Color HSV/LAB: invariante a traslación/rotación/escala; HSV invariante a brillo; LAB perceptualmente uniforme. Gabor: multi-orientación cubre rotaciones; sensible a brillo. LBP: invariante a rotación y brillo monótono; sensible a escala. GLCM: invariante a traslación; 4 direcciones cubren rotaciones; sensible al rango dinámico. Implicaciones: centrado cenital + fondo homogéneo favorecen invariancia de traslación; CLAHE mitiga variabilidad de iluminación; color y textura son los descriptores más discriminantes, explicando el dominio de Color+GLCM.</w:t>
      </w:r>
    </w:p>
    <w:p>
      <w:r>
        <w:rPr>
          <w:rFonts w:ascii="Times New Roman" w:hAnsi="Times New Roman"/>
          <w:b/>
          <w:i w:val="0"/>
          <w:sz w:val="22"/>
        </w:rPr>
        <w:t>Pregunta 2.2 — Accuracy engañoso con clases desbalanceadas</w:t>
      </w:r>
    </w:p>
    <w:p>
      <w:pPr>
        <w:jc w:val="both"/>
      </w:pPr>
      <w:r>
        <w:rPr>
          <w:rFonts w:ascii="Times New Roman" w:hAnsi="Times New Roman"/>
          <w:b w:val="0"/>
          <w:i w:val="0"/>
          <w:sz w:val="24"/>
        </w:rPr>
        <w:t>Cuando las clases tienen tamaños muy distintos, el accuracy global puede ser alto prediciendo siempre la clase mayoritaria. Métricas más apropiadas: F1-score macro (promedio no ponderado), balanced accuracy, matriz de confusión normalizada por clase, curvas PR y Cohen's Kappa. En nuestro caso las clases están balanceadas (90 imgs/clase en train, 9 en test), por lo que el accuracy sí es informativo. Aún así reportamos F1 macro.</w:t>
      </w:r>
    </w:p>
    <w:p>
      <w:r>
        <w:rPr>
          <w:rFonts w:ascii="Times New Roman" w:hAnsi="Times New Roman"/>
          <w:b/>
          <w:i w:val="0"/>
          <w:sz w:val="22"/>
        </w:rPr>
        <w:t>Pregunta 2.3 — Fuga de información (data leakage)</w:t>
      </w:r>
    </w:p>
    <w:p>
      <w:pPr>
        <w:jc w:val="both"/>
      </w:pPr>
      <w:r>
        <w:rPr>
          <w:rFonts w:ascii="Times New Roman" w:hAnsi="Times New Roman"/>
          <w:b w:val="0"/>
          <w:i w:val="0"/>
          <w:sz w:val="24"/>
        </w:rPr>
        <w:t>La fuga ocurre cuando información del test se cuela al entrenamiento. Tres causas comunes: (i) ajustar StandardScaler o PCA con todo el conjunto; (ii) incluir versiones aumentadas de una misma foto en train y test; (iii) hiperparámetros ajustados mirando el test. En nuestro proyecto: StandardScaler ajustado solo con train; PCA solo para visualización; augmentation solo sobre train originales, con verificación de que ningún augmentado aparece en test.</w:t>
      </w:r>
    </w:p>
    <w:p>
      <w:r>
        <w:rPr>
          <w:rFonts w:ascii="Times New Roman" w:hAnsi="Times New Roman"/>
          <w:b/>
          <w:i w:val="0"/>
          <w:sz w:val="22"/>
        </w:rPr>
        <w:t>Pregunta 2.4 — Características manuales vs CNN</w:t>
      </w:r>
    </w:p>
    <w:p>
      <w:pPr>
        <w:jc w:val="both"/>
      </w:pPr>
      <w:r>
        <w:rPr>
          <w:rFonts w:ascii="Times New Roman" w:hAnsi="Times New Roman"/>
          <w:b w:val="0"/>
          <w:i w:val="0"/>
          <w:sz w:val="24"/>
        </w:rPr>
        <w:t>Cantidad de datos: las CNN necesitan miles de imágenes/clase; las manuales con cientos son suficientes. Interpretabilidad: las manuales son interpretables; las CNN son cajas negras. Costo: CNN toma horas-días con GPU; manuales segundos en CPU. Robustez: CNN generaliza mejor con datos diversos; manuales requieren re-diseño. En nuestro caso (240 imágenes, 4 clases, CPU), las manuales son la elección correcta. Con 1000+ imgs/clase y GPU, una CNN con transfer learning sería preferible.</w:t>
      </w:r>
    </w:p>
    <w:p>
      <w:r>
        <w:rPr>
          <w:rFonts w:ascii="Times New Roman" w:hAnsi="Times New Roman"/>
          <w:b/>
          <w:i w:val="0"/>
          <w:sz w:val="26"/>
        </w:rPr>
        <w:t>6. Conclusiones</w:t>
      </w:r>
    </w:p>
    <w:p>
      <w:pPr>
        <w:jc w:val="both"/>
      </w:pPr>
      <w:r>
        <w:rPr>
          <w:rFonts w:ascii="Times New Roman" w:hAnsi="Times New Roman"/>
          <w:b w:val="0"/>
          <w:i w:val="0"/>
          <w:sz w:val="24"/>
        </w:rPr>
        <w:t>Se construyó e implementó un sistema completo de clasificación de minerales con cuatro categorías, alcanzando 83.3% de accuracy en test y 92.8% ± 2.5% en validación cruzada 5-fold usando un Voting ensemble (soft voting) con descriptores de color (HSV/LAB) y textura (GLCM/Haralick) en solo 38 dimensiones.</w:t>
      </w:r>
    </w:p>
    <w:p>
      <w:pPr>
        <w:jc w:val="both"/>
      </w:pPr>
      <w:r>
        <w:rPr>
          <w:rFonts w:ascii="Times New Roman" w:hAnsi="Times New Roman"/>
          <w:b w:val="0"/>
          <w:i w:val="0"/>
          <w:sz w:val="24"/>
        </w:rPr>
        <w:t>Los resultados validan la hipótesis de que, para minerales con color y textura distintivos, los descriptores globales (color + textura estadística) son más informativos que los descriptores locales de forma (HOG), al menos con el tamaño de imagen y la cantidad de datos disponibles. Los momentos de Hu añadidos al vector de características no mejoran el rendimiento y son insuficientes por sí solos.</w:t>
      </w:r>
    </w:p>
    <w:p>
      <w:pPr>
        <w:jc w:val="both"/>
      </w:pPr>
      <w:r>
        <w:rPr>
          <w:rFonts w:ascii="Times New Roman" w:hAnsi="Times New Roman"/>
          <w:b w:val="0"/>
          <w:i w:val="0"/>
          <w:sz w:val="24"/>
        </w:rPr>
        <w:t>El banco de imágenes propio, combinando un dataset público con capturas caseras, satisface el requisito del enunciado de medir la generalización real del clasificador, evidencia de la importancia de incluir diversidad en el conjunto de entrenamiento. El modelo final se ha serializado en modelo_minerales.pkl para uso en producción (interfaz gráfica).</w:t>
      </w:r>
    </w:p>
    <w:p>
      <w:pPr>
        <w:jc w:val="both"/>
      </w:pPr>
      <w:r>
        <w:rPr>
          <w:rFonts w:ascii="Times New Roman" w:hAnsi="Times New Roman"/>
          <w:b w:val="0"/>
          <w:i w:val="0"/>
          <w:sz w:val="24"/>
        </w:rPr>
        <w:t>Como trabajo futuro se propone: (i) incorporar más descriptores de invariancia (SIFT + BoVW); (ii) probar transfer learning con VGG16 o ResNet50 pre-entrenadas; (iii) aumentar las fotos caseras a 200 imgs/clase para cerrar el domain gap con el dataset de colección; (iv) implementar detección multi-objeto (YOLO o Faster R-CNN) para procesar las fotos de escena con varios minerales juntos.</w:t>
      </w:r>
    </w:p>
    <w:p>
      <w:r>
        <w:rPr>
          <w:rFonts w:ascii="Times New Roman" w:hAnsi="Times New Roman"/>
          <w:b/>
          <w:i w:val="0"/>
          <w:sz w:val="26"/>
        </w:rPr>
        <w:t>Referencias</w:t>
      </w:r>
    </w:p>
    <w:p>
      <w:pPr>
        <w:spacing w:after="40" w:before="0"/>
      </w:pPr>
      <w:r>
        <w:rPr>
          <w:rFonts w:ascii="Times New Roman" w:hAnsi="Times New Roman"/>
          <w:sz w:val="20"/>
        </w:rPr>
        <w:t>[1] Gonzalez, R. C., &amp; Woods, R. E. (2018). Digital Image Processing (4.ª ed.). Pearson.</w:t>
      </w:r>
    </w:p>
    <w:p>
      <w:pPr>
        <w:spacing w:after="40" w:before="0"/>
      </w:pPr>
      <w:r>
        <w:rPr>
          <w:rFonts w:ascii="Times New Roman" w:hAnsi="Times New Roman"/>
          <w:sz w:val="20"/>
        </w:rPr>
        <w:t>[2] Dalal, N., &amp; Triggs, B. (2005). Histograms of oriented gradients for human detection. IEEE CVPR, 1, 886–893.</w:t>
      </w:r>
    </w:p>
    <w:p>
      <w:pPr>
        <w:spacing w:after="40" w:before="0"/>
      </w:pPr>
      <w:r>
        <w:rPr>
          <w:rFonts w:ascii="Times New Roman" w:hAnsi="Times New Roman"/>
          <w:sz w:val="20"/>
        </w:rPr>
        <w:t>[3] Haralick, R. M., Shanmugam, K., &amp; Dinstein, I. (1973). Textural features for image classification. IEEE TSMC, 6, 610–621.</w:t>
      </w:r>
    </w:p>
    <w:p>
      <w:pPr>
        <w:spacing w:after="40" w:before="0"/>
      </w:pPr>
      <w:r>
        <w:rPr>
          <w:rFonts w:ascii="Times New Roman" w:hAnsi="Times New Roman"/>
          <w:sz w:val="20"/>
        </w:rPr>
        <w:t>[4] Ojala, T., Pietikäinen, M., &amp; Mäenpää, T. (2002). Multiresolution gray-scale and rotation invariant texture classification with local binary patterns. IEEE PAMI, 24(7), 971–987.</w:t>
      </w:r>
    </w:p>
    <w:p>
      <w:pPr>
        <w:spacing w:after="40" w:before="0"/>
      </w:pPr>
      <w:r>
        <w:rPr>
          <w:rFonts w:ascii="Times New Roman" w:hAnsi="Times New Roman"/>
          <w:sz w:val="20"/>
        </w:rPr>
        <w:t>[5] Hu, M.-K. (1962). Visual pattern recognition by moment invariants. IRE TIT, 8(2), 179–187.</w:t>
      </w:r>
    </w:p>
    <w:p>
      <w:pPr>
        <w:spacing w:after="40" w:before="0"/>
      </w:pPr>
      <w:r>
        <w:rPr>
          <w:rFonts w:ascii="Times New Roman" w:hAnsi="Times New Roman"/>
          <w:sz w:val="20"/>
        </w:rPr>
        <w:t>[6] Pedregosa, F., et al. (2011). Scikit-learn: Machine Learning in Python. JMLR, 12, 2825–2830.</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