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Times New Roman" w:hAnsi="Times New Roman"/>
          <w:b/>
          <w:sz w:val="36"/>
        </w:rPr>
        <w:t>INFORME DE ENTREGABLE</w:t>
        <w:br/>
        <w:t>SPRINT 1 — ARQUITECTURA DE SOFTWARE</w:t>
      </w:r>
    </w:p>
    <w:p/>
    <w:p>
      <w:pPr>
        <w:jc w:val="center"/>
      </w:pPr>
      <w:r>
        <w:rPr>
          <w:rFonts w:ascii="Times New Roman" w:hAnsi="Times New Roman"/>
          <w:b/>
          <w:sz w:val="28"/>
        </w:rPr>
        <w:t>Proyecto: Backend Banco Digital</w:t>
      </w:r>
    </w:p>
    <w:p/>
    <w:p/>
    <w:p>
      <w:pPr>
        <w:spacing w:after="60"/>
        <w:jc w:val="center"/>
      </w:pPr>
      <w:r>
        <w:rPr>
          <w:rFonts w:ascii="Times New Roman" w:hAnsi="Times New Roman"/>
          <w:b/>
          <w:sz w:val="24"/>
        </w:rPr>
        <w:t xml:space="preserve">Asignatura: </w:t>
      </w:r>
      <w:r>
        <w:rPr>
          <w:rFonts w:ascii="Times New Roman" w:hAnsi="Times New Roman"/>
          <w:sz w:val="24"/>
        </w:rPr>
        <w:t>Arquitectura de Software</w:t>
      </w:r>
    </w:p>
    <w:p>
      <w:pPr>
        <w:spacing w:after="60"/>
        <w:jc w:val="center"/>
      </w:pPr>
      <w:r>
        <w:rPr>
          <w:rFonts w:ascii="Times New Roman" w:hAnsi="Times New Roman"/>
          <w:b/>
          <w:sz w:val="24"/>
        </w:rPr>
        <w:t xml:space="preserve">Integrantes: </w:t>
      </w:r>
      <w:r>
        <w:rPr>
          <w:rFonts w:ascii="Times New Roman" w:hAnsi="Times New Roman"/>
          <w:sz w:val="24"/>
        </w:rPr>
      </w:r>
    </w:p>
    <w:p>
      <w:pPr>
        <w:spacing w:after="60"/>
        <w:jc w:val="center"/>
      </w:pPr>
      <w:r>
        <w:rPr>
          <w:rFonts w:ascii="Times New Roman" w:hAnsi="Times New Roman"/>
          <w:sz w:val="24"/>
        </w:rPr>
        <w:t>Michael Stiven Tabares Tobón (Mista)</w:t>
      </w:r>
    </w:p>
    <w:p>
      <w:pPr>
        <w:spacing w:after="60"/>
        <w:jc w:val="center"/>
      </w:pPr>
      <w:r>
        <w:rPr>
          <w:rFonts w:ascii="Times New Roman" w:hAnsi="Times New Roman"/>
          <w:sz w:val="24"/>
        </w:rPr>
        <w:t>María Fernanda Atencia Oliva (Mafe)</w:t>
      </w:r>
    </w:p>
    <w:p>
      <w:pPr>
        <w:spacing w:after="60"/>
        <w:jc w:val="center"/>
      </w:pPr>
      <w:r>
        <w:rPr>
          <w:rFonts w:ascii="Times New Roman" w:hAnsi="Times New Roman"/>
          <w:sz w:val="24"/>
        </w:rPr>
        <w:t>Bryan David Molina Domínguez (Bryan)</w:t>
      </w:r>
    </w:p>
    <w:p>
      <w:pPr>
        <w:spacing w:after="60"/>
        <w:jc w:val="center"/>
      </w:pPr>
      <w:r>
        <w:rPr>
          <w:rFonts w:ascii="Times New Roman" w:hAnsi="Times New Roman"/>
          <w:sz w:val="24"/>
        </w:rPr>
        <w:t>Quelix Xiomara Pérez Alzate (Xiomi)</w:t>
      </w:r>
    </w:p>
    <w:p>
      <w:pPr>
        <w:spacing w:after="60"/>
        <w:jc w:val="center"/>
      </w:pPr>
      <w:r>
        <w:rPr>
          <w:rFonts w:ascii="Times New Roman" w:hAnsi="Times New Roman"/>
          <w:sz w:val="24"/>
        </w:rPr>
        <w:t>Cristian David Echeverry González (Cristian)</w:t>
      </w:r>
    </w:p>
    <w:p>
      <w:pPr>
        <w:spacing w:after="60"/>
        <w:jc w:val="center"/>
      </w:pPr>
      <w:r>
        <w:rPr>
          <w:rFonts w:ascii="Times New Roman" w:hAnsi="Times New Roman"/>
          <w:b/>
          <w:sz w:val="24"/>
        </w:rPr>
        <w:t xml:space="preserve">Fecha: </w:t>
      </w:r>
      <w:r>
        <w:rPr>
          <w:rFonts w:ascii="Times New Roman" w:hAnsi="Times New Roman"/>
          <w:sz w:val="24"/>
        </w:rPr>
        <w:t>6 de abril de 2026</w:t>
      </w:r>
    </w:p>
    <w:p>
      <w:r>
        <w:br w:type="page"/>
      </w:r>
    </w:p>
    <w:p>
      <w:pPr>
        <w:pStyle w:val="Heading1"/>
        <w:jc w:val="left"/>
      </w:pPr>
      <w:r>
        <w:rPr>
          <w:rFonts w:ascii="Times New Roman" w:hAnsi="Times New Roman"/>
          <w:color w:val="000000"/>
        </w:rPr>
        <w:t>Tabla de Contenido</w:t>
      </w:r>
    </w:p>
    <w:p>
      <w:pPr>
        <w:spacing w:before="0" w:after="120" w:line="330" w:lineRule="exact"/>
        <w:jc w:val="left"/>
      </w:pPr>
      <w:r>
        <w:rPr>
          <w:rFonts w:ascii="Times New Roman" w:hAnsi="Times New Roman"/>
          <w:b w:val="0"/>
          <w:i w:val="0"/>
          <w:sz w:val="22"/>
        </w:rPr>
        <w:t>1. Introducción</w:t>
      </w:r>
    </w:p>
    <w:p>
      <w:pPr>
        <w:spacing w:before="0" w:after="120" w:line="330" w:lineRule="exact"/>
        <w:jc w:val="left"/>
      </w:pPr>
      <w:r>
        <w:rPr>
          <w:rFonts w:ascii="Times New Roman" w:hAnsi="Times New Roman"/>
          <w:b w:val="0"/>
          <w:i w:val="0"/>
          <w:sz w:val="22"/>
        </w:rPr>
        <w:t>2. Descripción General del Sistema</w:t>
      </w:r>
    </w:p>
    <w:p>
      <w:pPr>
        <w:spacing w:before="0" w:after="120" w:line="330" w:lineRule="exact"/>
        <w:jc w:val="left"/>
      </w:pPr>
      <w:r>
        <w:rPr>
          <w:rFonts w:ascii="Times New Roman" w:hAnsi="Times New Roman"/>
          <w:b w:val="0"/>
          <w:i w:val="0"/>
          <w:sz w:val="22"/>
        </w:rPr>
        <w:t>3. Estilo Arquitectónico</w:t>
      </w:r>
    </w:p>
    <w:p>
      <w:pPr>
        <w:spacing w:before="0" w:after="120" w:line="330" w:lineRule="exact"/>
        <w:jc w:val="left"/>
      </w:pPr>
      <w:r>
        <w:rPr>
          <w:rFonts w:ascii="Times New Roman" w:hAnsi="Times New Roman"/>
          <w:b w:val="0"/>
          <w:i w:val="0"/>
          <w:sz w:val="22"/>
        </w:rPr>
        <w:t>4. Diagrama de Paquetes</w:t>
      </w:r>
    </w:p>
    <w:p>
      <w:pPr>
        <w:spacing w:before="0" w:after="120" w:line="330" w:lineRule="exact"/>
        <w:jc w:val="left"/>
      </w:pPr>
      <w:r>
        <w:rPr>
          <w:rFonts w:ascii="Times New Roman" w:hAnsi="Times New Roman"/>
          <w:b w:val="0"/>
          <w:i w:val="0"/>
          <w:sz w:val="22"/>
        </w:rPr>
        <w:t>5. Diagrama de Componentes</w:t>
      </w:r>
    </w:p>
    <w:p>
      <w:pPr>
        <w:spacing w:before="0" w:after="120" w:line="330" w:lineRule="exact"/>
        <w:jc w:val="left"/>
      </w:pPr>
      <w:r>
        <w:rPr>
          <w:rFonts w:ascii="Times New Roman" w:hAnsi="Times New Roman"/>
          <w:b w:val="0"/>
          <w:i w:val="0"/>
          <w:sz w:val="22"/>
        </w:rPr>
        <w:t>6. Interfaces del Sistema</w:t>
      </w:r>
    </w:p>
    <w:p>
      <w:pPr>
        <w:spacing w:before="0" w:after="120" w:line="330" w:lineRule="exact"/>
        <w:jc w:val="left"/>
      </w:pPr>
      <w:r>
        <w:rPr>
          <w:rFonts w:ascii="Times New Roman" w:hAnsi="Times New Roman"/>
          <w:b w:val="0"/>
          <w:i w:val="0"/>
          <w:sz w:val="22"/>
        </w:rPr>
        <w:t>7. Historias de Usuario Implementadas</w:t>
      </w:r>
    </w:p>
    <w:p>
      <w:pPr>
        <w:spacing w:before="0" w:after="120" w:line="330" w:lineRule="exact"/>
        <w:jc w:val="left"/>
      </w:pPr>
      <w:r>
        <w:rPr>
          <w:rFonts w:ascii="Times New Roman" w:hAnsi="Times New Roman"/>
          <w:b w:val="0"/>
          <w:i w:val="0"/>
          <w:sz w:val="22"/>
        </w:rPr>
        <w:t>8. Despliegue de la Solución</w:t>
      </w:r>
    </w:p>
    <w:p>
      <w:pPr>
        <w:spacing w:before="0" w:after="120" w:line="330" w:lineRule="exact"/>
        <w:jc w:val="left"/>
      </w:pPr>
      <w:r>
        <w:rPr>
          <w:rFonts w:ascii="Times New Roman" w:hAnsi="Times New Roman"/>
          <w:b w:val="0"/>
          <w:i w:val="0"/>
          <w:sz w:val="22"/>
        </w:rPr>
        <w:t>9. Decisiones Arquitectónicas</w:t>
      </w:r>
    </w:p>
    <w:p>
      <w:pPr>
        <w:spacing w:before="0" w:after="120" w:line="330" w:lineRule="exact"/>
        <w:jc w:val="left"/>
      </w:pPr>
      <w:r>
        <w:rPr>
          <w:rFonts w:ascii="Times New Roman" w:hAnsi="Times New Roman"/>
          <w:b w:val="0"/>
          <w:i w:val="0"/>
          <w:sz w:val="22"/>
        </w:rPr>
        <w:t>10. Conclusiones</w:t>
      </w:r>
    </w:p>
    <w:p>
      <w:r>
        <w:br w:type="page"/>
      </w:r>
    </w:p>
    <w:p>
      <w:pPr>
        <w:pStyle w:val="Heading1"/>
        <w:jc w:val="left"/>
      </w:pPr>
      <w:r>
        <w:rPr>
          <w:rFonts w:ascii="Times New Roman" w:hAnsi="Times New Roman"/>
          <w:color w:val="000000"/>
        </w:rPr>
        <w:t>1. Introducción</w:t>
      </w:r>
    </w:p>
    <w:p>
      <w:pPr>
        <w:spacing w:before="0" w:after="120" w:line="330" w:lineRule="exact"/>
        <w:jc w:val="both"/>
      </w:pPr>
      <w:r>
        <w:rPr>
          <w:rFonts w:ascii="Times New Roman" w:hAnsi="Times New Roman"/>
          <w:b w:val="0"/>
          <w:i w:val="0"/>
          <w:sz w:val="22"/>
        </w:rPr>
        <w:t>El presente informe corresponde al entregable del Sprint 1 de la asignatura de Arquitectura de Software, cuyo objetivo es documentar las decisiones arquitectónicas iniciales del sistema de banca digital desarrollado con Java 17 y Spring Boot 3. En este sprint se definió la estructura base del proyecto, el estilo arquitectónico adoptado, los diagramas de paquetes y componentes, así como la implementación de las primeras historias de usuario priorizadas y la verificación del despliegue en entorno local.</w:t>
      </w:r>
    </w:p>
    <w:p>
      <w:pPr>
        <w:pStyle w:val="Heading1"/>
        <w:jc w:val="left"/>
      </w:pPr>
      <w:r>
        <w:rPr>
          <w:rFonts w:ascii="Times New Roman" w:hAnsi="Times New Roman"/>
          <w:color w:val="000000"/>
        </w:rPr>
        <w:t>2. Descripción General del Sistema</w:t>
      </w:r>
    </w:p>
    <w:p>
      <w:pPr>
        <w:spacing w:before="0" w:after="120" w:line="330" w:lineRule="exact"/>
        <w:jc w:val="both"/>
      </w:pPr>
      <w:r>
        <w:rPr>
          <w:rFonts w:ascii="Times New Roman" w:hAnsi="Times New Roman"/>
          <w:b w:val="0"/>
          <w:i w:val="0"/>
          <w:sz w:val="22"/>
        </w:rPr>
        <w:t>El sistema Banco Digital es una aplicación de backend desarrollada sobre el ecosistema Spring Boot 3 con Java 17, cuya finalidad es proveer servicios REST para la gestión de clientes, cuentas bancarias y transacciones financieras. La persistencia de datos se realiza mediante PostgreSQL, y el acceso a la base de datos se gestiona a través de Spring Data JPA. La seguridad del sistema se implementa con Spring Security y tokens JWT.</w:t>
      </w:r>
    </w:p>
    <w:p>
      <w:pPr>
        <w:pStyle w:val="Heading2"/>
        <w:jc w:val="left"/>
      </w:pPr>
      <w:r>
        <w:rPr>
          <w:rFonts w:ascii="Times New Roman" w:hAnsi="Times New Roman"/>
          <w:color w:val="000000"/>
        </w:rPr>
        <w:t>2.1 Stack Tecnológico</w:t>
      </w:r>
    </w:p>
    <w:p>
      <w:pPr>
        <w:pStyle w:val="ListBullet"/>
        <w:spacing w:line="330" w:lineRule="exact" w:after="60"/>
      </w:pPr>
      <w:r>
        <w:rPr>
          <w:rFonts w:ascii="Times New Roman" w:hAnsi="Times New Roman"/>
          <w:sz w:val="22"/>
        </w:rPr>
        <w:t>Lenguaje: Java 17</w:t>
      </w:r>
    </w:p>
    <w:p>
      <w:pPr>
        <w:pStyle w:val="ListBullet"/>
        <w:spacing w:line="330" w:lineRule="exact" w:after="60"/>
      </w:pPr>
      <w:r>
        <w:rPr>
          <w:rFonts w:ascii="Times New Roman" w:hAnsi="Times New Roman"/>
          <w:sz w:val="22"/>
        </w:rPr>
        <w:t>Framework: Spring Boot 3</w:t>
      </w:r>
    </w:p>
    <w:p>
      <w:pPr>
        <w:pStyle w:val="ListBullet"/>
        <w:spacing w:line="330" w:lineRule="exact" w:after="60"/>
      </w:pPr>
      <w:r>
        <w:rPr>
          <w:rFonts w:ascii="Times New Roman" w:hAnsi="Times New Roman"/>
          <w:sz w:val="22"/>
        </w:rPr>
        <w:t>Base de datos: PostgreSQL 14+</w:t>
      </w:r>
    </w:p>
    <w:p>
      <w:pPr>
        <w:pStyle w:val="ListBullet"/>
        <w:spacing w:line="330" w:lineRule="exact" w:after="60"/>
      </w:pPr>
      <w:r>
        <w:rPr>
          <w:rFonts w:ascii="Times New Roman" w:hAnsi="Times New Roman"/>
          <w:sz w:val="22"/>
        </w:rPr>
        <w:t>ORM: Spring Data JPA / Hibernate</w:t>
      </w:r>
    </w:p>
    <w:p>
      <w:pPr>
        <w:pStyle w:val="ListBullet"/>
        <w:spacing w:line="330" w:lineRule="exact" w:after="60"/>
      </w:pPr>
      <w:r>
        <w:rPr>
          <w:rFonts w:ascii="Times New Roman" w:hAnsi="Times New Roman"/>
          <w:sz w:val="22"/>
        </w:rPr>
        <w:t>Seguridad: Spring Security + JWT (JJWT 0.12.6)</w:t>
      </w:r>
    </w:p>
    <w:p>
      <w:pPr>
        <w:pStyle w:val="ListBullet"/>
        <w:spacing w:line="330" w:lineRule="exact" w:after="60"/>
      </w:pPr>
      <w:r>
        <w:rPr>
          <w:rFonts w:ascii="Times New Roman" w:hAnsi="Times New Roman"/>
          <w:sz w:val="22"/>
        </w:rPr>
        <w:t>Reducción de código repetitivo: Lombok</w:t>
      </w:r>
    </w:p>
    <w:p>
      <w:pPr>
        <w:pStyle w:val="ListBullet"/>
        <w:spacing w:line="330" w:lineRule="exact" w:after="60"/>
      </w:pPr>
      <w:r>
        <w:rPr>
          <w:rFonts w:ascii="Times New Roman" w:hAnsi="Times New Roman"/>
          <w:sz w:val="22"/>
        </w:rPr>
        <w:t>Validación: Spring Validation (Jakarta Bean Validation)</w:t>
      </w:r>
    </w:p>
    <w:p>
      <w:pPr>
        <w:pStyle w:val="ListBullet"/>
        <w:spacing w:line="330" w:lineRule="exact" w:after="60"/>
      </w:pPr>
      <w:r>
        <w:rPr>
          <w:rFonts w:ascii="Times New Roman" w:hAnsi="Times New Roman"/>
          <w:sz w:val="22"/>
        </w:rPr>
        <w:t>Documentación API: SpringDoc OpenAPI / Swagger UI</w:t>
      </w:r>
    </w:p>
    <w:p>
      <w:pPr>
        <w:pStyle w:val="ListBullet"/>
        <w:spacing w:line="330" w:lineRule="exact" w:after="60"/>
      </w:pPr>
      <w:r>
        <w:rPr>
          <w:rFonts w:ascii="Times New Roman" w:hAnsi="Times New Roman"/>
          <w:sz w:val="22"/>
        </w:rPr>
        <w:t>Control de versiones: Git / GitHub</w:t>
      </w:r>
    </w:p>
    <w:p>
      <w:pPr>
        <w:pStyle w:val="ListBullet"/>
        <w:spacing w:line="330" w:lineRule="exact" w:after="60"/>
      </w:pPr>
      <w:r>
        <w:rPr>
          <w:rFonts w:ascii="Times New Roman" w:hAnsi="Times New Roman"/>
          <w:sz w:val="22"/>
        </w:rPr>
        <w:t>Construcción: Apache Maven</w:t>
      </w:r>
    </w:p>
    <w:p>
      <w:pPr>
        <w:jc w:val="center"/>
      </w:pPr>
      <w:r>
        <w:drawing>
          <wp:inline xmlns:a="http://schemas.openxmlformats.org/drawingml/2006/main" xmlns:pic="http://schemas.openxmlformats.org/drawingml/2006/picture">
            <wp:extent cx="4680000" cy="3198000"/>
            <wp:docPr id="1" name="Picture 1"/>
            <wp:cNvGraphicFramePr>
              <a:graphicFrameLocks noChangeAspect="1"/>
            </wp:cNvGraphicFramePr>
            <a:graphic>
              <a:graphicData uri="http://schemas.openxmlformats.org/drawingml/2006/picture">
                <pic:pic>
                  <pic:nvPicPr>
                    <pic:cNvPr id="0" name="stack_tecnologico_banco_digital.png"/>
                    <pic:cNvPicPr/>
                  </pic:nvPicPr>
                  <pic:blipFill>
                    <a:blip r:embed="rId10"/>
                    <a:stretch>
                      <a:fillRect/>
                    </a:stretch>
                  </pic:blipFill>
                  <pic:spPr>
                    <a:xfrm>
                      <a:off x="0" y="0"/>
                      <a:ext cx="4680000" cy="3198000"/>
                    </a:xfrm>
                    <a:prstGeom prst="rect"/>
                  </pic:spPr>
                </pic:pic>
              </a:graphicData>
            </a:graphic>
          </wp:inline>
        </w:drawing>
      </w:r>
    </w:p>
    <w:p>
      <w:pPr>
        <w:spacing w:after="200"/>
        <w:jc w:val="center"/>
      </w:pPr>
      <w:r>
        <w:rPr>
          <w:rFonts w:ascii="Times New Roman" w:hAnsi="Times New Roman"/>
          <w:i/>
          <w:sz w:val="20"/>
        </w:rPr>
        <w:t>Figura 1. Stack tecnológico del sistema Banco Digital.</w:t>
      </w:r>
    </w:p>
    <w:p>
      <w:pPr>
        <w:pStyle w:val="Heading1"/>
        <w:jc w:val="left"/>
      </w:pPr>
      <w:r>
        <w:rPr>
          <w:rFonts w:ascii="Times New Roman" w:hAnsi="Times New Roman"/>
          <w:color w:val="000000"/>
        </w:rPr>
        <w:t>3. Estilo Arquitectónico</w:t>
      </w:r>
    </w:p>
    <w:p>
      <w:pPr>
        <w:spacing w:before="0" w:after="120" w:line="330" w:lineRule="exact"/>
        <w:jc w:val="both"/>
      </w:pPr>
      <w:r>
        <w:rPr>
          <w:rFonts w:ascii="Times New Roman" w:hAnsi="Times New Roman"/>
          <w:b w:val="0"/>
          <w:i w:val="0"/>
          <w:sz w:val="22"/>
        </w:rPr>
        <w:t>El sistema Backend Banco Digital adopta el patrón de Arquitectura en Capas (Layered Architecture). Este estilo establece una separación estricta de responsabilidades, donde cada capa solo puede comunicarse con la capa inmediatamente adyacente, prohibiendo el salto de capas. Esta decisión facilita la mantenibilidad, la escalabilidad y el trabajo colaborativo del equipo.</w:t>
      </w:r>
    </w:p>
    <w:p>
      <w:pPr>
        <w:pStyle w:val="Heading2"/>
        <w:jc w:val="left"/>
      </w:pPr>
      <w:r>
        <w:rPr>
          <w:rFonts w:ascii="Times New Roman" w:hAnsi="Times New Roman"/>
          <w:color w:val="000000"/>
        </w:rPr>
        <w:t>3.1 Flujo General de Capas</w:t>
      </w:r>
    </w:p>
    <w:p>
      <w:pPr>
        <w:spacing w:before="0" w:after="120" w:line="330" w:lineRule="exact"/>
        <w:jc w:val="both"/>
      </w:pPr>
      <w:r>
        <w:rPr>
          <w:rFonts w:ascii="Times New Roman" w:hAnsi="Times New Roman"/>
          <w:b w:val="0"/>
          <w:i w:val="0"/>
          <w:sz w:val="22"/>
        </w:rPr>
        <w:t>El flujo de ejecución ante una petición HTTP sigue la secuencia: Controller → Service → Repository → Base de datos. La respuesta regresa en sentido inverso, pasando por el Mapper para convertir entidades en DTOs antes de salir al cliente.</w:t>
      </w:r>
    </w:p>
    <w:p>
      <w:pPr>
        <w:jc w:val="center"/>
      </w:pPr>
      <w:r>
        <w:drawing>
          <wp:inline xmlns:a="http://schemas.openxmlformats.org/drawingml/2006/main" xmlns:pic="http://schemas.openxmlformats.org/drawingml/2006/picture">
            <wp:extent cx="4680000" cy="5371600"/>
            <wp:docPr id="2" name="Picture 2"/>
            <wp:cNvGraphicFramePr>
              <a:graphicFrameLocks noChangeAspect="1"/>
            </wp:cNvGraphicFramePr>
            <a:graphic>
              <a:graphicData uri="http://schemas.openxmlformats.org/drawingml/2006/picture">
                <pic:pic>
                  <pic:nvPicPr>
                    <pic:cNvPr id="0" name="flujo_capas.png"/>
                    <pic:cNvPicPr/>
                  </pic:nvPicPr>
                  <pic:blipFill>
                    <a:blip r:embed="rId11"/>
                    <a:stretch>
                      <a:fillRect/>
                    </a:stretch>
                  </pic:blipFill>
                  <pic:spPr>
                    <a:xfrm>
                      <a:off x="0" y="0"/>
                      <a:ext cx="4680000" cy="5371600"/>
                    </a:xfrm>
                    <a:prstGeom prst="rect"/>
                  </pic:spPr>
                </pic:pic>
              </a:graphicData>
            </a:graphic>
          </wp:inline>
        </w:drawing>
      </w:r>
    </w:p>
    <w:p>
      <w:pPr>
        <w:spacing w:after="200"/>
        <w:jc w:val="center"/>
      </w:pPr>
      <w:r>
        <w:rPr>
          <w:rFonts w:ascii="Times New Roman" w:hAnsi="Times New Roman"/>
          <w:i/>
          <w:sz w:val="20"/>
        </w:rPr>
        <w:t>Figura 2. Flujo general de la arquitectura en capas.</w:t>
      </w:r>
    </w:p>
    <w:p>
      <w:pPr>
        <w:pStyle w:val="Heading2"/>
        <w:jc w:val="left"/>
      </w:pPr>
      <w:r>
        <w:rPr>
          <w:rFonts w:ascii="Times New Roman" w:hAnsi="Times New Roman"/>
          <w:color w:val="000000"/>
        </w:rPr>
        <w:t>3.2 Descripción de Capas</w:t>
      </w:r>
    </w:p>
    <w:p>
      <w:pPr>
        <w:pStyle w:val="Heading3"/>
        <w:jc w:val="left"/>
      </w:pPr>
      <w:r>
        <w:rPr>
          <w:rFonts w:ascii="Times New Roman" w:hAnsi="Times New Roman"/>
          <w:color w:val="000000"/>
        </w:rPr>
        <w:t>Controller — Capa de Presentación</w:t>
      </w:r>
    </w:p>
    <w:p>
      <w:pPr>
        <w:spacing w:before="0" w:after="120" w:line="330" w:lineRule="exact"/>
        <w:jc w:val="both"/>
      </w:pPr>
      <w:r>
        <w:rPr>
          <w:rFonts w:ascii="Times New Roman" w:hAnsi="Times New Roman"/>
          <w:b w:val="0"/>
          <w:i w:val="0"/>
          <w:sz w:val="22"/>
        </w:rPr>
        <w:t>Actúa como la puerta de entrada del sistema. Recibe las peticiones HTTP, las transforma en DTOs y las delega al Service. No contiene lógica de negocio. Siempre retorna ResponseEntity y documenta sus endpoints con anotaciones Swagger.</w:t>
      </w:r>
    </w:p>
    <w:p>
      <w:pPr>
        <w:pStyle w:val="Heading3"/>
        <w:jc w:val="left"/>
      </w:pPr>
      <w:r>
        <w:rPr>
          <w:rFonts w:ascii="Times New Roman" w:hAnsi="Times New Roman"/>
          <w:color w:val="000000"/>
        </w:rPr>
        <w:t>Service — Capa de Lógica de Negocio</w:t>
      </w:r>
    </w:p>
    <w:p>
      <w:pPr>
        <w:spacing w:before="0" w:after="120" w:line="330" w:lineRule="exact"/>
        <w:jc w:val="both"/>
      </w:pPr>
      <w:r>
        <w:rPr>
          <w:rFonts w:ascii="Times New Roman" w:hAnsi="Times New Roman"/>
          <w:b w:val="0"/>
          <w:i w:val="0"/>
          <w:sz w:val="22"/>
        </w:rPr>
        <w:t>Contiene toda la lógica del negocio: validaciones, reglas, orquestación y coordinación entre el Repository y el Mapper. Siempre se define como interfaz más implementación separada (ServiceImpl), garantizando inversión de dependencias.</w:t>
      </w:r>
    </w:p>
    <w:p>
      <w:pPr>
        <w:pStyle w:val="Heading3"/>
        <w:jc w:val="left"/>
      </w:pPr>
      <w:r>
        <w:rPr>
          <w:rFonts w:ascii="Times New Roman" w:hAnsi="Times New Roman"/>
          <w:color w:val="000000"/>
        </w:rPr>
        <w:t>Mapper — Capa de Conversión</w:t>
      </w:r>
    </w:p>
    <w:p>
      <w:pPr>
        <w:spacing w:before="0" w:after="120" w:line="330" w:lineRule="exact"/>
        <w:jc w:val="both"/>
      </w:pPr>
      <w:r>
        <w:rPr>
          <w:rFonts w:ascii="Times New Roman" w:hAnsi="Times New Roman"/>
          <w:b w:val="0"/>
          <w:i w:val="0"/>
          <w:sz w:val="22"/>
        </w:rPr>
        <w:t>Convierte entidades JPA en DTOs y viceversa. Es la única clase autorizada para realizar esta transformación. Cada entidad tiene exactamente un Mapper anotado con @Component. Sus métodos estándar son aDTO() y aEntidad().</w:t>
      </w:r>
    </w:p>
    <w:p>
      <w:pPr>
        <w:pStyle w:val="Heading3"/>
        <w:jc w:val="left"/>
      </w:pPr>
      <w:r>
        <w:rPr>
          <w:rFonts w:ascii="Times New Roman" w:hAnsi="Times New Roman"/>
          <w:color w:val="000000"/>
        </w:rPr>
        <w:t>Repository — Capa de Persistencia</w:t>
      </w:r>
    </w:p>
    <w:p>
      <w:pPr>
        <w:spacing w:before="0" w:after="120" w:line="330" w:lineRule="exact"/>
        <w:jc w:val="both"/>
      </w:pPr>
      <w:r>
        <w:rPr>
          <w:rFonts w:ascii="Times New Roman" w:hAnsi="Times New Roman"/>
          <w:b w:val="0"/>
          <w:i w:val="0"/>
          <w:sz w:val="22"/>
        </w:rPr>
        <w:t>Gestiona el acceso a la base de datos PostgreSQL extendiendo JpaRepository. Recibe parámetros primitivos o entidades, y siempre devuelve entidades; nunca DTOs.</w:t>
      </w:r>
    </w:p>
    <w:p>
      <w:pPr>
        <w:pStyle w:val="Heading3"/>
        <w:jc w:val="left"/>
      </w:pPr>
      <w:r>
        <w:rPr>
          <w:rFonts w:ascii="Times New Roman" w:hAnsi="Times New Roman"/>
          <w:color w:val="000000"/>
        </w:rPr>
        <w:t>Entity — Modelo de Datos</w:t>
      </w:r>
    </w:p>
    <w:p>
      <w:pPr>
        <w:spacing w:before="0" w:after="120" w:line="330" w:lineRule="exact"/>
        <w:jc w:val="both"/>
      </w:pPr>
      <w:r>
        <w:rPr>
          <w:rFonts w:ascii="Times New Roman" w:hAnsi="Times New Roman"/>
          <w:b w:val="0"/>
          <w:i w:val="0"/>
          <w:sz w:val="22"/>
        </w:rPr>
        <w:t>Representa las tablas de la base de datos como clases Java anotadas con @Entity. Nunca sale del Repository: el Mapper la convierte antes de que llegue al Controller.</w:t>
      </w:r>
    </w:p>
    <w:p>
      <w:pPr>
        <w:pStyle w:val="Heading3"/>
        <w:jc w:val="left"/>
      </w:pPr>
      <w:r>
        <w:rPr>
          <w:rFonts w:ascii="Times New Roman" w:hAnsi="Times New Roman"/>
          <w:color w:val="000000"/>
        </w:rPr>
        <w:t>DTO — Transferencia de Datos</w:t>
      </w:r>
    </w:p>
    <w:p>
      <w:pPr>
        <w:spacing w:before="0" w:after="120" w:line="330" w:lineRule="exact"/>
        <w:jc w:val="both"/>
      </w:pPr>
      <w:r>
        <w:rPr>
          <w:rFonts w:ascii="Times New Roman" w:hAnsi="Times New Roman"/>
          <w:b w:val="0"/>
          <w:i w:val="0"/>
          <w:sz w:val="22"/>
        </w:rPr>
        <w:t>Define los objetos que entran y salen del sistema, protegiendo las entidades JPA de quedar expuestas directamente al cliente.</w:t>
      </w:r>
    </w:p>
    <w:p>
      <w:pPr>
        <w:pStyle w:val="Heading3"/>
        <w:jc w:val="left"/>
      </w:pPr>
      <w:r>
        <w:rPr>
          <w:rFonts w:ascii="Times New Roman" w:hAnsi="Times New Roman"/>
          <w:color w:val="000000"/>
        </w:rPr>
        <w:t>Exception — Manejo de Errores</w:t>
      </w:r>
    </w:p>
    <w:p>
      <w:pPr>
        <w:spacing w:before="0" w:after="120" w:line="330" w:lineRule="exact"/>
        <w:jc w:val="both"/>
      </w:pPr>
      <w:r>
        <w:rPr>
          <w:rFonts w:ascii="Times New Roman" w:hAnsi="Times New Roman"/>
          <w:b w:val="0"/>
          <w:i w:val="0"/>
          <w:sz w:val="22"/>
        </w:rPr>
        <w:t>Centraliza el manejo de errores mediante excepciones de negocio personalizadas y el GlobalExceptionHandler (@RestControllerAdvice), que mapea cada excepción a un código HTTP apropiado.</w:t>
      </w:r>
    </w:p>
    <w:p>
      <w:pPr>
        <w:pStyle w:val="Heading3"/>
        <w:jc w:val="left"/>
      </w:pPr>
      <w:r>
        <w:rPr>
          <w:rFonts w:ascii="Times New Roman" w:hAnsi="Times New Roman"/>
          <w:color w:val="000000"/>
        </w:rPr>
        <w:t>Security — Autenticación y Autorización</w:t>
      </w:r>
    </w:p>
    <w:p>
      <w:pPr>
        <w:spacing w:before="0" w:after="120" w:line="330" w:lineRule="exact"/>
        <w:jc w:val="both"/>
      </w:pPr>
      <w:r>
        <w:rPr>
          <w:rFonts w:ascii="Times New Roman" w:hAnsi="Times New Roman"/>
          <w:b w:val="0"/>
          <w:i w:val="0"/>
          <w:sz w:val="22"/>
        </w:rPr>
        <w:t>Módulo de seguridad basado en JWT. Compuesto por JwtUtil (generación y validación de tokens), FiltroJwt (interceptor de cada request), UsuarioDetallesService (adaptador UserDetails) y ConfiguracionSeguridad (rutas públicas/protegidas y cadena de filtros).</w:t>
      </w:r>
    </w:p>
    <w:p>
      <w:pPr>
        <w:pStyle w:val="Heading1"/>
        <w:jc w:val="left"/>
      </w:pPr>
      <w:r>
        <w:rPr>
          <w:rFonts w:ascii="Times New Roman" w:hAnsi="Times New Roman"/>
          <w:color w:val="000000"/>
        </w:rPr>
        <w:t>4. Diagrama de Paquetes</w:t>
      </w:r>
    </w:p>
    <w:p>
      <w:pPr>
        <w:spacing w:before="0" w:after="120" w:line="330" w:lineRule="exact"/>
        <w:jc w:val="both"/>
      </w:pPr>
      <w:r>
        <w:rPr>
          <w:rFonts w:ascii="Times New Roman" w:hAnsi="Times New Roman"/>
          <w:b w:val="0"/>
          <w:i w:val="0"/>
          <w:sz w:val="22"/>
        </w:rPr>
        <w:t>El sistema se organiza en los siguientes paquetes dentro de la ruta base src/main/java/fe/banco_digital/. Cada paquete agrupa clases con una responsabilidad común y sigue las convenciones de nomenclatura en español definidas por el equipo.</w:t>
      </w:r>
    </w:p>
    <w:p>
      <w:pPr>
        <w:jc w:val="center"/>
      </w:pPr>
      <w:r>
        <w:drawing>
          <wp:inline xmlns:a="http://schemas.openxmlformats.org/drawingml/2006/main" xmlns:pic="http://schemas.openxmlformats.org/drawingml/2006/picture">
            <wp:extent cx="4680000" cy="1180588"/>
            <wp:docPr id="3" name="Picture 3"/>
            <wp:cNvGraphicFramePr>
              <a:graphicFrameLocks noChangeAspect="1"/>
            </wp:cNvGraphicFramePr>
            <a:graphic>
              <a:graphicData uri="http://schemas.openxmlformats.org/drawingml/2006/picture">
                <pic:pic>
                  <pic:nvPicPr>
                    <pic:cNvPr id="0" name="paquetes.png"/>
                    <pic:cNvPicPr/>
                  </pic:nvPicPr>
                  <pic:blipFill>
                    <a:blip r:embed="rId12"/>
                    <a:stretch>
                      <a:fillRect/>
                    </a:stretch>
                  </pic:blipFill>
                  <pic:spPr>
                    <a:xfrm>
                      <a:off x="0" y="0"/>
                      <a:ext cx="4680000" cy="1180588"/>
                    </a:xfrm>
                    <a:prstGeom prst="rect"/>
                  </pic:spPr>
                </pic:pic>
              </a:graphicData>
            </a:graphic>
          </wp:inline>
        </w:drawing>
      </w:r>
    </w:p>
    <w:p>
      <w:pPr>
        <w:spacing w:after="200"/>
        <w:jc w:val="center"/>
      </w:pPr>
      <w:r>
        <w:rPr>
          <w:rFonts w:ascii="Times New Roman" w:hAnsi="Times New Roman"/>
          <w:i/>
          <w:sz w:val="20"/>
        </w:rPr>
        <w:t>Figura 3. Diagrama de paquetes del sistema Banco Digital.</w:t>
      </w:r>
    </w:p>
    <w:p>
      <w:pPr>
        <w:pStyle w:val="Heading2"/>
        <w:jc w:val="left"/>
      </w:pPr>
      <w:r>
        <w:rPr>
          <w:rFonts w:ascii="Times New Roman" w:hAnsi="Times New Roman"/>
          <w:color w:val="000000"/>
        </w:rPr>
        <w:t>4.1 Estructura de Carpetas</w:t>
      </w:r>
    </w:p>
    <w:p>
      <w:pPr>
        <w:pStyle w:val="ListBullet"/>
        <w:spacing w:line="330" w:lineRule="exact" w:after="60"/>
      </w:pPr>
      <w:r>
        <w:rPr>
          <w:rFonts w:ascii="Times New Roman" w:hAnsi="Times New Roman"/>
          <w:sz w:val="22"/>
        </w:rPr>
        <w:t>controller/    — Endpoints REST. Ej: AutenticacionController, PerfilController</w:t>
      </w:r>
    </w:p>
    <w:p>
      <w:pPr>
        <w:pStyle w:val="ListBullet"/>
        <w:spacing w:line="330" w:lineRule="exact" w:after="60"/>
      </w:pPr>
      <w:r>
        <w:rPr>
          <w:rFonts w:ascii="Times New Roman" w:hAnsi="Times New Roman"/>
          <w:sz w:val="22"/>
        </w:rPr>
        <w:t>service/       — Interfaces + implementaciones. Ej: ClienteService, ClienteServiceImpl</w:t>
      </w:r>
    </w:p>
    <w:p>
      <w:pPr>
        <w:pStyle w:val="ListBullet"/>
        <w:spacing w:line="330" w:lineRule="exact" w:after="60"/>
      </w:pPr>
      <w:r>
        <w:rPr>
          <w:rFonts w:ascii="Times New Roman" w:hAnsi="Times New Roman"/>
          <w:sz w:val="22"/>
        </w:rPr>
        <w:t>mapper/        — Conversión entidad ↔ DTO. Ej: UsuarioMapper, AutenticacionMapper</w:t>
      </w:r>
    </w:p>
    <w:p>
      <w:pPr>
        <w:pStyle w:val="ListBullet"/>
        <w:spacing w:line="330" w:lineRule="exact" w:after="60"/>
      </w:pPr>
      <w:r>
        <w:rPr>
          <w:rFonts w:ascii="Times New Roman" w:hAnsi="Times New Roman"/>
          <w:sz w:val="22"/>
        </w:rPr>
        <w:t>repository/    — Acceso JPA. Ej: ClienteRepository, RefreshTokenRepository</w:t>
      </w:r>
    </w:p>
    <w:p>
      <w:pPr>
        <w:pStyle w:val="ListBullet"/>
        <w:spacing w:line="330" w:lineRule="exact" w:after="60"/>
      </w:pPr>
      <w:r>
        <w:rPr>
          <w:rFonts w:ascii="Times New Roman" w:hAnsi="Times New Roman"/>
          <w:sz w:val="22"/>
        </w:rPr>
        <w:t>entity/        — Entidades JPA: Cliente, Cuenta, Usuario, Rol, Transaccion, Auditoria</w:t>
      </w:r>
    </w:p>
    <w:p>
      <w:pPr>
        <w:pStyle w:val="ListBullet"/>
        <w:spacing w:line="330" w:lineRule="exact" w:after="60"/>
      </w:pPr>
      <w:r>
        <w:rPr>
          <w:rFonts w:ascii="Times New Roman" w:hAnsi="Times New Roman"/>
          <w:sz w:val="22"/>
        </w:rPr>
        <w:t>dto/           — DTOs de entrada/salida. Ej: LoginRequestDTO, ProfileDTO</w:t>
      </w:r>
    </w:p>
    <w:p>
      <w:pPr>
        <w:pStyle w:val="ListBullet"/>
        <w:spacing w:line="330" w:lineRule="exact" w:after="60"/>
      </w:pPr>
      <w:r>
        <w:rPr>
          <w:rFonts w:ascii="Times New Roman" w:hAnsi="Times New Roman"/>
          <w:sz w:val="22"/>
        </w:rPr>
        <w:t>exception/     — GlobalExceptionHandler y excepciones personalizadas</w:t>
      </w:r>
    </w:p>
    <w:p>
      <w:pPr>
        <w:pStyle w:val="ListBullet"/>
        <w:spacing w:line="330" w:lineRule="exact" w:after="60"/>
      </w:pPr>
      <w:r>
        <w:rPr>
          <w:rFonts w:ascii="Times New Roman" w:hAnsi="Times New Roman"/>
          <w:sz w:val="22"/>
        </w:rPr>
        <w:t>security/      — JwtUtil, FiltroJwt, UsuarioDetallesService, ConfiguracionSeguridad</w:t>
      </w:r>
    </w:p>
    <w:p>
      <w:pPr>
        <w:pStyle w:val="Heading1"/>
        <w:jc w:val="left"/>
      </w:pPr>
      <w:r>
        <w:rPr>
          <w:rFonts w:ascii="Times New Roman" w:hAnsi="Times New Roman"/>
          <w:color w:val="000000"/>
        </w:rPr>
        <w:t>5. Diagrama de Componentes</w:t>
      </w:r>
    </w:p>
    <w:p>
      <w:pPr>
        <w:spacing w:before="0" w:after="120" w:line="330" w:lineRule="exact"/>
        <w:jc w:val="both"/>
      </w:pPr>
      <w:r>
        <w:rPr>
          <w:rFonts w:ascii="Times New Roman" w:hAnsi="Times New Roman"/>
          <w:b w:val="0"/>
          <w:i w:val="0"/>
          <w:sz w:val="22"/>
        </w:rPr>
        <w:t>El diagrama de componentes muestra las reglas de comunicación entre las capas del sistema, definiendo explícitamente qué capa puede invocar a cuál y qué comunicaciones están prohibidas.</w:t>
      </w:r>
    </w:p>
    <w:p>
      <w:pPr>
        <w:jc w:val="center"/>
      </w:pPr>
      <w:r>
        <w:drawing>
          <wp:inline xmlns:a="http://schemas.openxmlformats.org/drawingml/2006/main" xmlns:pic="http://schemas.openxmlformats.org/drawingml/2006/picture">
            <wp:extent cx="5040000" cy="1060452"/>
            <wp:docPr id="4" name="Picture 4"/>
            <wp:cNvGraphicFramePr>
              <a:graphicFrameLocks noChangeAspect="1"/>
            </wp:cNvGraphicFramePr>
            <a:graphic>
              <a:graphicData uri="http://schemas.openxmlformats.org/drawingml/2006/picture">
                <pic:pic>
                  <pic:nvPicPr>
                    <pic:cNvPr id="0" name="comunicacion.png"/>
                    <pic:cNvPicPr/>
                  </pic:nvPicPr>
                  <pic:blipFill>
                    <a:blip r:embed="rId13"/>
                    <a:stretch>
                      <a:fillRect/>
                    </a:stretch>
                  </pic:blipFill>
                  <pic:spPr>
                    <a:xfrm>
                      <a:off x="0" y="0"/>
                      <a:ext cx="5040000" cy="1060452"/>
                    </a:xfrm>
                    <a:prstGeom prst="rect"/>
                  </pic:spPr>
                </pic:pic>
              </a:graphicData>
            </a:graphic>
          </wp:inline>
        </w:drawing>
      </w:r>
    </w:p>
    <w:p>
      <w:pPr>
        <w:spacing w:after="200"/>
        <w:jc w:val="center"/>
      </w:pPr>
      <w:r>
        <w:rPr>
          <w:rFonts w:ascii="Times New Roman" w:hAnsi="Times New Roman"/>
          <w:i/>
          <w:sz w:val="20"/>
        </w:rPr>
        <w:t>Figura 4. Diagrama de componentes — reglas de comunicación entre capas.</w:t>
      </w:r>
    </w:p>
    <w:p>
      <w:pPr>
        <w:pStyle w:val="Heading2"/>
        <w:jc w:val="left"/>
      </w:pPr>
      <w:r>
        <w:rPr>
          <w:rFonts w:ascii="Times New Roman" w:hAnsi="Times New Roman"/>
          <w:color w:val="000000"/>
        </w:rPr>
        <w:t>5.1 Flujo del Controller</w:t>
      </w:r>
    </w:p>
    <w:p>
      <w:pPr>
        <w:jc w:val="center"/>
      </w:pPr>
      <w:r>
        <w:drawing>
          <wp:inline xmlns:a="http://schemas.openxmlformats.org/drawingml/2006/main" xmlns:pic="http://schemas.openxmlformats.org/drawingml/2006/picture">
            <wp:extent cx="4680000" cy="360000"/>
            <wp:docPr id="5" name="Picture 5"/>
            <wp:cNvGraphicFramePr>
              <a:graphicFrameLocks noChangeAspect="1"/>
            </wp:cNvGraphicFramePr>
            <a:graphic>
              <a:graphicData uri="http://schemas.openxmlformats.org/drawingml/2006/picture">
                <pic:pic>
                  <pic:nvPicPr>
                    <pic:cNvPr id="0" name="controller.png"/>
                    <pic:cNvPicPr/>
                  </pic:nvPicPr>
                  <pic:blipFill>
                    <a:blip r:embed="rId14"/>
                    <a:stretch>
                      <a:fillRect/>
                    </a:stretch>
                  </pic:blipFill>
                  <pic:spPr>
                    <a:xfrm>
                      <a:off x="0" y="0"/>
                      <a:ext cx="4680000" cy="360000"/>
                    </a:xfrm>
                    <a:prstGeom prst="rect"/>
                  </pic:spPr>
                </pic:pic>
              </a:graphicData>
            </a:graphic>
          </wp:inline>
        </w:drawing>
      </w:r>
    </w:p>
    <w:p>
      <w:pPr>
        <w:spacing w:after="200"/>
        <w:jc w:val="center"/>
      </w:pPr>
      <w:r>
        <w:rPr>
          <w:rFonts w:ascii="Times New Roman" w:hAnsi="Times New Roman"/>
          <w:i/>
          <w:sz w:val="20"/>
        </w:rPr>
        <w:t>Figura 5. Flujo interno del Controller.</w:t>
      </w:r>
    </w:p>
    <w:p>
      <w:pPr>
        <w:pStyle w:val="Heading2"/>
        <w:jc w:val="left"/>
      </w:pPr>
      <w:r>
        <w:rPr>
          <w:rFonts w:ascii="Times New Roman" w:hAnsi="Times New Roman"/>
          <w:color w:val="000000"/>
        </w:rPr>
        <w:t>5.2 Flujo del Service</w:t>
      </w:r>
    </w:p>
    <w:p>
      <w:pPr>
        <w:jc w:val="center"/>
      </w:pPr>
      <w:r>
        <w:drawing>
          <wp:inline xmlns:a="http://schemas.openxmlformats.org/drawingml/2006/main" xmlns:pic="http://schemas.openxmlformats.org/drawingml/2006/picture">
            <wp:extent cx="4680000" cy="365294"/>
            <wp:docPr id="6" name="Picture 6"/>
            <wp:cNvGraphicFramePr>
              <a:graphicFrameLocks noChangeAspect="1"/>
            </wp:cNvGraphicFramePr>
            <a:graphic>
              <a:graphicData uri="http://schemas.openxmlformats.org/drawingml/2006/picture">
                <pic:pic>
                  <pic:nvPicPr>
                    <pic:cNvPr id="0" name="service.png"/>
                    <pic:cNvPicPr/>
                  </pic:nvPicPr>
                  <pic:blipFill>
                    <a:blip r:embed="rId15"/>
                    <a:stretch>
                      <a:fillRect/>
                    </a:stretch>
                  </pic:blipFill>
                  <pic:spPr>
                    <a:xfrm>
                      <a:off x="0" y="0"/>
                      <a:ext cx="4680000" cy="365294"/>
                    </a:xfrm>
                    <a:prstGeom prst="rect"/>
                  </pic:spPr>
                </pic:pic>
              </a:graphicData>
            </a:graphic>
          </wp:inline>
        </w:drawing>
      </w:r>
    </w:p>
    <w:p>
      <w:pPr>
        <w:spacing w:after="200"/>
        <w:jc w:val="center"/>
      </w:pPr>
      <w:r>
        <w:rPr>
          <w:rFonts w:ascii="Times New Roman" w:hAnsi="Times New Roman"/>
          <w:i/>
          <w:sz w:val="20"/>
        </w:rPr>
        <w:t>Figura 6. Flujo interno del Service con Mapper y Repository.</w:t>
      </w:r>
    </w:p>
    <w:p>
      <w:pPr>
        <w:pStyle w:val="Heading2"/>
        <w:jc w:val="left"/>
      </w:pPr>
      <w:r>
        <w:rPr>
          <w:rFonts w:ascii="Times New Roman" w:hAnsi="Times New Roman"/>
          <w:color w:val="000000"/>
        </w:rPr>
        <w:t>5.3 Flujo del Repository</w:t>
      </w:r>
    </w:p>
    <w:p>
      <w:pPr>
        <w:jc w:val="center"/>
      </w:pPr>
      <w:r>
        <w:drawing>
          <wp:inline xmlns:a="http://schemas.openxmlformats.org/drawingml/2006/main" xmlns:pic="http://schemas.openxmlformats.org/drawingml/2006/picture">
            <wp:extent cx="4680000" cy="617702"/>
            <wp:docPr id="7" name="Picture 7"/>
            <wp:cNvGraphicFramePr>
              <a:graphicFrameLocks noChangeAspect="1"/>
            </wp:cNvGraphicFramePr>
            <a:graphic>
              <a:graphicData uri="http://schemas.openxmlformats.org/drawingml/2006/picture">
                <pic:pic>
                  <pic:nvPicPr>
                    <pic:cNvPr id="0" name="repository.png"/>
                    <pic:cNvPicPr/>
                  </pic:nvPicPr>
                  <pic:blipFill>
                    <a:blip r:embed="rId16"/>
                    <a:stretch>
                      <a:fillRect/>
                    </a:stretch>
                  </pic:blipFill>
                  <pic:spPr>
                    <a:xfrm>
                      <a:off x="0" y="0"/>
                      <a:ext cx="4680000" cy="617702"/>
                    </a:xfrm>
                    <a:prstGeom prst="rect"/>
                  </pic:spPr>
                </pic:pic>
              </a:graphicData>
            </a:graphic>
          </wp:inline>
        </w:drawing>
      </w:r>
    </w:p>
    <w:p>
      <w:pPr>
        <w:spacing w:after="200"/>
        <w:jc w:val="center"/>
      </w:pPr>
      <w:r>
        <w:rPr>
          <w:rFonts w:ascii="Times New Roman" w:hAnsi="Times New Roman"/>
          <w:i/>
          <w:sz w:val="20"/>
        </w:rPr>
        <w:t>Figura 7. Comunicación entre Service, Repository y PostgreSQL.</w:t>
      </w:r>
    </w:p>
    <w:p>
      <w:pPr>
        <w:pStyle w:val="Heading2"/>
        <w:jc w:val="left"/>
      </w:pPr>
      <w:r>
        <w:rPr>
          <w:rFonts w:ascii="Times New Roman" w:hAnsi="Times New Roman"/>
          <w:color w:val="000000"/>
        </w:rPr>
        <w:t>5.4 Flujo de Manejo de Errores</w:t>
      </w:r>
    </w:p>
    <w:p>
      <w:pPr>
        <w:jc w:val="center"/>
      </w:pPr>
      <w:r>
        <w:drawing>
          <wp:inline xmlns:a="http://schemas.openxmlformats.org/drawingml/2006/main" xmlns:pic="http://schemas.openxmlformats.org/drawingml/2006/picture">
            <wp:extent cx="4320000" cy="410498"/>
            <wp:docPr id="8" name="Picture 8"/>
            <wp:cNvGraphicFramePr>
              <a:graphicFrameLocks noChangeAspect="1"/>
            </wp:cNvGraphicFramePr>
            <a:graphic>
              <a:graphicData uri="http://schemas.openxmlformats.org/drawingml/2006/picture">
                <pic:pic>
                  <pic:nvPicPr>
                    <pic:cNvPr id="0" name="exception.png"/>
                    <pic:cNvPicPr/>
                  </pic:nvPicPr>
                  <pic:blipFill>
                    <a:blip r:embed="rId17"/>
                    <a:stretch>
                      <a:fillRect/>
                    </a:stretch>
                  </pic:blipFill>
                  <pic:spPr>
                    <a:xfrm>
                      <a:off x="0" y="0"/>
                      <a:ext cx="4320000" cy="410498"/>
                    </a:xfrm>
                    <a:prstGeom prst="rect"/>
                  </pic:spPr>
                </pic:pic>
              </a:graphicData>
            </a:graphic>
          </wp:inline>
        </w:drawing>
      </w:r>
    </w:p>
    <w:p>
      <w:pPr>
        <w:spacing w:after="200"/>
        <w:jc w:val="center"/>
      </w:pPr>
      <w:r>
        <w:rPr>
          <w:rFonts w:ascii="Times New Roman" w:hAnsi="Times New Roman"/>
          <w:i/>
          <w:sz w:val="20"/>
        </w:rPr>
        <w:t>Figura 8. Flujo de manejo de excepciones con GlobalExceptionHandler.</w:t>
      </w:r>
    </w:p>
    <w:p>
      <w:pPr>
        <w:pStyle w:val="Heading1"/>
        <w:jc w:val="left"/>
      </w:pPr>
      <w:r>
        <w:rPr>
          <w:rFonts w:ascii="Times New Roman" w:hAnsi="Times New Roman"/>
          <w:color w:val="000000"/>
        </w:rPr>
        <w:t>6. Interfaces del Sistema</w:t>
      </w:r>
    </w:p>
    <w:p>
      <w:pPr>
        <w:spacing w:before="0" w:after="120" w:line="330" w:lineRule="exact"/>
        <w:jc w:val="both"/>
      </w:pPr>
      <w:r>
        <w:rPr>
          <w:rFonts w:ascii="Times New Roman" w:hAnsi="Times New Roman"/>
          <w:b w:val="0"/>
          <w:i w:val="0"/>
          <w:sz w:val="22"/>
        </w:rPr>
        <w:t>Cada módulo de servicio expone una interfaz Java que actúa como contrato entre el Controller y la implementación concreta, siguiendo el principio de inversión de dependencias (DIP). A continuación se detallan las interfaces principales implementadas en el Sprint 1:</w:t>
      </w:r>
    </w:p>
    <w:p>
      <w:pPr>
        <w:pStyle w:val="Heading3"/>
        <w:jc w:val="left"/>
      </w:pPr>
      <w:r>
        <w:rPr>
          <w:rFonts w:ascii="Times New Roman" w:hAnsi="Times New Roman"/>
          <w:color w:val="000000"/>
        </w:rPr>
        <w:t>AutenticacionService</w:t>
      </w:r>
    </w:p>
    <w:p>
      <w:pPr>
        <w:spacing w:before="0" w:after="120" w:line="330" w:lineRule="exact"/>
        <w:jc w:val="both"/>
      </w:pPr>
      <w:r>
        <w:rPr>
          <w:rFonts w:ascii="Times New Roman" w:hAnsi="Times New Roman"/>
          <w:b w:val="0"/>
          <w:i w:val="0"/>
          <w:sz w:val="22"/>
        </w:rPr>
        <w:t>Define los métodos registrar(dto) y login(dto). Su implementación AutenticacionServiceImpl gestiona el registro de usuarios con contraseña BCrypt y el login con generación de Access Token JWT y Refresh Token persistido en base de datos.</w:t>
      </w:r>
    </w:p>
    <w:p>
      <w:pPr>
        <w:pStyle w:val="Heading3"/>
        <w:jc w:val="left"/>
      </w:pPr>
      <w:r>
        <w:rPr>
          <w:rFonts w:ascii="Times New Roman" w:hAnsi="Times New Roman"/>
          <w:color w:val="000000"/>
        </w:rPr>
        <w:t>RefreshTokenService</w:t>
      </w:r>
    </w:p>
    <w:p>
      <w:pPr>
        <w:spacing w:before="0" w:after="120" w:line="330" w:lineRule="exact"/>
        <w:jc w:val="both"/>
      </w:pPr>
      <w:r>
        <w:rPr>
          <w:rFonts w:ascii="Times New Roman" w:hAnsi="Times New Roman"/>
          <w:b w:val="0"/>
          <w:i w:val="0"/>
          <w:sz w:val="22"/>
        </w:rPr>
        <w:t>Define crearRefreshToken(idUsuario), renovarToken(token) y revocarToken(token). Gestiona el ciclo de vida de los Refresh Tokens con rotación automática (Token Rotation).</w:t>
      </w:r>
    </w:p>
    <w:p>
      <w:pPr>
        <w:pStyle w:val="Heading3"/>
        <w:jc w:val="left"/>
      </w:pPr>
      <w:r>
        <w:rPr>
          <w:rFonts w:ascii="Times New Roman" w:hAnsi="Times New Roman"/>
          <w:color w:val="000000"/>
        </w:rPr>
        <w:t>ClienteService</w:t>
      </w:r>
    </w:p>
    <w:p>
      <w:pPr>
        <w:spacing w:before="0" w:after="120" w:line="330" w:lineRule="exact"/>
        <w:jc w:val="both"/>
      </w:pPr>
      <w:r>
        <w:rPr>
          <w:rFonts w:ascii="Times New Roman" w:hAnsi="Times New Roman"/>
          <w:b w:val="0"/>
          <w:i w:val="0"/>
          <w:sz w:val="22"/>
        </w:rPr>
        <w:t>Define obtenerPerfil(userId) y actualizarCliente(id, dto). La implementación consulta al ClienteRepository y transforma la entidad en ProfileDTO o ClienteDTO según corresponda.</w:t>
      </w:r>
    </w:p>
    <w:p>
      <w:pPr>
        <w:pStyle w:val="Heading3"/>
        <w:jc w:val="left"/>
      </w:pPr>
      <w:r>
        <w:rPr>
          <w:rFonts w:ascii="Times New Roman" w:hAnsi="Times New Roman"/>
          <w:color w:val="000000"/>
        </w:rPr>
        <w:t>JpaRepository (Spring Data)</w:t>
      </w:r>
    </w:p>
    <w:p>
      <w:pPr>
        <w:spacing w:before="0" w:after="120" w:line="330" w:lineRule="exact"/>
        <w:jc w:val="both"/>
      </w:pPr>
      <w:r>
        <w:rPr>
          <w:rFonts w:ascii="Times New Roman" w:hAnsi="Times New Roman"/>
          <w:b w:val="0"/>
          <w:i w:val="0"/>
          <w:sz w:val="22"/>
        </w:rPr>
        <w:t>Interfaz estándar de Spring Data extendida por todos los repositorios. Provee automáticamente los métodos findById, save, delete, findAll y consultas derivadas del nombre del método.</w:t>
      </w:r>
    </w:p>
    <w:p>
      <w:pPr>
        <w:pStyle w:val="Heading2"/>
        <w:jc w:val="left"/>
      </w:pPr>
      <w:r>
        <w:rPr>
          <w:rFonts w:ascii="Times New Roman" w:hAnsi="Times New Roman"/>
          <w:color w:val="000000"/>
        </w:rPr>
        <w:t>6.1 Endpoints REST expuestos</w:t>
      </w:r>
    </w:p>
    <w:p>
      <w:pPr>
        <w:pStyle w:val="ListBullet"/>
        <w:spacing w:line="330" w:lineRule="exact" w:after="60"/>
      </w:pPr>
      <w:r>
        <w:rPr>
          <w:rFonts w:ascii="Times New Roman" w:hAnsi="Times New Roman"/>
          <w:sz w:val="22"/>
        </w:rPr>
        <w:t>POST /api/v1/auth/registro — Registro de nuevo usuario vinculado a un cliente existente.</w:t>
      </w:r>
    </w:p>
    <w:p>
      <w:pPr>
        <w:pStyle w:val="ListBullet"/>
        <w:spacing w:line="330" w:lineRule="exact" w:after="60"/>
      </w:pPr>
      <w:r>
        <w:rPr>
          <w:rFonts w:ascii="Times New Roman" w:hAnsi="Times New Roman"/>
          <w:sz w:val="22"/>
        </w:rPr>
        <w:t>POST /api/v1/auth/login    — Autenticación con username/password. Retorna Access + Refresh Token.</w:t>
      </w:r>
    </w:p>
    <w:p>
      <w:pPr>
        <w:pStyle w:val="ListBullet"/>
        <w:spacing w:line="330" w:lineRule="exact" w:after="60"/>
      </w:pPr>
      <w:r>
        <w:rPr>
          <w:rFonts w:ascii="Times New Roman" w:hAnsi="Times New Roman"/>
          <w:sz w:val="22"/>
        </w:rPr>
        <w:t>POST /api/v1/auth/refresh  — Renovación del Access Token usando el Refresh Token vigente.</w:t>
      </w:r>
    </w:p>
    <w:p>
      <w:pPr>
        <w:pStyle w:val="ListBullet"/>
        <w:spacing w:line="330" w:lineRule="exact" w:after="60"/>
      </w:pPr>
      <w:r>
        <w:rPr>
          <w:rFonts w:ascii="Times New Roman" w:hAnsi="Times New Roman"/>
          <w:sz w:val="22"/>
        </w:rPr>
        <w:t>POST /api/v1/auth/logout   — Revocación del Refresh Token (cierre de sesión).</w:t>
      </w:r>
    </w:p>
    <w:p>
      <w:pPr>
        <w:pStyle w:val="ListBullet"/>
        <w:spacing w:line="330" w:lineRule="exact" w:after="60"/>
      </w:pPr>
      <w:r>
        <w:rPr>
          <w:rFonts w:ascii="Times New Roman" w:hAnsi="Times New Roman"/>
          <w:sz w:val="22"/>
        </w:rPr>
        <w:t>GET  /api/v1/profile/{userId} — Consulta del perfil del cliente autenticado.</w:t>
      </w:r>
    </w:p>
    <w:p>
      <w:pPr>
        <w:pStyle w:val="ListBullet"/>
        <w:spacing w:line="330" w:lineRule="exact" w:after="60"/>
      </w:pPr>
      <w:r>
        <w:rPr>
          <w:rFonts w:ascii="Times New Roman" w:hAnsi="Times New Roman"/>
          <w:sz w:val="22"/>
        </w:rPr>
        <w:t>PUT  /api/v1/clientes/{id}    — Actualización de datos editables del cliente.</w:t>
      </w:r>
    </w:p>
    <w:p>
      <w:pPr>
        <w:pStyle w:val="ListBullet"/>
        <w:spacing w:line="330" w:lineRule="exact" w:after="60"/>
      </w:pPr>
      <w:r>
        <w:rPr>
          <w:rFonts w:ascii="Times New Roman" w:hAnsi="Times New Roman"/>
          <w:sz w:val="22"/>
        </w:rPr>
        <w:t>GET  /api/db-ping             — Verificación de conectividad con la base de datos.</w:t>
      </w:r>
    </w:p>
    <w:p>
      <w:pPr>
        <w:pStyle w:val="Heading1"/>
        <w:jc w:val="left"/>
      </w:pPr>
      <w:r>
        <w:rPr>
          <w:rFonts w:ascii="Times New Roman" w:hAnsi="Times New Roman"/>
          <w:color w:val="000000"/>
        </w:rPr>
        <w:t>7. Historias de Usuario Implementadas</w:t>
      </w:r>
    </w:p>
    <w:p>
      <w:pPr>
        <w:spacing w:before="0" w:after="120" w:line="330" w:lineRule="exact"/>
        <w:jc w:val="both"/>
      </w:pPr>
      <w:r>
        <w:rPr>
          <w:rFonts w:ascii="Times New Roman" w:hAnsi="Times New Roman"/>
          <w:b w:val="0"/>
          <w:i w:val="0"/>
          <w:sz w:val="22"/>
        </w:rPr>
        <w:t>Durante el Sprint 1 se priorizaron e implementaron las siguientes historias de usuario, cumpliendo con los criterios de aceptación definidos en el backlog del proyecto:</w:t>
      </w:r>
    </w:p>
    <w:p>
      <w:pPr>
        <w:pStyle w:val="Heading3"/>
        <w:jc w:val="left"/>
      </w:pPr>
      <w:r>
        <w:rPr>
          <w:rFonts w:ascii="Times New Roman" w:hAnsi="Times New Roman"/>
          <w:color w:val="000000"/>
        </w:rPr>
        <w:t>✅ HU-01 — Autenticación de Usuarios (Registro y Login)</w:t>
      </w:r>
    </w:p>
    <w:p>
      <w:pPr>
        <w:spacing w:before="0" w:after="120" w:line="330" w:lineRule="exact"/>
        <w:jc w:val="both"/>
      </w:pPr>
      <w:r>
        <w:rPr>
          <w:rFonts w:ascii="Times New Roman" w:hAnsi="Times New Roman"/>
          <w:b w:val="0"/>
          <w:i w:val="0"/>
          <w:sz w:val="22"/>
        </w:rPr>
        <w:t>Implementación completa del módulo de autenticación con JWT dual-token. El sistema permite el registro de nuevos usuarios vinculados a clientes existentes y el inicio de sesión con generación de Access Token (10 minutos) y Refresh Token (7 días, persistido en BD). Incluye endpoints de renovación de token y cierre de sesión seguro.</w:t>
      </w:r>
    </w:p>
    <w:p>
      <w:pPr>
        <w:pStyle w:val="Heading3"/>
        <w:jc w:val="left"/>
      </w:pPr>
      <w:r>
        <w:rPr>
          <w:rFonts w:ascii="Times New Roman" w:hAnsi="Times New Roman"/>
          <w:color w:val="000000"/>
        </w:rPr>
        <w:t>✅ HU-03 — Consulta de Perfil de Clientes</w:t>
      </w:r>
    </w:p>
    <w:p>
      <w:pPr>
        <w:spacing w:before="0" w:after="120" w:line="330" w:lineRule="exact"/>
        <w:jc w:val="both"/>
      </w:pPr>
      <w:r>
        <w:rPr>
          <w:rFonts w:ascii="Times New Roman" w:hAnsi="Times New Roman"/>
          <w:b w:val="0"/>
          <w:i w:val="0"/>
          <w:sz w:val="22"/>
        </w:rPr>
        <w:t>Endpoint GET /api/v1/profile/{userId} que retorna el ProfileDTO con nombre completo, número de identificación, número de cuenta activa y saldo disponible. Maneja correctamente el escenario de error de conexión con GlobalExceptionHandler.</w:t>
      </w:r>
    </w:p>
    <w:p>
      <w:pPr>
        <w:pStyle w:val="Heading3"/>
        <w:jc w:val="left"/>
      </w:pPr>
      <w:r>
        <w:rPr>
          <w:rFonts w:ascii="Times New Roman" w:hAnsi="Times New Roman"/>
          <w:color w:val="000000"/>
        </w:rPr>
        <w:t>✅ HU-04 — Actualización de Información del Cliente</w:t>
      </w:r>
    </w:p>
    <w:p>
      <w:pPr>
        <w:spacing w:before="0" w:after="120" w:line="330" w:lineRule="exact"/>
        <w:jc w:val="both"/>
      </w:pPr>
      <w:r>
        <w:rPr>
          <w:rFonts w:ascii="Times New Roman" w:hAnsi="Times New Roman"/>
          <w:b w:val="0"/>
          <w:i w:val="0"/>
          <w:sz w:val="22"/>
        </w:rPr>
        <w:t>Permite modificar campos editables del cliente (teléfono, dirección, correo electrónico) con validación de formato. Los campos no editables (documento, número de cuenta) permanecen protegidos y en modo solo lectura. Retorna mensaje de confirmación al usuario.</w:t>
      </w:r>
    </w:p>
    <w:p>
      <w:pPr>
        <w:pStyle w:val="Heading3"/>
        <w:jc w:val="left"/>
      </w:pPr>
      <w:r>
        <w:rPr>
          <w:rFonts w:ascii="Times New Roman" w:hAnsi="Times New Roman"/>
          <w:color w:val="000000"/>
        </w:rPr>
        <w:t>⬜ HU-05 — Cierre del Producto Financiero</w:t>
      </w:r>
    </w:p>
    <w:p>
      <w:pPr>
        <w:spacing w:before="0" w:after="120" w:line="330" w:lineRule="exact"/>
        <w:jc w:val="both"/>
      </w:pPr>
      <w:r>
        <w:rPr>
          <w:rFonts w:ascii="Times New Roman" w:hAnsi="Times New Roman"/>
          <w:b w:val="0"/>
          <w:i w:val="0"/>
          <w:sz w:val="22"/>
        </w:rPr>
        <w:t>Pendiente de implementación en el Sprint 1.</w:t>
      </w:r>
    </w:p>
    <w:p>
      <w:pPr>
        <w:pStyle w:val="Heading3"/>
        <w:jc w:val="left"/>
      </w:pPr>
      <w:r>
        <w:rPr>
          <w:rFonts w:ascii="Times New Roman" w:hAnsi="Times New Roman"/>
          <w:color w:val="000000"/>
        </w:rPr>
        <w:t>⬜ HU-14 — Exposición de Movimientos y Saldos Históricos</w:t>
      </w:r>
    </w:p>
    <w:p>
      <w:pPr>
        <w:spacing w:before="0" w:after="120" w:line="330" w:lineRule="exact"/>
        <w:jc w:val="both"/>
      </w:pPr>
      <w:r>
        <w:rPr>
          <w:rFonts w:ascii="Times New Roman" w:hAnsi="Times New Roman"/>
          <w:b w:val="0"/>
          <w:i w:val="0"/>
          <w:sz w:val="22"/>
        </w:rPr>
        <w:t>Pendiente de implementación en el Sprint 1.</w:t>
      </w:r>
    </w:p>
    <w:p>
      <w:pPr>
        <w:pStyle w:val="Heading3"/>
        <w:jc w:val="left"/>
      </w:pPr>
      <w:r>
        <w:rPr>
          <w:rFonts w:ascii="Times New Roman" w:hAnsi="Times New Roman"/>
          <w:color w:val="000000"/>
        </w:rPr>
        <w:t>⬜ HU-08 — Activación de Bloqueo Preventivo</w:t>
      </w:r>
    </w:p>
    <w:p>
      <w:pPr>
        <w:spacing w:before="0" w:after="120" w:line="330" w:lineRule="exact"/>
        <w:jc w:val="both"/>
      </w:pPr>
      <w:r>
        <w:rPr>
          <w:rFonts w:ascii="Times New Roman" w:hAnsi="Times New Roman"/>
          <w:b w:val="0"/>
          <w:i w:val="0"/>
          <w:sz w:val="22"/>
        </w:rPr>
        <w:t>Pendiente de implementación en el Sprint 1.</w:t>
      </w:r>
    </w:p>
    <w:p>
      <w:pPr>
        <w:pStyle w:val="Heading1"/>
        <w:jc w:val="left"/>
      </w:pPr>
      <w:r>
        <w:rPr>
          <w:rFonts w:ascii="Times New Roman" w:hAnsi="Times New Roman"/>
          <w:color w:val="000000"/>
        </w:rPr>
        <w:t>8. Despliegue de la Solución</w:t>
      </w:r>
    </w:p>
    <w:p>
      <w:pPr>
        <w:spacing w:before="0" w:after="120" w:line="330" w:lineRule="exact"/>
        <w:jc w:val="both"/>
      </w:pPr>
      <w:r>
        <w:rPr>
          <w:rFonts w:ascii="Times New Roman" w:hAnsi="Times New Roman"/>
          <w:b w:val="0"/>
          <w:i w:val="0"/>
          <w:sz w:val="22"/>
        </w:rPr>
        <w:t>El proyecto base fue publicado en el repositorio GitHub del equipo y verificado en entorno local con conexión real a PostgreSQL. El repositorio es accesible en:</w:t>
      </w:r>
    </w:p>
    <w:p>
      <w:pPr>
        <w:spacing w:before="0" w:after="120" w:line="330" w:lineRule="exact"/>
        <w:jc w:val="center"/>
      </w:pPr>
      <w:r>
        <w:rPr>
          <w:rFonts w:ascii="Times New Roman" w:hAnsi="Times New Roman"/>
          <w:b/>
          <w:i w:val="0"/>
          <w:sz w:val="22"/>
        </w:rPr>
        <w:t>https://github.com/Mista299/fe-banco-digital-backend</w:t>
      </w:r>
    </w:p>
    <w:p>
      <w:pPr>
        <w:pStyle w:val="Heading2"/>
        <w:jc w:val="left"/>
      </w:pPr>
      <w:r>
        <w:rPr>
          <w:rFonts w:ascii="Times New Roman" w:hAnsi="Times New Roman"/>
          <w:color w:val="000000"/>
        </w:rPr>
        <w:t>8.1 Requisitos del Entorno</w:t>
      </w:r>
    </w:p>
    <w:p>
      <w:pPr>
        <w:pStyle w:val="ListBullet"/>
        <w:spacing w:line="330" w:lineRule="exact" w:after="60"/>
      </w:pPr>
      <w:r>
        <w:rPr>
          <w:rFonts w:ascii="Times New Roman" w:hAnsi="Times New Roman"/>
          <w:sz w:val="22"/>
        </w:rPr>
        <w:t>Java 17 o superior</w:t>
      </w:r>
    </w:p>
    <w:p>
      <w:pPr>
        <w:pStyle w:val="ListBullet"/>
        <w:spacing w:line="330" w:lineRule="exact" w:after="60"/>
      </w:pPr>
      <w:r>
        <w:rPr>
          <w:rFonts w:ascii="Times New Roman" w:hAnsi="Times New Roman"/>
          <w:sz w:val="22"/>
        </w:rPr>
        <w:t>Apache Maven 3.8+</w:t>
      </w:r>
    </w:p>
    <w:p>
      <w:pPr>
        <w:pStyle w:val="ListBullet"/>
        <w:spacing w:line="330" w:lineRule="exact" w:after="60"/>
      </w:pPr>
      <w:r>
        <w:rPr>
          <w:rFonts w:ascii="Times New Roman" w:hAnsi="Times New Roman"/>
          <w:sz w:val="22"/>
        </w:rPr>
        <w:t>PostgreSQL 14+ con base de datos banco2026 creada</w:t>
      </w:r>
    </w:p>
    <w:p>
      <w:pPr>
        <w:pStyle w:val="ListBullet"/>
        <w:spacing w:line="330" w:lineRule="exact" w:after="60"/>
      </w:pPr>
      <w:r>
        <w:rPr>
          <w:rFonts w:ascii="Times New Roman" w:hAnsi="Times New Roman"/>
          <w:sz w:val="22"/>
        </w:rPr>
        <w:t>Archivo .env configurado con: DB_URL, DB_USER, DB_PASS, DDL_AUTO, jwt.secreto</w:t>
      </w:r>
    </w:p>
    <w:p>
      <w:pPr>
        <w:pStyle w:val="Heading2"/>
        <w:jc w:val="left"/>
      </w:pPr>
      <w:r>
        <w:rPr>
          <w:rFonts w:ascii="Times New Roman" w:hAnsi="Times New Roman"/>
          <w:color w:val="000000"/>
        </w:rPr>
        <w:t>8.2 Comandos de Ejecución</w:t>
      </w:r>
    </w:p>
    <w:p>
      <w:pPr>
        <w:pStyle w:val="ListBullet"/>
        <w:spacing w:line="330" w:lineRule="exact" w:after="60"/>
      </w:pPr>
      <w:r>
        <w:rPr>
          <w:rFonts w:ascii="Times New Roman" w:hAnsi="Times New Roman"/>
          <w:sz w:val="22"/>
        </w:rPr>
        <w:t>./run.sh                                                    — Carga .env y ejecuta la aplicación</w:t>
      </w:r>
    </w:p>
    <w:p>
      <w:pPr>
        <w:pStyle w:val="ListBullet"/>
        <w:spacing w:line="330" w:lineRule="exact" w:after="60"/>
      </w:pPr>
      <w:r>
        <w:rPr>
          <w:rFonts w:ascii="Times New Roman" w:hAnsi="Times New Roman"/>
          <w:sz w:val="22"/>
        </w:rPr>
        <w:t>./mvnw spring-boot:run                                      — Ejecución directa con Maven</w:t>
      </w:r>
    </w:p>
    <w:p>
      <w:pPr>
        <w:pStyle w:val="ListBullet"/>
        <w:spacing w:line="330" w:lineRule="exact" w:after="60"/>
      </w:pPr>
      <w:r>
        <w:rPr>
          <w:rFonts w:ascii="Times New Roman" w:hAnsi="Times New Roman"/>
          <w:sz w:val="22"/>
        </w:rPr>
        <w:t>./mvnw spring-boot:run -Dspring-boot.run.profiles=seed     — Con datos de prueba (DataLoader)</w:t>
      </w:r>
    </w:p>
    <w:p>
      <w:pPr>
        <w:pStyle w:val="ListBullet"/>
        <w:spacing w:line="330" w:lineRule="exact" w:after="60"/>
      </w:pPr>
      <w:r>
        <w:rPr>
          <w:rFonts w:ascii="Times New Roman" w:hAnsi="Times New Roman"/>
          <w:sz w:val="22"/>
        </w:rPr>
        <w:t>./mvnw test                                                 — Ejecuta tests con H2 en memoria</w:t>
      </w:r>
    </w:p>
    <w:p>
      <w:pPr>
        <w:pStyle w:val="ListBullet"/>
        <w:spacing w:line="330" w:lineRule="exact" w:after="60"/>
      </w:pPr>
      <w:r>
        <w:rPr>
          <w:rFonts w:ascii="Times New Roman" w:hAnsi="Times New Roman"/>
          <w:sz w:val="22"/>
        </w:rPr>
        <w:t>./mvnw package -DskipTests                                  — Genera el artefacto .jar</w:t>
      </w:r>
    </w:p>
    <w:p>
      <w:pPr>
        <w:pStyle w:val="Heading2"/>
        <w:jc w:val="left"/>
      </w:pPr>
      <w:r>
        <w:rPr>
          <w:rFonts w:ascii="Times New Roman" w:hAnsi="Times New Roman"/>
          <w:color w:val="000000"/>
        </w:rPr>
        <w:t>8.3 Verificación Funcional</w:t>
      </w:r>
    </w:p>
    <w:p>
      <w:pPr>
        <w:spacing w:before="0" w:after="120" w:line="330" w:lineRule="exact"/>
        <w:jc w:val="both"/>
      </w:pPr>
      <w:r>
        <w:rPr>
          <w:rFonts w:ascii="Times New Roman" w:hAnsi="Times New Roman"/>
          <w:b w:val="0"/>
          <w:i w:val="0"/>
          <w:sz w:val="22"/>
        </w:rPr>
        <w:t>Se validaron los siguientes flujos en el entorno local:</w:t>
      </w:r>
    </w:p>
    <w:p>
      <w:pPr>
        <w:pStyle w:val="ListBullet"/>
        <w:spacing w:line="330" w:lineRule="exact" w:after="60"/>
      </w:pPr>
      <w:r>
        <w:rPr>
          <w:rFonts w:ascii="Times New Roman" w:hAnsi="Times New Roman"/>
          <w:sz w:val="22"/>
        </w:rPr>
        <w:t>Conectividad con PostgreSQL: GET /api/db-ping → 200 OK</w:t>
      </w:r>
    </w:p>
    <w:p>
      <w:pPr>
        <w:pStyle w:val="ListBullet"/>
        <w:spacing w:line="330" w:lineRule="exact" w:after="60"/>
      </w:pPr>
      <w:r>
        <w:rPr>
          <w:rFonts w:ascii="Times New Roman" w:hAnsi="Times New Roman"/>
          <w:sz w:val="22"/>
        </w:rPr>
        <w:t>Registro de usuario: POST /api/v1/auth/registro → 201 Created con UsuarioRegistradoDTO</w:t>
      </w:r>
    </w:p>
    <w:p>
      <w:pPr>
        <w:pStyle w:val="ListBullet"/>
        <w:spacing w:line="330" w:lineRule="exact" w:after="60"/>
      </w:pPr>
      <w:r>
        <w:rPr>
          <w:rFonts w:ascii="Times New Roman" w:hAnsi="Times New Roman"/>
          <w:sz w:val="22"/>
        </w:rPr>
        <w:t>Login y obtención de tokens: POST /api/v1/auth/login → 200 OK con accessToken + refreshToken</w:t>
      </w:r>
    </w:p>
    <w:p>
      <w:pPr>
        <w:pStyle w:val="ListBullet"/>
        <w:spacing w:line="330" w:lineRule="exact" w:after="60"/>
      </w:pPr>
      <w:r>
        <w:rPr>
          <w:rFonts w:ascii="Times New Roman" w:hAnsi="Times New Roman"/>
          <w:sz w:val="22"/>
        </w:rPr>
        <w:t>Acceso a ruta protegida con JWT: GET /api/v1/profile/{userId} → 200 OK con ProfileDTO</w:t>
      </w:r>
    </w:p>
    <w:p>
      <w:pPr>
        <w:pStyle w:val="ListBullet"/>
        <w:spacing w:line="330" w:lineRule="exact" w:after="60"/>
      </w:pPr>
      <w:r>
        <w:rPr>
          <w:rFonts w:ascii="Times New Roman" w:hAnsi="Times New Roman"/>
          <w:sz w:val="22"/>
        </w:rPr>
        <w:t>Renovación de token: POST /api/v1/auth/refresh → 200 OK con nuevo par de tokens</w:t>
      </w:r>
    </w:p>
    <w:p>
      <w:pPr>
        <w:pStyle w:val="ListBullet"/>
        <w:spacing w:line="330" w:lineRule="exact" w:after="60"/>
      </w:pPr>
      <w:r>
        <w:rPr>
          <w:rFonts w:ascii="Times New Roman" w:hAnsi="Times New Roman"/>
          <w:sz w:val="22"/>
        </w:rPr>
        <w:t>Actualización de perfil: PUT /api/v1/clientes/{id} → 200 OK con confirmación</w:t>
      </w:r>
    </w:p>
    <w:p>
      <w:pPr>
        <w:pStyle w:val="ListBullet"/>
        <w:spacing w:line="330" w:lineRule="exact" w:after="60"/>
      </w:pPr>
      <w:r>
        <w:rPr>
          <w:rFonts w:ascii="Times New Roman" w:hAnsi="Times New Roman"/>
          <w:sz w:val="22"/>
        </w:rPr>
        <w:t>Cierre de sesión: POST /api/v1/auth/logout → 200 OK con revocación del Refresh Token</w:t>
      </w:r>
    </w:p>
    <w:p>
      <w:pPr>
        <w:pStyle w:val="Heading1"/>
        <w:jc w:val="left"/>
      </w:pPr>
      <w:r>
        <w:rPr>
          <w:rFonts w:ascii="Times New Roman" w:hAnsi="Times New Roman"/>
          <w:color w:val="000000"/>
        </w:rPr>
        <w:t>9. Decisiones Arquitectónicas</w:t>
      </w:r>
    </w:p>
    <w:p>
      <w:pPr>
        <w:pStyle w:val="Heading3"/>
        <w:jc w:val="left"/>
      </w:pPr>
      <w:r>
        <w:rPr>
          <w:rFonts w:ascii="Times New Roman" w:hAnsi="Times New Roman"/>
          <w:color w:val="000000"/>
        </w:rPr>
        <w:t>Arquitectura en Capas sobre Arquitectura Hexagonal</w:t>
      </w:r>
    </w:p>
    <w:p>
      <w:pPr>
        <w:spacing w:before="0" w:after="120" w:line="330" w:lineRule="exact"/>
        <w:jc w:val="both"/>
      </w:pPr>
      <w:r>
        <w:rPr>
          <w:rFonts w:ascii="Times New Roman" w:hAnsi="Times New Roman"/>
          <w:b w:val="0"/>
          <w:i w:val="0"/>
          <w:sz w:val="22"/>
        </w:rPr>
        <w:t>Se eligió la arquitectura en capas por su simplicidad y la curva de aprendizaje del equipo. La arquitectura hexagonal, aunque más flexible, requiere mayor madurez y complejidad que no está justificada en esta etapa del proyecto.</w:t>
      </w:r>
    </w:p>
    <w:p>
      <w:pPr>
        <w:pStyle w:val="Heading3"/>
        <w:jc w:val="left"/>
      </w:pPr>
      <w:r>
        <w:rPr>
          <w:rFonts w:ascii="Times New Roman" w:hAnsi="Times New Roman"/>
          <w:color w:val="000000"/>
        </w:rPr>
        <w:t>Interfaz + Implementación obligatoria en servicios</w:t>
      </w:r>
    </w:p>
    <w:p>
      <w:pPr>
        <w:spacing w:before="0" w:after="120" w:line="330" w:lineRule="exact"/>
        <w:jc w:val="both"/>
      </w:pPr>
      <w:r>
        <w:rPr>
          <w:rFonts w:ascii="Times New Roman" w:hAnsi="Times New Roman"/>
          <w:b w:val="0"/>
          <w:i w:val="0"/>
          <w:sz w:val="22"/>
        </w:rPr>
        <w:t>Cada servicio se define como interfaz (XxxService) e implementación (XxxServiceImpl). Esto garantiza el principio de inversión de dependencias y facilita el reemplazo de implementaciones sin afectar los controllers.</w:t>
      </w:r>
    </w:p>
    <w:p>
      <w:pPr>
        <w:pStyle w:val="Heading3"/>
        <w:jc w:val="left"/>
      </w:pPr>
      <w:r>
        <w:rPr>
          <w:rFonts w:ascii="Times New Roman" w:hAnsi="Times New Roman"/>
          <w:color w:val="000000"/>
        </w:rPr>
        <w:t>Dual Token (JWT + Refresh Token)</w:t>
      </w:r>
    </w:p>
    <w:p>
      <w:pPr>
        <w:spacing w:before="0" w:after="120" w:line="330" w:lineRule="exact"/>
        <w:jc w:val="both"/>
      </w:pPr>
      <w:r>
        <w:rPr>
          <w:rFonts w:ascii="Times New Roman" w:hAnsi="Times New Roman"/>
          <w:b w:val="0"/>
          <w:i w:val="0"/>
          <w:sz w:val="22"/>
        </w:rPr>
        <w:t>Se adoptó un esquema de doble token para balancear seguridad y experiencia de usuario. El Access Token de vida corta (10 min) limita la ventana de ataque ante un robo de token, mientras que el Refresh Token (7 días, persistido en BD) permite renovar la sesión sin re-autenticación frecuente.</w:t>
      </w:r>
    </w:p>
    <w:p>
      <w:pPr>
        <w:pStyle w:val="Heading3"/>
        <w:jc w:val="left"/>
      </w:pPr>
      <w:r>
        <w:rPr>
          <w:rFonts w:ascii="Times New Roman" w:hAnsi="Times New Roman"/>
          <w:color w:val="000000"/>
        </w:rPr>
        <w:t>BigDecimal para valores monetarios</w:t>
      </w:r>
    </w:p>
    <w:p>
      <w:pPr>
        <w:spacing w:before="0" w:after="120" w:line="330" w:lineRule="exact"/>
        <w:jc w:val="both"/>
      </w:pPr>
      <w:r>
        <w:rPr>
          <w:rFonts w:ascii="Times New Roman" w:hAnsi="Times New Roman"/>
          <w:b w:val="0"/>
          <w:i w:val="0"/>
          <w:sz w:val="22"/>
        </w:rPr>
        <w:t>Todos los campos monetarios utilizan BigDecimal (DECIMAL(19,4) en PostgreSQL). El uso de double o float está explícitamente prohibido por la pérdida de precisión en operaciones bancarias.</w:t>
      </w:r>
    </w:p>
    <w:p>
      <w:pPr>
        <w:pStyle w:val="Heading3"/>
        <w:jc w:val="left"/>
      </w:pPr>
      <w:r>
        <w:rPr>
          <w:rFonts w:ascii="Times New Roman" w:hAnsi="Times New Roman"/>
          <w:color w:val="000000"/>
        </w:rPr>
        <w:t>FetchType.LAZY en todas las relaciones</w:t>
      </w:r>
    </w:p>
    <w:p>
      <w:pPr>
        <w:spacing w:before="0" w:after="120" w:line="330" w:lineRule="exact"/>
        <w:jc w:val="both"/>
      </w:pPr>
      <w:r>
        <w:rPr>
          <w:rFonts w:ascii="Times New Roman" w:hAnsi="Times New Roman"/>
          <w:b w:val="0"/>
          <w:i w:val="0"/>
          <w:sz w:val="22"/>
        </w:rPr>
        <w:t>Todas las relaciones JPA (@ManyToOne, @OneToMany) usan FetchType.LAZY para evitar la carga innecesaria de datos relacionados, mejorando el rendimiento de las consultas.</w:t>
      </w:r>
    </w:p>
    <w:p>
      <w:pPr>
        <w:pStyle w:val="Heading3"/>
        <w:jc w:val="left"/>
      </w:pPr>
      <w:r>
        <w:rPr>
          <w:rFonts w:ascii="Times New Roman" w:hAnsi="Times New Roman"/>
          <w:color w:val="000000"/>
        </w:rPr>
        <w:t>Convención de código en español</w:t>
      </w:r>
    </w:p>
    <w:p>
      <w:pPr>
        <w:spacing w:before="0" w:after="120" w:line="330" w:lineRule="exact"/>
        <w:jc w:val="both"/>
      </w:pPr>
      <w:r>
        <w:rPr>
          <w:rFonts w:ascii="Times New Roman" w:hAnsi="Times New Roman"/>
          <w:b w:val="0"/>
          <w:i w:val="0"/>
          <w:sz w:val="22"/>
        </w:rPr>
        <w:t>Todos los identificadores del código (clases, variables, métodos, enums) se nombran en español, excepto términos técnicos estándar del framework (get, set, find, id, status). Esta decisión homogeniza el código con el dominio del negocio.</w:t>
      </w:r>
    </w:p>
    <w:p>
      <w:pPr>
        <w:pStyle w:val="Heading1"/>
        <w:jc w:val="left"/>
      </w:pPr>
      <w:r>
        <w:rPr>
          <w:rFonts w:ascii="Times New Roman" w:hAnsi="Times New Roman"/>
          <w:color w:val="000000"/>
        </w:rPr>
        <w:t>10. Conclusiones</w:t>
      </w:r>
    </w:p>
    <w:p>
      <w:pPr>
        <w:spacing w:before="0" w:after="120" w:line="330" w:lineRule="exact"/>
        <w:jc w:val="both"/>
      </w:pPr>
      <w:r>
        <w:rPr>
          <w:rFonts w:ascii="Times New Roman" w:hAnsi="Times New Roman"/>
          <w:b w:val="0"/>
          <w:i w:val="0"/>
          <w:sz w:val="22"/>
        </w:rPr>
        <w:t>El Sprint 1 permitió establecer los cimientos estructurales del sistema Backend Banco Digital. La adopción del patrón de arquitectura en capas, combinado con convenciones claras de código y separación de responsabilidades, garantiza que el sistema sea mantenible y escalable a medida que avancen los sprints siguientes.</w:t>
      </w:r>
    </w:p>
    <w:p>
      <w:pPr>
        <w:spacing w:before="0" w:after="120" w:line="330" w:lineRule="exact"/>
        <w:jc w:val="both"/>
      </w:pPr>
      <w:r>
        <w:rPr>
          <w:rFonts w:ascii="Times New Roman" w:hAnsi="Times New Roman"/>
          <w:b w:val="0"/>
          <w:i w:val="0"/>
          <w:sz w:val="22"/>
        </w:rPr>
        <w:t>La implementación del módulo de autenticación con JWT dual-token, la consulta de perfil y la actualización de datos del cliente demuestran que la arquitectura definida es viable y funcional. Los diagramas de paquetes y componentes elaborados sirven como referencia técnica para el equipo durante el desarrollo de las historias de usuario pendientes.</w:t>
      </w:r>
    </w:p>
    <w:p>
      <w:pPr>
        <w:spacing w:before="0" w:after="120" w:line="330" w:lineRule="exact"/>
        <w:jc w:val="both"/>
      </w:pPr>
      <w:r>
        <w:rPr>
          <w:rFonts w:ascii="Times New Roman" w:hAnsi="Times New Roman"/>
          <w:b w:val="0"/>
          <w:i w:val="0"/>
          <w:sz w:val="22"/>
        </w:rPr>
        <w:t>Las decisiones arquitectónicas tomadas en este sprint —incluyendo la obligatoriedad de la interfaz de servicio, el uso de BigDecimal para valores monetarios y FetchType.LAZY en las relaciones JPA— sientan un estándar de calidad que el equipo deberá mantener consistentemente en los sprints subsiguientes.</w:t>
      </w:r>
    </w:p>
    <w:sectPr w:rsidR="00FC693F" w:rsidRPr="0006063C" w:rsidSect="00034616">
      <w:footerReference w:type="default" r:id="rId9"/>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30" w:lineRule="exact" w:after="12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