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0" w:after="120"/>
        <w:jc w:val="left"/>
      </w:pPr>
      <w:r>
        <w:rPr>
          <w:b/>
          <w:bCs/>
          <w:color w:val="000000"/>
          <w:sz w:val="32"/>
          <w:szCs w:val="32"/>
          <w:rFonts w:ascii="Calibri" w:cs="Calibri" w:eastAsia="Calibri" w:hAnsi="Calibri"/>
        </w:rPr>
        <w:t xml:space="preserve">Camren McMath</w:t>
      </w:r>
    </w:p>
    <w:p>
      <w:pPr>
        <w:spacing w:after="240"/>
        <w:jc w:val="left"/>
      </w:pPr>
      <w:r>
        <w:rPr>
          <w:color w:val="000000"/>
          <w:sz w:val="22"/>
          <w:szCs w:val="22"/>
          <w:rFonts w:ascii="Calibri" w:cs="Calibri" w:eastAsia="Calibri" w:hAnsi="Calibri"/>
        </w:rPr>
        <w:t xml:space="preserve">cmcmath89@gmail.com | 206-673-6606 | https://www.linkedin.com/in/camrenmcmath/</w:t>
      </w:r>
    </w:p>
    <w:p>
      <w:pPr>
        <w:pStyle w:val="Heading2"/>
        <w:spacing w:before="240" w:after="120"/>
        <w:jc w:val="left"/>
      </w:pPr>
      <w:r>
        <w:rPr>
          <w:b/>
          <w:bCs/>
          <w:color w:val="000000"/>
          <w:sz w:val="24"/>
          <w:szCs w:val="24"/>
          <w:rFonts w:ascii="Calibri" w:cs="Calibri" w:eastAsia="Calibri" w:hAnsi="Calibri"/>
        </w:rPr>
        <w:t xml:space="preserve">PROFESSIONAL SUMMARY</w:t>
      </w:r>
    </w:p>
    <w:p>
      <w:pPr>
        <w:spacing w:after="120"/>
      </w:pPr>
      <w:r>
        <w:rPr>
          <w:color w:val="000000"/>
          <w:sz w:val="22"/>
          <w:szCs w:val="22"/>
          <w:rFonts w:ascii="Calibri" w:cs="Calibri" w:eastAsia="Calibri" w:hAnsi="Calibri"/>
        </w:rPr>
        <w:t xml:space="preserve">Detail-oriented and proactive professional with 3+ years of hands-on AML, fraud, and financial crime investigations experience in FinTech environments. Possesses proven ability to monitor, investigate, and report suspicious activities in compliance with Anti-Money Laundering (AML) regulations and internal policies. Proficient in SQL for data extraction and analysis, experienced in leveraging modern risk management tools to identify and mitigate financial crime risks, and skilled in cross-functional collaboration to enhance customer experience and ensure regulatory compliance.</w:t>
      </w:r>
    </w:p>
    <w:p>
      <w:pPr>
        <w:pStyle w:val="Heading2"/>
        <w:spacing w:before="240" w:after="120"/>
        <w:jc w:val="left"/>
      </w:pPr>
      <w:r>
        <w:rPr>
          <w:b/>
          <w:bCs/>
          <w:color w:val="000000"/>
          <w:sz w:val="24"/>
          <w:szCs w:val="24"/>
          <w:rFonts w:ascii="Calibri" w:cs="Calibri" w:eastAsia="Calibri" w:hAnsi="Calibri"/>
        </w:rPr>
        <w:t xml:space="preserve">SKILLS</w:t>
      </w:r>
    </w:p>
    <w:p>
      <w:pPr>
        <w:spacing w:after="120"/>
      </w:pPr>
      <w:r>
        <w:rPr>
          <w:b/>
          <w:bCs/>
          <w:color w:val="000000"/>
          <w:sz w:val="22"/>
          <w:szCs w:val="22"/>
          <w:rFonts w:ascii="Calibri" w:cs="Calibri" w:eastAsia="Calibri" w:hAnsi="Calibri"/>
        </w:rPr>
        <w:t xml:space="preserve">Fraud &amp; AML Investigations:</w:t>
      </w:r>
      <w:r>
        <w:rPr>
          <w:color w:val="000000"/>
          <w:sz w:val="22"/>
          <w:szCs w:val="22"/>
          <w:rFonts w:ascii="Calibri" w:cs="Calibri" w:eastAsia="Calibri" w:hAnsi="Calibri"/>
        </w:rPr>
        <w:t xml:space="preserve"> AML, KYC, SAR Narratives, Fraud Prevention, Financial Crime Investigations, Suspicious Activity Investigations, Chargeback Operations, Transaction Monitoring, Enhanced Due Diligence (EDD), Abuse Vector Monitoring, Anomaly Alerting Systems, Risk Mitigation Strategies, Financial Loss Mitigation, Platform Integrity, Regulatory Reporting, Risk Management</w:t>
      </w:r>
    </w:p>
    <w:p>
      <w:pPr>
        <w:spacing w:after="120"/>
      </w:pPr>
      <w:r>
        <w:rPr>
          <w:b/>
          <w:bCs/>
          <w:color w:val="000000"/>
          <w:sz w:val="22"/>
          <w:szCs w:val="22"/>
          <w:rFonts w:ascii="Calibri" w:cs="Calibri" w:eastAsia="Calibri" w:hAnsi="Calibri"/>
        </w:rPr>
        <w:t xml:space="preserve">Technical Skills:</w:t>
      </w:r>
      <w:r>
        <w:rPr>
          <w:color w:val="000000"/>
          <w:sz w:val="22"/>
          <w:szCs w:val="22"/>
          <w:rFonts w:ascii="Calibri" w:cs="Calibri" w:eastAsia="Calibri" w:hAnsi="Calibri"/>
        </w:rPr>
        <w:t xml:space="preserve"> SQL, Tableau, Power BI, LexisNexis, Sonnet, Sentilink, e-OSCAR, Python, Google App Scripts, Microsoft Office, CRM, JIRA, Zendesk, Asana, Notion, Paylocity</w:t>
      </w:r>
    </w:p>
    <w:p>
      <w:pPr>
        <w:spacing w:after="120"/>
      </w:pPr>
      <w:r>
        <w:rPr>
          <w:b/>
          <w:bCs/>
          <w:color w:val="000000"/>
          <w:sz w:val="22"/>
          <w:szCs w:val="22"/>
          <w:rFonts w:ascii="Calibri" w:cs="Calibri" w:eastAsia="Calibri" w:hAnsi="Calibri"/>
        </w:rPr>
        <w:t xml:space="preserve">Regulations &amp; Compliance:</w:t>
      </w:r>
      <w:r>
        <w:rPr>
          <w:color w:val="000000"/>
          <w:sz w:val="22"/>
          <w:szCs w:val="22"/>
          <w:rFonts w:ascii="Calibri" w:cs="Calibri" w:eastAsia="Calibri" w:hAnsi="Calibri"/>
        </w:rPr>
        <w:t xml:space="preserve"> Bank Secrecy Act (BSA), USA PATRIOT Act, FinCEN guidelines, FinTech Regulatory Compliance, Regulatory Reporting, AML, Management Systems</w:t>
      </w:r>
    </w:p>
    <w:p>
      <w:pPr>
        <w:spacing w:after="120"/>
      </w:pPr>
      <w:r>
        <w:rPr>
          <w:b/>
          <w:bCs/>
          <w:color w:val="000000"/>
          <w:sz w:val="22"/>
          <w:szCs w:val="22"/>
          <w:rFonts w:ascii="Calibri" w:cs="Calibri" w:eastAsia="Calibri" w:hAnsi="Calibri"/>
        </w:rPr>
        <w:t xml:space="preserve">Data Analysis &amp; Reporting:</w:t>
      </w:r>
      <w:r>
        <w:rPr>
          <w:color w:val="000000"/>
          <w:sz w:val="22"/>
          <w:szCs w:val="22"/>
          <w:rFonts w:ascii="Calibri" w:cs="Calibri" w:eastAsia="Calibri" w:hAnsi="Calibri"/>
        </w:rPr>
        <w:t xml:space="preserve"> Data Extraction, Data Analysis, Data-Driven Decision Making, Trend Identification, Pattern Recognition, Productivity Dashboards, Internal Reports, Documentation, Root Cause Analysis, Predictive Analytics, SQL</w:t>
      </w:r>
    </w:p>
    <w:p>
      <w:pPr>
        <w:spacing w:after="120"/>
      </w:pPr>
      <w:r>
        <w:rPr>
          <w:b/>
          <w:bCs/>
          <w:color w:val="000000"/>
          <w:sz w:val="22"/>
          <w:szCs w:val="22"/>
          <w:rFonts w:ascii="Calibri" w:cs="Calibri" w:eastAsia="Calibri" w:hAnsi="Calibri"/>
        </w:rPr>
        <w:t xml:space="preserve">Operational Excellence:</w:t>
      </w:r>
      <w:r>
        <w:rPr>
          <w:color w:val="000000"/>
          <w:sz w:val="22"/>
          <w:szCs w:val="22"/>
          <w:rFonts w:ascii="Calibri" w:cs="Calibri" w:eastAsia="Calibri" w:hAnsi="Calibri"/>
        </w:rPr>
        <w:t xml:space="preserve"> Process Streamlining, Workflow Optimization, KPI Management, Operational Process Improvement, Cross-functional Collaboration, Agile Methodology, Case Management Systems, Incident Response, Workflow Development, Problem Solving</w:t>
      </w:r>
    </w:p>
    <w:p>
      <w:pPr>
        <w:pStyle w:val="Heading2"/>
        <w:spacing w:before="240" w:after="120"/>
        <w:jc w:val="left"/>
      </w:pPr>
      <w:r>
        <w:rPr>
          <w:b/>
          <w:bCs/>
          <w:color w:val="000000"/>
          <w:sz w:val="24"/>
          <w:szCs w:val="24"/>
          <w:rFonts w:ascii="Calibri" w:cs="Calibri" w:eastAsia="Calibri" w:hAnsi="Calibri"/>
        </w:rPr>
        <w:t xml:space="preserve">PROFESSIONAL EXPERIENCE</w:t>
      </w:r>
    </w:p>
    <w:p>
      <w:pPr>
        <w:spacing w:after="120"/>
      </w:pPr>
      <w:r>
        <w:rPr>
          <w:b/>
          <w:bCs/>
          <w:color w:val="000000"/>
          <w:sz w:val="22"/>
          <w:szCs w:val="22"/>
          <w:rFonts w:ascii="Calibri" w:cs="Calibri" w:eastAsia="Calibri" w:hAnsi="Calibri"/>
        </w:rPr>
        <w:t xml:space="preserve">Fraud and Credit Analyst</w:t>
      </w:r>
      <w:r>
        <w:rPr>
          <w:color w:val="000000"/>
          <w:sz w:val="22"/>
          <w:szCs w:val="22"/>
          <w:rFonts w:ascii="Calibri" w:cs="Calibri" w:eastAsia="Calibri" w:hAnsi="Calibri"/>
        </w:rPr>
        <w:t xml:space="preserve">, TD Bank, Nov 2024 - Present</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Managed a daily queue of 40-60 escalated fraud and credit disputes, validating cardholder claims and assigning liability aligning with Visa and TD policies, contributing to a 10-20% reduction in repeat disputes and enhancing customer experience.</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Analyzed account and transaction patterns to identify emerging fraud trends, refining fraud decisioning best practices and anomaly alerting systems for enhanced proactive detection and risk management.</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Collaborated across internal teams and with external financial institutions, reducing average case resolution time by 15% for complex fraud-related issues and ensuring timely resolution through effective written and verbal communication.</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Prepared detailed case files including evidence and transaction analysis, liaising with Global Security &amp; Investigations and facilitating recovery efforts with law enforcement, adhering to regulatory reporting requirements.</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Performed preliminary investigations on small business lending applications escalated for fraud and analyzed existing processes and policies to identify control gaps, recommending updates that improved fraud detection and compliance adherence.</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Communicated investigative findings and trend reports to management, highlighting exposure areas and proposing corrective actions balancing fraud mitigation with customer experience.</w:t>
      </w:r>
    </w:p>
    <w:p>
      <w:pPr>
        <w:spacing w:after="120"/>
      </w:pPr>
      <w:r>
        <w:rPr>
          <w:b/>
          <w:bCs/>
          <w:color w:val="000000"/>
          <w:sz w:val="22"/>
          <w:szCs w:val="22"/>
          <w:rFonts w:ascii="Calibri" w:cs="Calibri" w:eastAsia="Calibri" w:hAnsi="Calibri"/>
        </w:rPr>
        <w:t xml:space="preserve">Back Office Operations Lead</w:t>
      </w:r>
      <w:r>
        <w:rPr>
          <w:color w:val="000000"/>
          <w:sz w:val="22"/>
          <w:szCs w:val="22"/>
          <w:rFonts w:ascii="Calibri" w:cs="Calibri" w:eastAsia="Calibri" w:hAnsi="Calibri"/>
        </w:rPr>
        <w:t xml:space="preserve">, POSSIBLE FINANCE, January 2022 - March 2024</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Administered fraud mitigation through meticulous review of over 200 customer documentation and new account applications weekly, adhering to best practices in KYC for credit card and loan products and preventing an estimated $50,000 in potential monthly losses through vigilant fraud detection.</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Facilitated the onboarding of Sonnet and Sentilink products, tripling the speed of credit dispute processing and enhancing the detection of fraudulent actors by 15% through in-depth transaction analysis and abuse vector monitoring, demonstrating precision in investigations.</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Created automations using SQL, Python, Tableau, and Google App Scripts to generate productivity dashboards, chargeback worksheets, and Sonnet work queues for the team, improving operational process efficiency and supporting scalable fraud detection with data-driven insights.</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Coordinated cross-functionally with legal, finance, communications, customer support, and backend engineers to reduce financial loss by an average of $50,000 monthly, identify fraud trends, and ensure platform integrity, contributing to robust risk management.</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Led and managed development processes for a team of 2 operations specialists, overseeing the processing of up to 430 ACH chargebacks, 1100+ credit disputes, and 120+ bankruptcies weekly, demonstrating strong management systems and leadership.</w:t>
      </w:r>
    </w:p>
    <w:p>
      <w:pPr>
        <w:spacing w:after="120"/>
      </w:pPr>
      <w:r>
        <w:rPr>
          <w:b/>
          <w:bCs/>
          <w:color w:val="000000"/>
          <w:sz w:val="22"/>
          <w:szCs w:val="22"/>
          <w:rFonts w:ascii="Calibri" w:cs="Calibri" w:eastAsia="Calibri" w:hAnsi="Calibri"/>
        </w:rPr>
        <w:t xml:space="preserve">Fraud Operations Manager</w:t>
      </w:r>
      <w:r>
        <w:rPr>
          <w:color w:val="000000"/>
          <w:sz w:val="22"/>
          <w:szCs w:val="22"/>
          <w:rFonts w:ascii="Calibri" w:cs="Calibri" w:eastAsia="Calibri" w:hAnsi="Calibri"/>
        </w:rPr>
        <w:t xml:space="preserve">, SELF FINANCIAL INC, February 2021 - December 2021</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Investigated over 3000 accounts weekly, analyzing alerts stemming from transactional activity and new account applications, preventing average company losses of $200,000 per week through proactive fraud detection and risk mitigation.</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Developed and implemented an intensive training curriculum for fraud analysts on fraud detection techniques, resulting in a 15% reduction in investigation process time and enhanced fraud prevention measures, showcasing strong analytical skills.</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Implemented reporting automation using SQL, Python, and Google App Scripts for bank partner auditing, saving 3 hours weekly and ensuring accuracy in fraud data reporting and anomaly alerting systems at scale, supporting regulatory reporting.</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Spearheaded a project to close over 500 accounts monthly with high fraud scores through Sentilink, utilizing data-driven decision-making and agile methodology for synthetic identity detection, preventing over $100,000 in potential losses.</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Coordinated with compliance and BSA Managers to combat fraud in accounts exceeding $5,000, particularly in AML, and created comprehensive SAR narratives, demonstrating expertise in Bank Secrecy Act (BSA) and FinCEN guidelines.</w:t>
      </w:r>
    </w:p>
    <w:p>
      <w:pPr>
        <w:pStyle w:val="Heading2"/>
        <w:spacing w:before="240" w:after="120"/>
        <w:jc w:val="left"/>
      </w:pPr>
      <w:r>
        <w:rPr>
          <w:b/>
          <w:bCs/>
          <w:color w:val="000000"/>
          <w:sz w:val="24"/>
          <w:szCs w:val="24"/>
          <w:rFonts w:ascii="Calibri" w:cs="Calibri" w:eastAsia="Calibri" w:hAnsi="Calibri"/>
        </w:rPr>
        <w:t xml:space="preserve">EDUCATION</w:t>
      </w:r>
    </w:p>
    <w:p>
      <w:pPr>
        <w:spacing w:after="240"/>
        <w:jc w:val="left"/>
      </w:pPr>
      <w:r>
        <w:rPr>
          <w:color w:val="000000"/>
          <w:sz w:val="22"/>
          <w:szCs w:val="22"/>
          <w:rFonts w:ascii="Calibri" w:cs="Calibri" w:eastAsia="Calibri" w:hAnsi="Calibri"/>
        </w:rPr>
        <w:t xml:space="preserve">Bachelor of Science in Fashion Merchandise/Marketing | Art Institute of Seattle</w:t>
      </w:r>
    </w:p>
    <w:p>
      <w:pPr>
        <w:spacing w:after="120"/>
      </w:pPr>
      <w:r>
        <w:rPr>
          <w:color w:val="000000"/>
          <w:sz w:val="22"/>
          <w:szCs w:val="22"/>
          <w:rFonts w:ascii="Calibri" w:cs="Calibri" w:eastAsia="Calibri" w:hAnsi="Calibri"/>
        </w:rPr>
        <w:t xml:space="preserve">May 2012</w:t>
      </w:r>
    </w:p>
    <w:p>
      <w:pPr>
        <w:pStyle w:val="Heading2"/>
        <w:spacing w:before="240" w:after="120"/>
        <w:jc w:val="left"/>
      </w:pPr>
      <w:r>
        <w:rPr>
          <w:b/>
          <w:bCs/>
          <w:color w:val="000000"/>
          <w:sz w:val="24"/>
          <w:szCs w:val="24"/>
          <w:rFonts w:ascii="Calibri" w:cs="Calibri" w:eastAsia="Calibri" w:hAnsi="Calibri"/>
        </w:rPr>
        <w:t xml:space="preserve">CERTIFICATIONS</w:t>
      </w:r>
    </w:p>
    <w:p>
      <w:pPr>
        <w:spacing w:after="120"/>
      </w:pPr>
      <w:r>
        <w:rPr>
          <w:b/>
          <w:bCs/>
          <w:color w:val="000000"/>
          <w:sz w:val="22"/>
          <w:szCs w:val="22"/>
          <w:rFonts w:ascii="Calibri" w:cs="Calibri" w:eastAsia="Calibri" w:hAnsi="Calibri"/>
        </w:rPr>
        <w:t xml:space="preserve">SQL Fundamentals</w:t>
      </w:r>
      <w:r>
        <w:rPr>
          <w:color w:val="000000"/>
          <w:sz w:val="22"/>
          <w:szCs w:val="22"/>
          <w:rFonts w:ascii="Calibri" w:cs="Calibri" w:eastAsia="Calibri" w:hAnsi="Calibri"/>
        </w:rPr>
        <w:t xml:space="preserve"> – DataCamp</w:t>
      </w:r>
    </w:p>
    <w:sectPr>
      <w:type w:val="continuous"/>
      <w:pgSz w:w="8.5in" w:h="11in"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Professional Resume</dc:title>
  <dc:creator>Jobscan Comprehensive Markdown to DOCX Converter</dc:creator>
  <cp:lastModifiedBy>Un-named</cp:lastModifiedBy>
  <cp:revision>1</cp:revision>
  <dcterms:created xsi:type="dcterms:W3CDTF">2025-12-02T06:34:51.012Z</dcterms:created>
  <dcterms:modified xsi:type="dcterms:W3CDTF">2025-12-02T06:34:51.012Z</dcterms:modified>
</cp:coreProperties>
</file>

<file path=docProps/custom.xml><?xml version="1.0" encoding="utf-8"?>
<Properties xmlns="http://schemas.openxmlformats.org/officeDocument/2006/custom-properties" xmlns:vt="http://schemas.openxmlformats.org/officeDocument/2006/docPropsVTypes"/>
</file>