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1092" cy="502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pcorn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1092" cy="502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achen Bold" w:hAnsi="Aachen Bold"/>
          <w:b w:val="0"/>
          <w:color w:val="B13A2A"/>
          <w:sz w:val="44"/>
        </w:rPr>
        <w:t>Editing Your Website Content</w:t>
      </w:r>
    </w:p>
    <w:p>
      <w:pPr>
        <w:jc w:val="center"/>
      </w:pPr>
      <w:r>
        <w:rPr>
          <w:rFonts w:ascii="Libre Franklin" w:hAnsi="Libre Franklin"/>
          <w:b w:val="0"/>
          <w:color w:val="141210"/>
          <w:sz w:val="22"/>
        </w:rPr>
        <w:t>A 1-page guide to the Scope Screenings CMS</w:t>
      </w:r>
    </w:p>
    <w:p>
      <w:r>
        <w:rPr>
          <w:rFonts w:ascii="Aachen Bold" w:hAnsi="Aachen Bold"/>
          <w:b w:val="0"/>
          <w:color w:val="B13A2A"/>
          <w:sz w:val="26"/>
        </w:rPr>
        <w:t>The one rule</w:t>
      </w:r>
    </w:p>
    <w:p>
      <w:r>
        <w:rPr>
          <w:rFonts w:ascii="Libre Franklin" w:hAnsi="Libre Franklin"/>
          <w:b w:val="0"/>
          <w:color w:val="141210"/>
          <w:sz w:val="21"/>
        </w:rPr>
        <w:t>Open the CMS in your Wix dashboard → pick the collection → edit the fields → click Publish. Your live site updates within the hour.</w:t>
      </w:r>
    </w:p>
    <w:p>
      <w:r>
        <w:rPr>
          <w:rFonts w:ascii="Aachen Bold" w:hAnsi="Aachen Bold"/>
          <w:b w:val="0"/>
          <w:color w:val="B13A2A"/>
          <w:sz w:val="26"/>
        </w:rPr>
        <w:t>Sections — edit any section's words, title, image, or button</w:t>
      </w:r>
    </w:p>
    <w:p>
      <w:pPr>
        <w:pStyle w:val="ListBullet"/>
      </w:pPr>
      <w:r>
        <w:rPr>
          <w:rFonts w:ascii="Libre Franklin" w:hAnsi="Libre Franklin"/>
          <w:b/>
          <w:color w:val="141210"/>
          <w:sz w:val="21"/>
        </w:rPr>
        <w:t xml:space="preserve">Title: </w:t>
      </w:r>
      <w:r>
        <w:rPr>
          <w:rFonts w:ascii="Libre Franklin" w:hAnsi="Libre Franklin"/>
          <w:b w:val="0"/>
          <w:color w:val="141210"/>
          <w:sz w:val="21"/>
        </w:rPr>
        <w:t>the big heading for that section.</w:t>
      </w:r>
    </w:p>
    <w:p>
      <w:pPr>
        <w:pStyle w:val="ListBullet"/>
      </w:pPr>
      <w:r>
        <w:rPr>
          <w:rFonts w:ascii="Libre Franklin" w:hAnsi="Libre Franklin"/>
          <w:b/>
          <w:color w:val="141210"/>
          <w:sz w:val="21"/>
        </w:rPr>
        <w:t xml:space="preserve">Eyebrow: </w:t>
      </w:r>
      <w:r>
        <w:rPr>
          <w:rFonts w:ascii="Libre Franklin" w:hAnsi="Libre Franklin"/>
          <w:b w:val="0"/>
          <w:color w:val="141210"/>
          <w:sz w:val="21"/>
        </w:rPr>
        <w:t>the small label above the title (e.g. “Chapter Three”).</w:t>
      </w:r>
    </w:p>
    <w:p>
      <w:pPr>
        <w:pStyle w:val="ListBullet"/>
      </w:pPr>
      <w:r>
        <w:rPr>
          <w:rFonts w:ascii="Libre Franklin" w:hAnsi="Libre Franklin"/>
          <w:b/>
          <w:color w:val="141210"/>
          <w:sz w:val="21"/>
        </w:rPr>
        <w:t xml:space="preserve">Body: </w:t>
      </w:r>
      <w:r>
        <w:rPr>
          <w:rFonts w:ascii="Libre Franklin" w:hAnsi="Libre Franklin"/>
          <w:b w:val="0"/>
          <w:color w:val="141210"/>
          <w:sz w:val="21"/>
        </w:rPr>
        <w:t>the paragraph text.</w:t>
      </w:r>
    </w:p>
    <w:p>
      <w:pPr>
        <w:pStyle w:val="ListBullet"/>
      </w:pPr>
      <w:r>
        <w:rPr>
          <w:rFonts w:ascii="Libre Franklin" w:hAnsi="Libre Franklin"/>
          <w:b/>
          <w:color w:val="141210"/>
          <w:sz w:val="21"/>
        </w:rPr>
        <w:t xml:space="preserve">Image: </w:t>
      </w:r>
      <w:r>
        <w:rPr>
          <w:rFonts w:ascii="Libre Franklin" w:hAnsi="Libre Franklin"/>
          <w:b w:val="0"/>
          <w:color w:val="141210"/>
          <w:sz w:val="21"/>
        </w:rPr>
        <w:t>upload a new photo for that section.</w:t>
      </w:r>
    </w:p>
    <w:p>
      <w:pPr>
        <w:pStyle w:val="ListBullet"/>
      </w:pPr>
      <w:r>
        <w:rPr>
          <w:rFonts w:ascii="Libre Franklin" w:hAnsi="Libre Franklin"/>
          <w:b/>
          <w:color w:val="141210"/>
          <w:sz w:val="21"/>
        </w:rPr>
        <w:t xml:space="preserve">Button label / Button link: </w:t>
      </w:r>
      <w:r>
        <w:rPr>
          <w:rFonts w:ascii="Libre Franklin" w:hAnsi="Libre Franklin"/>
          <w:b w:val="0"/>
          <w:color w:val="141210"/>
          <w:sz w:val="21"/>
        </w:rPr>
        <w:t>the button text and where it links (e.g. the Submit button → FilmFreeway).</w:t>
      </w:r>
    </w:p>
    <w:p>
      <w:pPr>
        <w:pStyle w:val="ListBullet"/>
      </w:pPr>
      <w:r>
        <w:rPr>
          <w:rFonts w:ascii="Libre Franklin" w:hAnsi="Libre Franklin"/>
          <w:b/>
          <w:color w:val="141210"/>
          <w:sz w:val="21"/>
        </w:rPr>
        <w:t xml:space="preserve">Section key: </w:t>
      </w:r>
      <w:r>
        <w:rPr>
          <w:rFonts w:ascii="Libre Franklin" w:hAnsi="Libre Franklin"/>
          <w:b w:val="0"/>
          <w:color w:val="141210"/>
          <w:sz w:val="21"/>
        </w:rPr>
        <w:t>leave this alone — it tells the website which section this is.</w:t>
      </w:r>
    </w:p>
    <w:p>
      <w:r>
        <w:rPr>
          <w:rFonts w:ascii="Aachen Bold" w:hAnsi="Aachen Bold"/>
          <w:b w:val="0"/>
          <w:color w:val="B13A2A"/>
          <w:sz w:val="26"/>
        </w:rPr>
        <w:t>Partners — add or change sponsors</w:t>
      </w:r>
    </w:p>
    <w:p>
      <w:pPr>
        <w:pStyle w:val="ListBullet"/>
      </w:pPr>
      <w:r>
        <w:rPr>
          <w:rFonts w:ascii="Libre Franklin" w:hAnsi="Libre Franklin"/>
          <w:b w:val="0"/>
          <w:color w:val="141210"/>
          <w:sz w:val="21"/>
        </w:rPr>
        <w:t>Add a row for a new partner: name, logo (upload), link, and order. Remove a row to drop a partner.</w:t>
      </w:r>
    </w:p>
    <w:p>
      <w:r>
        <w:rPr>
          <w:rFonts w:ascii="Aachen Bold" w:hAnsi="Aachen Bold"/>
          <w:b w:val="0"/>
          <w:color w:val="B13A2A"/>
          <w:sz w:val="26"/>
        </w:rPr>
        <w:t>Marquee — the scrolling banner under the hero</w:t>
      </w:r>
    </w:p>
    <w:p>
      <w:pPr>
        <w:pStyle w:val="ListBullet"/>
      </w:pPr>
      <w:r>
        <w:rPr>
          <w:rFonts w:ascii="Libre Franklin" w:hAnsi="Libre Franklin"/>
          <w:b w:val="0"/>
          <w:color w:val="141210"/>
          <w:sz w:val="21"/>
        </w:rPr>
        <w:t>Each row is one phrase. The “Now Showing” date is automatic from your ticketing — you don’t edit that.</w:t>
      </w:r>
    </w:p>
    <w:p>
      <w:r>
        <w:rPr>
          <w:rFonts w:ascii="Aachen Bold" w:hAnsi="Aachen Bold"/>
          <w:b w:val="0"/>
          <w:color w:val="B13A2A"/>
          <w:sz w:val="26"/>
        </w:rPr>
        <w:t>Socials &amp; Settings</w:t>
      </w:r>
    </w:p>
    <w:p>
      <w:pPr>
        <w:pStyle w:val="ListBullet"/>
      </w:pPr>
      <w:r>
        <w:rPr>
          <w:rFonts w:ascii="Libre Franklin" w:hAnsi="Libre Franklin"/>
          <w:b w:val="0"/>
          <w:color w:val="141210"/>
          <w:sz w:val="21"/>
        </w:rPr>
        <w:t>Socials: add/edit the Instagram, TikTok, YouTube links in the footer.</w:t>
      </w:r>
    </w:p>
    <w:p>
      <w:pPr>
        <w:pStyle w:val="ListBullet"/>
      </w:pPr>
      <w:r>
        <w:rPr>
          <w:rFonts w:ascii="Libre Franklin" w:hAnsi="Libre Franklin"/>
          <w:b w:val="0"/>
          <w:color w:val="141210"/>
          <w:sz w:val="21"/>
        </w:rPr>
        <w:t>Settings: contact email, venue name/address, door &amp; screening times, newsletter heading, footer tagline, copyright.</w:t>
      </w:r>
    </w:p>
    <w:p>
      <w:r>
        <w:rPr>
          <w:rFonts w:ascii="Aachen Bold" w:hAnsi="Aachen Bold"/>
          <w:b w:val="0"/>
          <w:color w:val="B13A2A"/>
          <w:sz w:val="26"/>
        </w:rPr>
        <w:t>Leave these alone (they update themselves)</w:t>
      </w:r>
    </w:p>
    <w:p>
      <w:pPr>
        <w:pStyle w:val="ListBullet"/>
      </w:pPr>
      <w:r>
        <w:rPr>
          <w:rFonts w:ascii="Libre Franklin" w:hAnsi="Libre Franklin"/>
          <w:b w:val="0"/>
          <w:color w:val="141210"/>
          <w:sz w:val="21"/>
        </w:rPr>
        <w:t>Tickets and the Schedule come straight from Wix Events — manage those where you already sell tickets.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