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The modelled population is the people with a known HCV screening result, who were assumed to be the PWID; their 2015 prison counts are the calibration targets. The re-arrest model includes the 2015 prison steady state, with the same ageing (0.1 per year) and background mortality as the model. The prison records observe only people who have been arrested, so they do not identify the first arrest rate of people who have never been imprisoned. We assumed that it equals the re-arrest rate,</w:t>
      </w:r>
      <w:r>
        <w:t xml:space="preserve"> </w:t>
      </w:r>
      <m:oMath>
        <m:sSubSup>
          <m:e>
            <m:r>
              <m:t>λ</m:t>
            </m:r>
          </m:e>
          <m:sub>
            <m:r>
              <m:t>i</m:t>
            </m:r>
          </m:sub>
          <m:sup>
            <m:r>
              <m:rPr>
                <m:sty m:val="p"/>
              </m:rPr>
              <m:t>(</m:t>
            </m:r>
            <m:r>
              <m:t>1</m:t>
            </m:r>
            <m:r>
              <m:rPr>
                <m:sty m:val="p"/>
              </m:rPr>
              <m:t>)</m:t>
            </m:r>
          </m:sup>
        </m:sSubSup>
        <m:r>
          <m:rPr>
            <m:sty m:val="p"/>
          </m:rPr>
          <m:t>=</m:t>
        </m:r>
        <m:sSubSup>
          <m:e>
            <m:r>
              <m:t>λ</m:t>
            </m:r>
          </m:e>
          <m:sub>
            <m:r>
              <m:t>i</m:t>
            </m:r>
          </m:sub>
          <m:sup>
            <m:r>
              <m:rPr>
                <m:sty m:val="p"/>
              </m:rPr>
              <m:t>(</m:t>
            </m:r>
            <m:r>
              <m:t>3</m:t>
            </m:r>
            <m:r>
              <m:rPr>
                <m:sty m:val="p"/>
              </m:rPr>
              <m:t>)</m:t>
            </m:r>
          </m:sup>
        </m:sSubSup>
      </m:oMath>
      <w:r>
        <w:t xml:space="preserve"> </w:t>
      </w:r>
      <w:r>
        <w:t xml:space="preserve">(0.546, 0.488, 0.472, 0.472, 0.386, 0.266 per year by age).</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PWID</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r>
                <m:t>h</m:t>
              </m:r>
              <m:r>
                <m:t> </m:t>
              </m:r>
              <m:sSub>
                <m:e>
                  <m:r>
                    <m:t>ω</m:t>
                  </m:r>
                </m:e>
                <m:sub>
                  <m:r>
                    <m:t>0</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sSub>
          <m:e>
            <m:r>
              <m:t>ω</m:t>
            </m:r>
          </m:e>
          <m:sub>
            <m:r>
              <m:t>0</m:t>
            </m:r>
          </m:sub>
        </m:sSub>
        <m:sSub>
          <m:e>
            <m:r>
              <m:t>μ</m:t>
            </m:r>
          </m:e>
          <m:sub>
            <m:r>
              <m:t>i</m:t>
            </m:r>
          </m:sub>
        </m:sSub>
      </m:oMath>
      <w:r>
        <w:t xml:space="preserve">, where</w:t>
      </w:r>
      <w:r>
        <w:t xml:space="preserve"> </w:t>
      </w:r>
      <m:oMath>
        <m:sSub>
          <m:e>
            <m:r>
              <m:t>μ</m:t>
            </m:r>
          </m:e>
          <m:sub>
            <m:r>
              <m:t>i</m:t>
            </m:r>
          </m:sub>
        </m:sSub>
      </m:oMath>
      <w:r>
        <w:t xml:space="preserve"> </w:t>
      </w:r>
      <w:r>
        <w:t xml:space="preserve">is the Singapore resident death rate. Chronic infection (state c) multiplies it by</w:t>
      </w:r>
      <w:r>
        <w:t xml:space="preserve"> </w:t>
      </w:r>
      <m:oMath>
        <m:r>
          <m:t>h</m:t>
        </m:r>
        <m:r>
          <m:rPr>
            <m:sty m:val="p"/>
          </m:rPr>
          <m:t>=</m:t>
        </m:r>
        <m:r>
          <m:t>1.47</m:t>
        </m:r>
      </m:oMath>
      <w:r>
        <w:t xml:space="preserve">. This is the multivariable adjusted hazard ratio for extrahepatic death with detectable HCV RNA, against anti-HCV negative people, in the REVEAL-HCV cohort (95% CI 1.23 to 1.77; people with undetectable RNA had 0.90)</w:t>
      </w:r>
      <w:r>
        <w:t xml:space="preserve"> </w:t>
      </w:r>
      <w:r>
        <w:t xml:space="preserve">[13]</w:t>
      </w:r>
      <w:r>
        <w:t xml:space="preserve">. We used the extrahepatic ratio because liver deaths are explicit in stages 3 and 4, and we applied it to state c only because the cohort measured chronic carriers.</w:t>
      </w:r>
      <w:r>
        <w:t xml:space="preserve"> </w:t>
      </w:r>
      <m:oMath>
        <m:sSub>
          <m:e>
            <m:r>
              <m:t>ω</m:t>
            </m:r>
          </m:e>
          <m:sub>
            <m:r>
              <m:t>0</m:t>
            </m:r>
          </m:sub>
        </m:sSub>
        <m:r>
          <m:rPr>
            <m:sty m:val="p"/>
          </m:rPr>
          <m:t>=</m:t>
        </m:r>
        <m:r>
          <m:t>ω</m:t>
        </m:r>
        <m:r>
          <m:rPr>
            <m:sty m:val="p"/>
          </m:rPr>
          <m:t>/</m:t>
        </m:r>
        <m:r>
          <m:rPr>
            <m:sty m:val="p"/>
          </m:rPr>
          <m:t>(</m:t>
        </m:r>
        <m:r>
          <m:t>1</m:t>
        </m:r>
        <m:r>
          <m:rPr>
            <m:sty m:val="p"/>
          </m:rPr>
          <m:t>+</m:t>
        </m:r>
        <m:r>
          <m:rPr>
            <m:sty m:val="p"/>
          </m:rPr>
          <m:t>(</m:t>
        </m:r>
        <m:r>
          <m:t>h</m:t>
        </m:r>
        <m:r>
          <m:rPr>
            <m:sty m:val="p"/>
          </m:rPr>
          <m:t>−</m:t>
        </m:r>
        <m:r>
          <m:t>1</m:t>
        </m:r>
        <m:r>
          <m:rPr>
            <m:sty m:val="p"/>
          </m:rPr>
          <m:t>)</m:t>
        </m:r>
        <m:r>
          <m:t>v</m:t>
        </m:r>
        <m:r>
          <m:rPr>
            <m:sty m:val="p"/>
          </m:rPr>
          <m:t>)</m:t>
        </m:r>
      </m:oMath>
      <w:r>
        <w:t xml:space="preserve"> </w:t>
      </w:r>
      <w:r>
        <w:t xml:space="preserve">keeps the average PWID rate at the pooled standardised mortality ratio</w:t>
      </w:r>
      <w:r>
        <w:t xml:space="preserve"> </w:t>
      </w:r>
      <m:oMath>
        <m:r>
          <m:t>ω</m:t>
        </m:r>
      </m:oMath>
      <w:r>
        <w:t xml:space="preserve"> </w:t>
      </w:r>
      <w:r>
        <w:t xml:space="preserve">[11]</w:t>
      </w:r>
      <w:r>
        <w:t xml:space="preserve">, with</w:t>
      </w:r>
      <w:r>
        <w:t xml:space="preserve"> </w:t>
      </w:r>
      <m:oMath>
        <m:r>
          <m:t>v</m:t>
        </m:r>
        <m:r>
          <m:rPr>
            <m:sty m:val="p"/>
          </m:rPr>
          <m:t>=</m:t>
        </m:r>
        <m:r>
          <m:t>0.205</m:t>
        </m:r>
      </m:oMath>
      <w:r>
        <w:t xml:space="preserve"> </w:t>
      </w:r>
      <w:r>
        <w:t xml:space="preserve">the chronic viraemic share of PWID at the 2015 best fit (fixed point; held constant so that treating one person does not change the death rate of others). These extra deaths are not counted as HCV-related deaths.</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r>
                <m:t>ω</m:t>
              </m:r>
            </m:oMath>
          </w:p>
        </w:tc>
        <w:tc>
          <w:tcPr/>
          <w:p>
            <w:pPr>
              <w:pStyle w:val="Compact"/>
            </w:pPr>
            <w:r>
              <w:t xml:space="preserve">Standardised mortality ratio for PWID</w:t>
            </w:r>
          </w:p>
        </w:tc>
        <w:tc>
          <w:tcPr/>
          <w:p>
            <w:pPr>
              <w:pStyle w:val="Compact"/>
            </w:pPr>
            <w:r>
              <w:t xml:space="preserve">14.68</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r>
                <m:t>h</m:t>
              </m:r>
            </m:oMath>
          </w:p>
        </w:tc>
        <w:tc>
          <w:tcPr/>
          <w:p>
            <w:pPr>
              <w:pStyle w:val="Compact"/>
            </w:pPr>
            <w:r>
              <w:t xml:space="preserve">Hazard ratio for non-liver death, chronic infection</w:t>
            </w:r>
          </w:p>
        </w:tc>
        <w:tc>
          <w:tcPr/>
          <w:p>
            <w:pPr>
              <w:pStyle w:val="Compact"/>
            </w:pPr>
            <w:r>
              <w:t xml:space="preserve">1.47</w:t>
            </w:r>
          </w:p>
        </w:tc>
        <w:tc>
          <w:tcPr/>
          <w:p>
            <w:pPr>
              <w:pStyle w:val="Compact"/>
            </w:pPr>
            <w:r>
              <w:t xml:space="preserve">[13]</w:t>
            </w:r>
          </w:p>
        </w:tc>
      </w:tr>
      <w:tr>
        <w:tc>
          <w:tcPr/>
          <w:p>
            <w:pPr>
              <w:pStyle w:val="Compact"/>
            </w:pPr>
            <m:oMath>
              <m:r>
                <m:t>v</m:t>
              </m:r>
            </m:oMath>
          </w:p>
        </w:tc>
        <w:tc>
          <w:tcPr/>
          <w:p>
            <w:pPr>
              <w:pStyle w:val="Compact"/>
            </w:pPr>
            <w:r>
              <w:t xml:space="preserve">Chronic viraemic share of PWID, 2015 (fixed point)</w:t>
            </w:r>
          </w:p>
        </w:tc>
        <w:tc>
          <w:tcPr/>
          <w:p>
            <w:pPr>
              <w:pStyle w:val="Compact"/>
            </w:pPr>
            <w:r>
              <w:t xml:space="preserve">0.205</w:t>
            </w:r>
          </w:p>
        </w:tc>
        <w:tc>
          <w:tcPr/>
          <w:p>
            <w:pPr>
              <w:pStyle w:val="Compact"/>
            </w:pPr>
            <w:r>
              <w:t xml:space="preserve">Model fit</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1</m:t>
                  </m:r>
                  <m:r>
                    <m:rPr>
                      <m:sty m:val="p"/>
                    </m:rPr>
                    <m:t>)</m:t>
                  </m:r>
                </m:sup>
              </m:sSubSup>
            </m:oMath>
          </w:p>
        </w:tc>
        <w:tc>
          <w:tcPr/>
          <w:p>
            <w:pPr>
              <w:pStyle w:val="Compact"/>
            </w:pPr>
            <w:r>
              <w:t xml:space="preserve">First arrest rate (per year), by age</w:t>
            </w:r>
          </w:p>
        </w:tc>
        <w:tc>
          <w:tcPr/>
          <w:p>
            <w:pPr>
              <w:pStyle w:val="Compact"/>
            </w:pPr>
            <w:r>
              <w:t xml:space="preserve">0.546, 0.488, 0.472, 0.472, 0.386, 0.266</w:t>
            </w:r>
          </w:p>
        </w:tc>
        <w:tc>
          <w:tcPr/>
          <w:p>
            <w:pPr>
              <w:pStyle w:val="Compact"/>
            </w:pPr>
            <w:r>
              <w:t xml:space="preserve">Assumed equal to</w:t>
            </w:r>
            <w:r>
              <w:t xml:space="preserve"> </w:t>
            </w:r>
            <m:oMath>
              <m:sSubSup>
                <m:e>
                  <m:r>
                    <m:t>λ</m:t>
                  </m:r>
                </m:e>
                <m:sub>
                  <m:r>
                    <m:t>i</m:t>
                  </m:r>
                </m:sub>
                <m:sup>
                  <m:r>
                    <m:rPr>
                      <m:sty m:val="p"/>
                    </m:rPr>
                    <m:t>(</m:t>
                  </m:r>
                  <m:r>
                    <m:t>3</m:t>
                  </m:r>
                  <m:r>
                    <m:rPr>
                      <m:sty m:val="p"/>
                    </m:rPr>
                    <m:t>)</m:t>
                  </m:r>
                </m:sup>
              </m:sSubSup>
            </m:oMath>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2015 Singapore Prison Service data on HCV seroprevalence and the number of people in prison with a history of drug use, in six age groups. Seroprevalence in the model is the share of people in states a, c, t and r among all people in J. The prevalence terms used a binomial likelihood. The population terms used a log normal likelihood with standard deviation 0.10 on the log scale.</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[17]</w:t>
      </w:r>
      <w:r>
        <w:t xml:space="preserve"> </w:t>
      </w:r>
      <w:r>
        <w:t xml:space="preserve">(Table S2). Each age specific series was multiplied by a calibrated scale.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12 parameters on the log scale. Parameters θ1 to θ6 multiply the contact rates of the six age groups. Parameters θ7 to θ12 multiply the entry rates of the six age groups: entry into age group</w:t>
      </w:r>
      <w:r>
        <w:t xml:space="preserve"> </w:t>
      </w:r>
      <m:oMath>
        <m:r>
          <m:t>i</m:t>
        </m:r>
      </m:oMath>
      <w:r>
        <w:t xml:space="preserve"> </w:t>
      </w:r>
      <w:r>
        <w:t xml:space="preserve">in 2015 is</w:t>
      </w:r>
      <w:r>
        <w:t xml:space="preserve"> </w:t>
      </w:r>
      <m:oMath>
        <m:sSup>
          <m:e>
            <m:r>
              <m:t>e</m:t>
            </m:r>
          </m:e>
          <m:sup>
            <m:sSub>
              <m:e>
                <m:r>
                  <m:t>θ</m:t>
                </m:r>
              </m:e>
              <m:sub>
                <m:r>
                  <m:t>6</m:t>
                </m:r>
                <m:r>
                  <m:rPr>
                    <m:sty m:val="p"/>
                  </m:rPr>
                  <m:t>+</m:t>
                </m:r>
                <m:r>
                  <m:t>i</m:t>
                </m:r>
              </m:sub>
            </m:sSub>
          </m:sup>
        </m:sSup>
        <m:sSub>
          <m:e>
            <m:r>
              <m:t>β</m:t>
            </m:r>
          </m:e>
          <m:sub>
            <m:r>
              <m:t>i</m:t>
            </m:r>
          </m:sub>
        </m:sSub>
      </m:oMath>
      <w:r>
        <w:t xml:space="preserve">, where</w:t>
      </w:r>
      <w:r>
        <w:t xml:space="preserve"> </w:t>
      </w:r>
      <m:oMath>
        <m:sSub>
          <m:e>
            <m:r>
              <m:t>β</m:t>
            </m:r>
          </m:e>
          <m:sub>
            <m:r>
              <m:t>i</m:t>
            </m:r>
          </m:sub>
        </m:sSub>
      </m:oMath>
      <w:r>
        <w:t xml:space="preserve"> </w:t>
      </w:r>
      <w:r>
        <w:t xml:space="preserve">is the official 2015 count of new drug users. A deterministic Nelder Mead fit with 8 starts gave the centre of the prior. The starts were an earlier anchor, 6 random perturbations of it (standard deviation 0.9 on the log scale) and a population informed start. Each start ran for up to 3,000 iterations and was then restarted from its own solution, up to 5 times, while the objective still fell by more than 0.001. The best fit had an objective of 18.73, a prevalence root mean square error of 0.0000 and a population mean absolute percentage error of 0.1%. Every model evaluation ran from model year 0 to 150. The last ten years had to be at equilibrium. The prior for each parameter was normal on the log scale with standard deviation 0.20. Its centre was the best fit, except that any value closer than five prior standard deviations (1.0 on the log scale) to a parameter bound was moved inward to that distance. No parameter of the best fit was that close to a bound, so the prior centre is the best fit (Table S5). Contact scales were bounded to 0.01 to 1,000 and entry scales to 0.01 to 10⁶.</w:t>
      </w:r>
    </w:p>
    <w:bookmarkEnd w:id="17"/>
    <w:bookmarkStart w:id="18" w:name="posterior-sampling"/>
    <w:p>
      <w:pPr>
        <w:pStyle w:val="Heading2"/>
      </w:pPr>
      <w:r>
        <w:t xml:space="preserve">2.4 Posterior sampling</w:t>
      </w:r>
    </w:p>
    <w:p>
      <w:pPr>
        <w:pStyle w:val="FirstParagraph"/>
      </w:pPr>
      <w:r>
        <w:t xml:space="preserve">The posterior combined the prior, a binomial likelihood for the six prevalence counts and a log normal likelihood (standard deviation 0.10) for the six population counts.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159,996 retained iterations. Every 10th iteration was stored (16,000 draws), and diagnostics used all retained iterations. Acceptance was 0.26 to 0.28.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1.0016</w:t>
            </w:r>
          </w:p>
        </w:tc>
        <w:tc>
          <w:tcPr/>
          <w:p>
            <w:pPr>
              <w:pStyle w:val="Compact"/>
            </w:pPr>
            <w:r>
              <w:t xml:space="preserve">3,702</w:t>
            </w:r>
          </w:p>
        </w:tc>
        <w:tc>
          <w:tcPr/>
          <w:p>
            <w:pPr>
              <w:pStyle w:val="Compact"/>
            </w:pPr>
            <w:r>
              <w:t xml:space="preserve">6,855</w:t>
            </w:r>
          </w:p>
        </w:tc>
        <w:tc>
          <w:tcPr/>
          <w:p>
            <w:pPr>
              <w:pStyle w:val="Compact"/>
            </w:pPr>
            <w:r>
              <w:t xml:space="preserve">0.016</w:t>
            </w:r>
          </w:p>
        </w:tc>
      </w:tr>
      <w:tr>
        <w:tc>
          <w:tcPr/>
          <w:p>
            <w:pPr>
              <w:pStyle w:val="Compact"/>
            </w:pPr>
            <w:r>
              <w:t xml:space="preserve">θ2</w:t>
            </w:r>
          </w:p>
        </w:tc>
        <w:tc>
          <w:tcPr/>
          <w:p>
            <w:pPr>
              <w:pStyle w:val="Compact"/>
            </w:pPr>
            <w:r>
              <w:t xml:space="preserve">1.0018</w:t>
            </w:r>
          </w:p>
        </w:tc>
        <w:tc>
          <w:tcPr/>
          <w:p>
            <w:pPr>
              <w:pStyle w:val="Compact"/>
            </w:pPr>
            <w:r>
              <w:t xml:space="preserve">3,401</w:t>
            </w:r>
          </w:p>
        </w:tc>
        <w:tc>
          <w:tcPr/>
          <w:p>
            <w:pPr>
              <w:pStyle w:val="Compact"/>
            </w:pPr>
            <w:r>
              <w:t xml:space="preserve">5,942</w:t>
            </w:r>
          </w:p>
        </w:tc>
        <w:tc>
          <w:tcPr/>
          <w:p>
            <w:pPr>
              <w:pStyle w:val="Compact"/>
            </w:pPr>
            <w:r>
              <w:t xml:space="preserve">0.017</w:t>
            </w:r>
          </w:p>
        </w:tc>
      </w:tr>
      <w:tr>
        <w:tc>
          <w:tcPr/>
          <w:p>
            <w:pPr>
              <w:pStyle w:val="Compact"/>
            </w:pPr>
            <w:r>
              <w:t xml:space="preserve">θ3</w:t>
            </w:r>
          </w:p>
        </w:tc>
        <w:tc>
          <w:tcPr/>
          <w:p>
            <w:pPr>
              <w:pStyle w:val="Compact"/>
            </w:pPr>
            <w:r>
              <w:t xml:space="preserve">1.0008</w:t>
            </w:r>
          </w:p>
        </w:tc>
        <w:tc>
          <w:tcPr/>
          <w:p>
            <w:pPr>
              <w:pStyle w:val="Compact"/>
            </w:pPr>
            <w:r>
              <w:t xml:space="preserve">3,276</w:t>
            </w:r>
          </w:p>
        </w:tc>
        <w:tc>
          <w:tcPr/>
          <w:p>
            <w:pPr>
              <w:pStyle w:val="Compact"/>
            </w:pPr>
            <w:r>
              <w:t xml:space="preserve">5,335</w:t>
            </w:r>
          </w:p>
        </w:tc>
        <w:tc>
          <w:tcPr/>
          <w:p>
            <w:pPr>
              <w:pStyle w:val="Compact"/>
            </w:pPr>
            <w:r>
              <w:t xml:space="preserve">0.018</w:t>
            </w:r>
          </w:p>
        </w:tc>
      </w:tr>
      <w:tr>
        <w:tc>
          <w:tcPr/>
          <w:p>
            <w:pPr>
              <w:pStyle w:val="Compact"/>
            </w:pPr>
            <w:r>
              <w:t xml:space="preserve">θ4</w:t>
            </w:r>
          </w:p>
        </w:tc>
        <w:tc>
          <w:tcPr/>
          <w:p>
            <w:pPr>
              <w:pStyle w:val="Compact"/>
            </w:pPr>
            <w:r>
              <w:t xml:space="preserve">1.0006</w:t>
            </w:r>
          </w:p>
        </w:tc>
        <w:tc>
          <w:tcPr/>
          <w:p>
            <w:pPr>
              <w:pStyle w:val="Compact"/>
            </w:pPr>
            <w:r>
              <w:t xml:space="preserve">3,770</w:t>
            </w:r>
          </w:p>
        </w:tc>
        <w:tc>
          <w:tcPr/>
          <w:p>
            <w:pPr>
              <w:pStyle w:val="Compact"/>
            </w:pPr>
            <w:r>
              <w:t xml:space="preserve">6,513</w:t>
            </w:r>
          </w:p>
        </w:tc>
        <w:tc>
          <w:tcPr/>
          <w:p>
            <w:pPr>
              <w:pStyle w:val="Compact"/>
            </w:pPr>
            <w:r>
              <w:t xml:space="preserve">0.016</w:t>
            </w:r>
          </w:p>
        </w:tc>
      </w:tr>
      <w:tr>
        <w:tc>
          <w:tcPr/>
          <w:p>
            <w:pPr>
              <w:pStyle w:val="Compact"/>
            </w:pPr>
            <w:r>
              <w:t xml:space="preserve">θ5</w:t>
            </w:r>
          </w:p>
        </w:tc>
        <w:tc>
          <w:tcPr/>
          <w:p>
            <w:pPr>
              <w:pStyle w:val="Compact"/>
            </w:pPr>
            <w:r>
              <w:t xml:space="preserve">1.0017</w:t>
            </w:r>
          </w:p>
        </w:tc>
        <w:tc>
          <w:tcPr/>
          <w:p>
            <w:pPr>
              <w:pStyle w:val="Compact"/>
            </w:pPr>
            <w:r>
              <w:t xml:space="preserve">3,573</w:t>
            </w:r>
          </w:p>
        </w:tc>
        <w:tc>
          <w:tcPr/>
          <w:p>
            <w:pPr>
              <w:pStyle w:val="Compact"/>
            </w:pPr>
            <w:r>
              <w:t xml:space="preserve">6,738</w:t>
            </w:r>
          </w:p>
        </w:tc>
        <w:tc>
          <w:tcPr/>
          <w:p>
            <w:pPr>
              <w:pStyle w:val="Compact"/>
            </w:pPr>
            <w:r>
              <w:t xml:space="preserve">0.017</w:t>
            </w:r>
          </w:p>
        </w:tc>
      </w:tr>
      <w:tr>
        <w:tc>
          <w:tcPr/>
          <w:p>
            <w:pPr>
              <w:pStyle w:val="Compact"/>
            </w:pPr>
            <w:r>
              <w:t xml:space="preserve">θ6</w:t>
            </w:r>
          </w:p>
        </w:tc>
        <w:tc>
          <w:tcPr/>
          <w:p>
            <w:pPr>
              <w:pStyle w:val="Compact"/>
            </w:pPr>
            <w:r>
              <w:t xml:space="preserve">1.0016</w:t>
            </w:r>
          </w:p>
        </w:tc>
        <w:tc>
          <w:tcPr/>
          <w:p>
            <w:pPr>
              <w:pStyle w:val="Compact"/>
            </w:pPr>
            <w:r>
              <w:t xml:space="preserve">3,053</w:t>
            </w:r>
          </w:p>
        </w:tc>
        <w:tc>
          <w:tcPr/>
          <w:p>
            <w:pPr>
              <w:pStyle w:val="Compact"/>
            </w:pPr>
            <w:r>
              <w:t xml:space="preserve">6,124</w:t>
            </w:r>
          </w:p>
        </w:tc>
        <w:tc>
          <w:tcPr/>
          <w:p>
            <w:pPr>
              <w:pStyle w:val="Compact"/>
            </w:pPr>
            <w:r>
              <w:t xml:space="preserve">0.018</w:t>
            </w:r>
          </w:p>
        </w:tc>
      </w:tr>
      <w:tr>
        <w:tc>
          <w:tcPr/>
          <w:p>
            <w:pPr>
              <w:pStyle w:val="Compact"/>
            </w:pPr>
            <w:r>
              <w:t xml:space="preserve">θ7</w:t>
            </w:r>
          </w:p>
        </w:tc>
        <w:tc>
          <w:tcPr/>
          <w:p>
            <w:pPr>
              <w:pStyle w:val="Compact"/>
            </w:pPr>
            <w:r>
              <w:t xml:space="preserve">1.0011</w:t>
            </w:r>
          </w:p>
        </w:tc>
        <w:tc>
          <w:tcPr/>
          <w:p>
            <w:pPr>
              <w:pStyle w:val="Compact"/>
            </w:pPr>
            <w:r>
              <w:t xml:space="preserve">4,006</w:t>
            </w:r>
          </w:p>
        </w:tc>
        <w:tc>
          <w:tcPr/>
          <w:p>
            <w:pPr>
              <w:pStyle w:val="Compact"/>
            </w:pPr>
            <w:r>
              <w:t xml:space="preserve">8,063</w:t>
            </w:r>
          </w:p>
        </w:tc>
        <w:tc>
          <w:tcPr/>
          <w:p>
            <w:pPr>
              <w:pStyle w:val="Compact"/>
            </w:pPr>
            <w:r>
              <w:t xml:space="preserve">0.016</w:t>
            </w:r>
          </w:p>
        </w:tc>
      </w:tr>
      <w:tr>
        <w:tc>
          <w:tcPr/>
          <w:p>
            <w:pPr>
              <w:pStyle w:val="Compact"/>
            </w:pPr>
            <w:r>
              <w:t xml:space="preserve">θ8</w:t>
            </w:r>
          </w:p>
        </w:tc>
        <w:tc>
          <w:tcPr/>
          <w:p>
            <w:pPr>
              <w:pStyle w:val="Compact"/>
            </w:pPr>
            <w:r>
              <w:t xml:space="preserve">1.0015</w:t>
            </w:r>
          </w:p>
        </w:tc>
        <w:tc>
          <w:tcPr/>
          <w:p>
            <w:pPr>
              <w:pStyle w:val="Compact"/>
            </w:pPr>
            <w:r>
              <w:t xml:space="preserve">4,511</w:t>
            </w:r>
          </w:p>
        </w:tc>
        <w:tc>
          <w:tcPr/>
          <w:p>
            <w:pPr>
              <w:pStyle w:val="Compact"/>
            </w:pPr>
            <w:r>
              <w:t xml:space="preserve">8,175</w:t>
            </w:r>
          </w:p>
        </w:tc>
        <w:tc>
          <w:tcPr/>
          <w:p>
            <w:pPr>
              <w:pStyle w:val="Compact"/>
            </w:pPr>
            <w:r>
              <w:t xml:space="preserve">0.015</w:t>
            </w:r>
          </w:p>
        </w:tc>
      </w:tr>
      <w:tr>
        <w:tc>
          <w:tcPr/>
          <w:p>
            <w:pPr>
              <w:pStyle w:val="Compact"/>
            </w:pPr>
            <w:r>
              <w:t xml:space="preserve">θ9</w:t>
            </w:r>
          </w:p>
        </w:tc>
        <w:tc>
          <w:tcPr/>
          <w:p>
            <w:pPr>
              <w:pStyle w:val="Compact"/>
            </w:pPr>
            <w:r>
              <w:t xml:space="preserve">1.0010</w:t>
            </w:r>
          </w:p>
        </w:tc>
        <w:tc>
          <w:tcPr/>
          <w:p>
            <w:pPr>
              <w:pStyle w:val="Compact"/>
            </w:pPr>
            <w:r>
              <w:t xml:space="preserve">3,380</w:t>
            </w:r>
          </w:p>
        </w:tc>
        <w:tc>
          <w:tcPr/>
          <w:p>
            <w:pPr>
              <w:pStyle w:val="Compact"/>
            </w:pPr>
            <w:r>
              <w:t xml:space="preserve">5,786</w:t>
            </w:r>
          </w:p>
        </w:tc>
        <w:tc>
          <w:tcPr/>
          <w:p>
            <w:pPr>
              <w:pStyle w:val="Compact"/>
            </w:pPr>
            <w:r>
              <w:t xml:space="preserve">0.017</w:t>
            </w:r>
          </w:p>
        </w:tc>
      </w:tr>
      <w:tr>
        <w:tc>
          <w:tcPr/>
          <w:p>
            <w:pPr>
              <w:pStyle w:val="Compact"/>
            </w:pPr>
            <w:r>
              <w:t xml:space="preserve">θ10</w:t>
            </w:r>
          </w:p>
        </w:tc>
        <w:tc>
          <w:tcPr/>
          <w:p>
            <w:pPr>
              <w:pStyle w:val="Compact"/>
            </w:pPr>
            <w:r>
              <w:t xml:space="preserve">1.0014</w:t>
            </w:r>
          </w:p>
        </w:tc>
        <w:tc>
          <w:tcPr/>
          <w:p>
            <w:pPr>
              <w:pStyle w:val="Compact"/>
            </w:pPr>
            <w:r>
              <w:t xml:space="preserve">3,302</w:t>
            </w:r>
          </w:p>
        </w:tc>
        <w:tc>
          <w:tcPr/>
          <w:p>
            <w:pPr>
              <w:pStyle w:val="Compact"/>
            </w:pPr>
            <w:r>
              <w:t xml:space="preserve">5,441</w:t>
            </w:r>
          </w:p>
        </w:tc>
        <w:tc>
          <w:tcPr/>
          <w:p>
            <w:pPr>
              <w:pStyle w:val="Compact"/>
            </w:pPr>
            <w:r>
              <w:t xml:space="preserve">0.017</w:t>
            </w:r>
          </w:p>
        </w:tc>
      </w:tr>
      <w:tr>
        <w:tc>
          <w:tcPr/>
          <w:p>
            <w:pPr>
              <w:pStyle w:val="Compact"/>
            </w:pPr>
            <w:r>
              <w:t xml:space="preserve">θ11</w:t>
            </w:r>
          </w:p>
        </w:tc>
        <w:tc>
          <w:tcPr/>
          <w:p>
            <w:pPr>
              <w:pStyle w:val="Compact"/>
            </w:pPr>
            <w:r>
              <w:t xml:space="preserve">1.0008</w:t>
            </w:r>
          </w:p>
        </w:tc>
        <w:tc>
          <w:tcPr/>
          <w:p>
            <w:pPr>
              <w:pStyle w:val="Compact"/>
            </w:pPr>
            <w:r>
              <w:t xml:space="preserve">4,164</w:t>
            </w:r>
          </w:p>
        </w:tc>
        <w:tc>
          <w:tcPr/>
          <w:p>
            <w:pPr>
              <w:pStyle w:val="Compact"/>
            </w:pPr>
            <w:r>
              <w:t xml:space="preserve">7,042</w:t>
            </w:r>
          </w:p>
        </w:tc>
        <w:tc>
          <w:tcPr/>
          <w:p>
            <w:pPr>
              <w:pStyle w:val="Compact"/>
            </w:pPr>
            <w:r>
              <w:t xml:space="preserve">0.016</w:t>
            </w:r>
          </w:p>
        </w:tc>
      </w:tr>
      <w:tr>
        <w:tc>
          <w:tcPr/>
          <w:p>
            <w:pPr>
              <w:pStyle w:val="Compact"/>
            </w:pPr>
            <w:r>
              <w:t xml:space="preserve">θ12</w:t>
            </w:r>
          </w:p>
        </w:tc>
        <w:tc>
          <w:tcPr/>
          <w:p>
            <w:pPr>
              <w:pStyle w:val="Compact"/>
            </w:pPr>
            <w:r>
              <w:t xml:space="preserve">1.0006</w:t>
            </w:r>
          </w:p>
        </w:tc>
        <w:tc>
          <w:tcPr/>
          <w:p>
            <w:pPr>
              <w:pStyle w:val="Compact"/>
            </w:pPr>
            <w:r>
              <w:t xml:space="preserve">4,058</w:t>
            </w:r>
          </w:p>
        </w:tc>
        <w:tc>
          <w:tcPr/>
          <w:p>
            <w:pPr>
              <w:pStyle w:val="Compact"/>
            </w:pPr>
            <w:r>
              <w:t xml:space="preserve">7,659</w:t>
            </w:r>
          </w:p>
        </w:tc>
        <w:tc>
          <w:tcPr/>
          <w:p>
            <w:pPr>
              <w:pStyle w:val="Compact"/>
            </w:pPr>
            <w:r>
              <w:t xml:space="preserve">0.016</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prior by Latin hypercube sampling. The design had one point in each of 50,000 equal probability strata for every parameter, and each column was mapped through the normal inverse distribution function of that parameter’s prior. Of these, 49,278 simulations were valid. Exclusions were 0 draws outside the bounds, 722 equilibrium failures and 0 non-finite simulations; excluded draws are dropped, not replaced.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A single network gave a small seed dependent bias in one parameter, which the ensemble removed.</w:t>
      </w:r>
    </w:p>
    <w:p>
      <w:pPr>
        <w:pStyle w:val="BodyText"/>
      </w:pPr>
      <w:r>
        <w:t xml:space="preserve">We checked the neural posterior by simulation based calibration</w:t>
      </w:r>
      <w:r>
        <w:t xml:space="preserve"> </w:t>
      </w:r>
      <w:r>
        <w:t xml:space="preserve">[23]</w:t>
      </w:r>
      <w:r>
        <w:t xml:space="preserve"> </w:t>
      </w:r>
      <w:r>
        <w:t xml:space="preserve">on 980 datasets simulated from independent prior draws. For each parameter, 95% interval coverage was 0.944 to 0.961 and 90% coverage 0.891 to 0.918. No rank histogram showed systematic skew (U shape, central peak, shift or Bonferroni corrected chi-square departure). The predeclared gate required 95% coverage of at least 0.85 and 90% coverage of at least 0.75 for every parameter. As a smaller direct check, we reran the MCMC on 8 of these simulated datasets, with one chain of 30,000 evaluations each. Pooled 95% coverage was 0.95 and 90% coverage 0.92 over 96 ranks; this guards only against gross miscalibration.</w:t>
      </w:r>
    </w:p>
    <w:p>
      <w:pPr>
        <w:pStyle w:val="BodyText"/>
      </w:pPr>
      <w:r>
        <w:t xml:space="preserve">Table S4 compares the neural posterior with the MCMC posterior.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median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(49,278)</w:t>
            </w:r>
          </w:p>
        </w:tc>
        <w:tc>
          <w:tcPr/>
          <w:p>
            <w:pPr>
              <w:pStyle w:val="Compact"/>
            </w:pPr>
            <w:r>
              <w:t xml:space="preserve">0.03</w:t>
            </w:r>
          </w:p>
        </w:tc>
        <w:tc>
          <w:tcPr/>
          <w:p>
            <w:pPr>
              <w:pStyle w:val="Compact"/>
            </w:pPr>
            <w:r>
              <w:t xml:space="preserve">0.22</w:t>
            </w:r>
          </w:p>
        </w:tc>
        <w:tc>
          <w:tcPr/>
          <w:p>
            <w:pPr>
              <w:pStyle w:val="Compact"/>
            </w:pPr>
            <w:r>
              <w:t xml:space="preserve">0.965 (0.92 to 0.99)</w:t>
            </w:r>
          </w:p>
        </w:tc>
        <w:tc>
          <w:tcPr/>
          <w:p>
            <w:pPr>
              <w:pStyle w:val="Compact"/>
            </w:pPr>
            <w:r>
              <w:t xml:space="preserve">92%</w:t>
            </w:r>
          </w:p>
        </w:tc>
        <w:tc>
          <w:tcPr/>
          <w:p>
            <w:pPr>
              <w:pStyle w:val="Compact"/>
            </w:pPr>
            <w:r>
              <w:t xml:space="preserve">0.2%</w:t>
            </w:r>
          </w:p>
        </w:tc>
        <w:tc>
          <w:tcPr/>
          <w:p>
            <w:pPr>
              <w:pStyle w:val="Compact"/>
            </w:pPr>
            <w:r>
              <w:t xml:space="preserve">0.0</w:t>
            </w:r>
          </w:p>
        </w:tc>
      </w:tr>
    </w:tbl>
    <w:p>
      <w:pPr>
        <w:pStyle w:val="BodyText"/>
      </w:pPr>
      <w:r>
        <w:t xml:space="preserve">Checks: absolute mean difference at most 0.1 SD, 95% interval endpoints within 0.2 SD and width ratio between 0.9 and 1.1. Policy errors compare 1,000 neural posterior states with the 2,000 MCMC states used for the scenarios.</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θ6, θ9, θ10 and θ12 the posterior standard deviation was more than 0.8 times the prior standard deviation, so these parameters remain mostly informed by the prior.</w:t>
      </w:r>
    </w:p>
    <w:p>
      <w:pPr>
        <w:pStyle w:val="BodyText"/>
      </w:pPr>
      <w:r>
        <w:rPr>
          <w:b/>
          <w:bCs/>
        </w:rPr>
        <w:t xml:space="preserve">Table S5. Nelder Mead best fit, prior centre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Nelder Mead best fit</w:t>
            </w:r>
          </w:p>
        </w:tc>
        <w:tc>
          <w:tcPr/>
          <w:p>
            <w:pPr>
              <w:pStyle w:val="Compact"/>
            </w:pPr>
            <w:r>
              <w:t xml:space="preserve">Prior centre</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1.668</w:t>
            </w:r>
          </w:p>
        </w:tc>
        <w:tc>
          <w:tcPr/>
          <w:p>
            <w:pPr>
              <w:pStyle w:val="Compact"/>
            </w:pPr>
            <w:r>
              <w:t xml:space="preserve">1.668</w:t>
            </w:r>
          </w:p>
        </w:tc>
        <w:tc>
          <w:tcPr/>
          <w:p>
            <w:pPr>
              <w:pStyle w:val="Compact"/>
            </w:pPr>
            <w:r>
              <w:t xml:space="preserve">1.663 (1.355 to 1.939)</w:t>
            </w:r>
          </w:p>
        </w:tc>
        <w:tc>
          <w:tcPr/>
          <w:p>
            <w:pPr>
              <w:pStyle w:val="Compact"/>
            </w:pPr>
            <w:r>
              <w:t xml:space="preserve">0.150</w:t>
            </w:r>
          </w:p>
        </w:tc>
        <w:tc>
          <w:tcPr/>
          <w:p>
            <w:pPr>
              <w:pStyle w:val="Compact"/>
            </w:pPr>
            <w:r>
              <w:t xml:space="preserve">0.75</w:t>
            </w:r>
          </w:p>
        </w:tc>
      </w:tr>
      <w:tr>
        <w:tc>
          <w:tcPr/>
          <w:p>
            <w:pPr>
              <w:pStyle w:val="Compact"/>
            </w:pPr>
            <w:r>
              <w:t xml:space="preserve">θ2</w:t>
            </w:r>
          </w:p>
        </w:tc>
        <w:tc>
          <w:tcPr/>
          <w:p>
            <w:pPr>
              <w:pStyle w:val="Compact"/>
            </w:pPr>
            <w:r>
              <w:t xml:space="preserve">Contact scale, age 20–29</w:t>
            </w:r>
          </w:p>
        </w:tc>
        <w:tc>
          <w:tcPr/>
          <w:p>
            <w:pPr>
              <w:pStyle w:val="Compact"/>
            </w:pPr>
            <w:r>
              <w:t xml:space="preserve">-2.886</w:t>
            </w:r>
          </w:p>
        </w:tc>
        <w:tc>
          <w:tcPr/>
          <w:p>
            <w:pPr>
              <w:pStyle w:val="Compact"/>
            </w:pPr>
            <w:r>
              <w:t xml:space="preserve">-2.886</w:t>
            </w:r>
          </w:p>
        </w:tc>
        <w:tc>
          <w:tcPr/>
          <w:p>
            <w:pPr>
              <w:pStyle w:val="Compact"/>
            </w:pPr>
            <w:r>
              <w:t xml:space="preserve">-2.886 (-3.015 to -2.769)</w:t>
            </w:r>
          </w:p>
        </w:tc>
        <w:tc>
          <w:tcPr/>
          <w:p>
            <w:pPr>
              <w:pStyle w:val="Compact"/>
            </w:pPr>
            <w:r>
              <w:t xml:space="preserve">0.062</w:t>
            </w:r>
          </w:p>
        </w:tc>
        <w:tc>
          <w:tcPr/>
          <w:p>
            <w:pPr>
              <w:pStyle w:val="Compact"/>
            </w:pPr>
            <w:r>
              <w:t xml:space="preserve">0.31</w:t>
            </w:r>
          </w:p>
        </w:tc>
      </w:tr>
      <w:tr>
        <w:tc>
          <w:tcPr/>
          <w:p>
            <w:pPr>
              <w:pStyle w:val="Compact"/>
            </w:pPr>
            <w:r>
              <w:t xml:space="preserve">θ3</w:t>
            </w:r>
          </w:p>
        </w:tc>
        <w:tc>
          <w:tcPr/>
          <w:p>
            <w:pPr>
              <w:pStyle w:val="Compact"/>
            </w:pPr>
            <w:r>
              <w:t xml:space="preserve">Contact scale, age 30–39</w:t>
            </w:r>
          </w:p>
        </w:tc>
        <w:tc>
          <w:tcPr/>
          <w:p>
            <w:pPr>
              <w:pStyle w:val="Compact"/>
            </w:pPr>
            <w:r>
              <w:t xml:space="preserve">-3.537</w:t>
            </w:r>
          </w:p>
        </w:tc>
        <w:tc>
          <w:tcPr/>
          <w:p>
            <w:pPr>
              <w:pStyle w:val="Compact"/>
            </w:pPr>
            <w:r>
              <w:t xml:space="preserve">-3.537</w:t>
            </w:r>
          </w:p>
        </w:tc>
        <w:tc>
          <w:tcPr/>
          <w:p>
            <w:pPr>
              <w:pStyle w:val="Compact"/>
            </w:pPr>
            <w:r>
              <w:t xml:space="preserve">-3.538 (-3.785 to -3.329)</w:t>
            </w:r>
          </w:p>
        </w:tc>
        <w:tc>
          <w:tcPr/>
          <w:p>
            <w:pPr>
              <w:pStyle w:val="Compact"/>
            </w:pPr>
            <w:r>
              <w:t xml:space="preserve">0.116</w:t>
            </w:r>
          </w:p>
        </w:tc>
        <w:tc>
          <w:tcPr/>
          <w:p>
            <w:pPr>
              <w:pStyle w:val="Compact"/>
            </w:pPr>
            <w:r>
              <w:t xml:space="preserve">0.58</w:t>
            </w:r>
          </w:p>
        </w:tc>
      </w:tr>
      <w:tr>
        <w:tc>
          <w:tcPr/>
          <w:p>
            <w:pPr>
              <w:pStyle w:val="Compact"/>
            </w:pPr>
            <w:r>
              <w:t xml:space="preserve">θ4</w:t>
            </w:r>
          </w:p>
        </w:tc>
        <w:tc>
          <w:tcPr/>
          <w:p>
            <w:pPr>
              <w:pStyle w:val="Compact"/>
            </w:pPr>
            <w:r>
              <w:t xml:space="preserve">Contact scale, age 40–49</w:t>
            </w:r>
          </w:p>
        </w:tc>
        <w:tc>
          <w:tcPr/>
          <w:p>
            <w:pPr>
              <w:pStyle w:val="Compact"/>
            </w:pPr>
            <w:r>
              <w:t xml:space="preserve">-0.843</w:t>
            </w:r>
          </w:p>
        </w:tc>
        <w:tc>
          <w:tcPr/>
          <w:p>
            <w:pPr>
              <w:pStyle w:val="Compact"/>
            </w:pPr>
            <w:r>
              <w:t xml:space="preserve">-0.843</w:t>
            </w:r>
          </w:p>
        </w:tc>
        <w:tc>
          <w:tcPr/>
          <w:p>
            <w:pPr>
              <w:pStyle w:val="Compact"/>
            </w:pPr>
            <w:r>
              <w:t xml:space="preserve">-0.842 (-1.037 to -0.667)</w:t>
            </w:r>
          </w:p>
        </w:tc>
        <w:tc>
          <w:tcPr/>
          <w:p>
            <w:pPr>
              <w:pStyle w:val="Compact"/>
            </w:pPr>
            <w:r>
              <w:t xml:space="preserve">0.095</w:t>
            </w:r>
          </w:p>
        </w:tc>
        <w:tc>
          <w:tcPr/>
          <w:p>
            <w:pPr>
              <w:pStyle w:val="Compact"/>
            </w:pPr>
            <w:r>
              <w:t xml:space="preserve">0.47</w:t>
            </w:r>
          </w:p>
        </w:tc>
      </w:tr>
      <w:tr>
        <w:tc>
          <w:tcPr/>
          <w:p>
            <w:pPr>
              <w:pStyle w:val="Compact"/>
            </w:pPr>
            <w:r>
              <w:t xml:space="preserve">θ5</w:t>
            </w:r>
          </w:p>
        </w:tc>
        <w:tc>
          <w:tcPr/>
          <w:p>
            <w:pPr>
              <w:pStyle w:val="Compact"/>
            </w:pPr>
            <w:r>
              <w:t xml:space="preserve">Contact scale, age 50–59</w:t>
            </w:r>
          </w:p>
        </w:tc>
        <w:tc>
          <w:tcPr/>
          <w:p>
            <w:pPr>
              <w:pStyle w:val="Compact"/>
            </w:pPr>
            <w:r>
              <w:t xml:space="preserve">1.993</w:t>
            </w:r>
          </w:p>
        </w:tc>
        <w:tc>
          <w:tcPr/>
          <w:p>
            <w:pPr>
              <w:pStyle w:val="Compact"/>
            </w:pPr>
            <w:r>
              <w:t xml:space="preserve">1.993</w:t>
            </w:r>
          </w:p>
        </w:tc>
        <w:tc>
          <w:tcPr/>
          <w:p>
            <w:pPr>
              <w:pStyle w:val="Compact"/>
            </w:pPr>
            <w:r>
              <w:t xml:space="preserve">1.992 (1.716 to 2.250)</w:t>
            </w:r>
          </w:p>
        </w:tc>
        <w:tc>
          <w:tcPr/>
          <w:p>
            <w:pPr>
              <w:pStyle w:val="Compact"/>
            </w:pPr>
            <w:r>
              <w:t xml:space="preserve">0.136</w:t>
            </w:r>
          </w:p>
        </w:tc>
        <w:tc>
          <w:tcPr/>
          <w:p>
            <w:pPr>
              <w:pStyle w:val="Compact"/>
            </w:pPr>
            <w:r>
              <w:t xml:space="preserve">0.68</w:t>
            </w:r>
          </w:p>
        </w:tc>
      </w:tr>
      <w:tr>
        <w:tc>
          <w:tcPr/>
          <w:p>
            <w:pPr>
              <w:pStyle w:val="Compact"/>
            </w:pPr>
            <w:r>
              <w:t xml:space="preserve">θ6</w:t>
            </w:r>
          </w:p>
        </w:tc>
        <w:tc>
          <w:tcPr/>
          <w:p>
            <w:pPr>
              <w:pStyle w:val="Compact"/>
            </w:pPr>
            <w:r>
              <w:t xml:space="preserve">Contact scale, age 60+</w:t>
            </w:r>
          </w:p>
        </w:tc>
        <w:tc>
          <w:tcPr/>
          <w:p>
            <w:pPr>
              <w:pStyle w:val="Compact"/>
            </w:pPr>
            <w:r>
              <w:t xml:space="preserve">0.301</w:t>
            </w:r>
          </w:p>
        </w:tc>
        <w:tc>
          <w:tcPr/>
          <w:p>
            <w:pPr>
              <w:pStyle w:val="Compact"/>
            </w:pPr>
            <w:r>
              <w:t xml:space="preserve">0.301</w:t>
            </w:r>
          </w:p>
        </w:tc>
        <w:tc>
          <w:tcPr/>
          <w:p>
            <w:pPr>
              <w:pStyle w:val="Compact"/>
            </w:pPr>
            <w:r>
              <w:t xml:space="preserve">0.304 (-0.090 to 0.693)</w:t>
            </w:r>
          </w:p>
        </w:tc>
        <w:tc>
          <w:tcPr/>
          <w:p>
            <w:pPr>
              <w:pStyle w:val="Compact"/>
            </w:pPr>
            <w:r>
              <w:t xml:space="preserve">0.199</w:t>
            </w:r>
          </w:p>
        </w:tc>
        <w:tc>
          <w:tcPr/>
          <w:p>
            <w:pPr>
              <w:pStyle w:val="Compact"/>
            </w:pPr>
            <w:r>
              <w:t xml:space="preserve">0.99</w:t>
            </w:r>
          </w:p>
        </w:tc>
      </w:tr>
      <w:tr>
        <w:tc>
          <w:tcPr/>
          <w:p>
            <w:pPr>
              <w:pStyle w:val="Compact"/>
            </w:pPr>
            <w:r>
              <w:t xml:space="preserve">θ7</w:t>
            </w:r>
          </w:p>
        </w:tc>
        <w:tc>
          <w:tcPr/>
          <w:p>
            <w:pPr>
              <w:pStyle w:val="Compact"/>
            </w:pPr>
            <w:r>
              <w:t xml:space="preserve">Entry scale, age &lt;20</w:t>
            </w:r>
          </w:p>
        </w:tc>
        <w:tc>
          <w:tcPr/>
          <w:p>
            <w:pPr>
              <w:pStyle w:val="Compact"/>
            </w:pPr>
            <w:r>
              <w:t xml:space="preserve">-2.004</w:t>
            </w:r>
          </w:p>
        </w:tc>
        <w:tc>
          <w:tcPr/>
          <w:p>
            <w:pPr>
              <w:pStyle w:val="Compact"/>
            </w:pPr>
            <w:r>
              <w:t xml:space="preserve">-2.004</w:t>
            </w:r>
          </w:p>
        </w:tc>
        <w:tc>
          <w:tcPr/>
          <w:p>
            <w:pPr>
              <w:pStyle w:val="Compact"/>
            </w:pPr>
            <w:r>
              <w:t xml:space="preserve">-2.003 (-2.178 to -1.828)</w:t>
            </w:r>
          </w:p>
        </w:tc>
        <w:tc>
          <w:tcPr/>
          <w:p>
            <w:pPr>
              <w:pStyle w:val="Compact"/>
            </w:pPr>
            <w:r>
              <w:t xml:space="preserve">0.089</w:t>
            </w:r>
          </w:p>
        </w:tc>
        <w:tc>
          <w:tcPr/>
          <w:p>
            <w:pPr>
              <w:pStyle w:val="Compact"/>
            </w:pPr>
            <w:r>
              <w:t xml:space="preserve">0.45</w:t>
            </w:r>
          </w:p>
        </w:tc>
      </w:tr>
      <w:tr>
        <w:tc>
          <w:tcPr/>
          <w:p>
            <w:pPr>
              <w:pStyle w:val="Compact"/>
            </w:pPr>
            <w:r>
              <w:t xml:space="preserve">θ8</w:t>
            </w:r>
          </w:p>
        </w:tc>
        <w:tc>
          <w:tcPr/>
          <w:p>
            <w:pPr>
              <w:pStyle w:val="Compact"/>
            </w:pPr>
            <w:r>
              <w:t xml:space="preserve">Entry scale, age 20–29</w:t>
            </w:r>
          </w:p>
        </w:tc>
        <w:tc>
          <w:tcPr/>
          <w:p>
            <w:pPr>
              <w:pStyle w:val="Compact"/>
            </w:pPr>
            <w:r>
              <w:t xml:space="preserve">-0.434</w:t>
            </w:r>
          </w:p>
        </w:tc>
        <w:tc>
          <w:tcPr/>
          <w:p>
            <w:pPr>
              <w:pStyle w:val="Compact"/>
            </w:pPr>
            <w:r>
              <w:t xml:space="preserve">-0.434</w:t>
            </w:r>
          </w:p>
        </w:tc>
        <w:tc>
          <w:tcPr/>
          <w:p>
            <w:pPr>
              <w:pStyle w:val="Compact"/>
            </w:pPr>
            <w:r>
              <w:t xml:space="preserve">-0.433 (-0.565 to -0.306)</w:t>
            </w:r>
          </w:p>
        </w:tc>
        <w:tc>
          <w:tcPr/>
          <w:p>
            <w:pPr>
              <w:pStyle w:val="Compact"/>
            </w:pPr>
            <w:r>
              <w:t xml:space="preserve">0.066</w:t>
            </w:r>
          </w:p>
        </w:tc>
        <w:tc>
          <w:tcPr/>
          <w:p>
            <w:pPr>
              <w:pStyle w:val="Compact"/>
            </w:pPr>
            <w:r>
              <w:t xml:space="preserve">0.33</w:t>
            </w:r>
          </w:p>
        </w:tc>
      </w:tr>
      <w:tr>
        <w:tc>
          <w:tcPr/>
          <w:p>
            <w:pPr>
              <w:pStyle w:val="Compact"/>
            </w:pPr>
            <w:r>
              <w:t xml:space="preserve">θ9</w:t>
            </w:r>
          </w:p>
        </w:tc>
        <w:tc>
          <w:tcPr/>
          <w:p>
            <w:pPr>
              <w:pStyle w:val="Compact"/>
            </w:pPr>
            <w:r>
              <w:t xml:space="preserve">Entry scale, age 30–39</w:t>
            </w:r>
          </w:p>
        </w:tc>
        <w:tc>
          <w:tcPr/>
          <w:p>
            <w:pPr>
              <w:pStyle w:val="Compact"/>
            </w:pPr>
            <w:r>
              <w:t xml:space="preserve">-2.595</w:t>
            </w:r>
          </w:p>
        </w:tc>
        <w:tc>
          <w:tcPr/>
          <w:p>
            <w:pPr>
              <w:pStyle w:val="Compact"/>
            </w:pPr>
            <w:r>
              <w:t xml:space="preserve">-2.595</w:t>
            </w:r>
          </w:p>
        </w:tc>
        <w:tc>
          <w:tcPr/>
          <w:p>
            <w:pPr>
              <w:pStyle w:val="Compact"/>
            </w:pPr>
            <w:r>
              <w:t xml:space="preserve">-2.588 (-2.967 to -2.192)</w:t>
            </w:r>
          </w:p>
        </w:tc>
        <w:tc>
          <w:tcPr/>
          <w:p>
            <w:pPr>
              <w:pStyle w:val="Compact"/>
            </w:pPr>
            <w:r>
              <w:t xml:space="preserve">0.198</w:t>
            </w:r>
          </w:p>
        </w:tc>
        <w:tc>
          <w:tcPr/>
          <w:p>
            <w:pPr>
              <w:pStyle w:val="Compact"/>
            </w:pPr>
            <w:r>
              <w:t xml:space="preserve">0.99</w:t>
            </w:r>
          </w:p>
        </w:tc>
      </w:tr>
      <w:tr>
        <w:tc>
          <w:tcPr/>
          <w:p>
            <w:pPr>
              <w:pStyle w:val="Compact"/>
            </w:pPr>
            <w:r>
              <w:t xml:space="preserve">θ10</w:t>
            </w:r>
          </w:p>
        </w:tc>
        <w:tc>
          <w:tcPr/>
          <w:p>
            <w:pPr>
              <w:pStyle w:val="Compact"/>
            </w:pPr>
            <w:r>
              <w:t xml:space="preserve">Entry scale, age 40–49</w:t>
            </w:r>
          </w:p>
        </w:tc>
        <w:tc>
          <w:tcPr/>
          <w:p>
            <w:pPr>
              <w:pStyle w:val="Compact"/>
            </w:pPr>
            <w:r>
              <w:t xml:space="preserve">-0.214</w:t>
            </w:r>
          </w:p>
        </w:tc>
        <w:tc>
          <w:tcPr/>
          <w:p>
            <w:pPr>
              <w:pStyle w:val="Compact"/>
            </w:pPr>
            <w:r>
              <w:t xml:space="preserve">-0.214</w:t>
            </w:r>
          </w:p>
        </w:tc>
        <w:tc>
          <w:tcPr/>
          <w:p>
            <w:pPr>
              <w:pStyle w:val="Compact"/>
            </w:pPr>
            <w:r>
              <w:t xml:space="preserve">-0.219 (-0.560 to 0.088)</w:t>
            </w:r>
          </w:p>
        </w:tc>
        <w:tc>
          <w:tcPr/>
          <w:p>
            <w:pPr>
              <w:pStyle w:val="Compact"/>
            </w:pPr>
            <w:r>
              <w:t xml:space="preserve">0.166</w:t>
            </w:r>
          </w:p>
        </w:tc>
        <w:tc>
          <w:tcPr/>
          <w:p>
            <w:pPr>
              <w:pStyle w:val="Compact"/>
            </w:pPr>
            <w:r>
              <w:t xml:space="preserve">0.83</w:t>
            </w:r>
          </w:p>
        </w:tc>
      </w:tr>
      <w:tr>
        <w:tc>
          <w:tcPr/>
          <w:p>
            <w:pPr>
              <w:pStyle w:val="Compact"/>
            </w:pPr>
            <w:r>
              <w:t xml:space="preserve">θ11</w:t>
            </w:r>
          </w:p>
        </w:tc>
        <w:tc>
          <w:tcPr/>
          <w:p>
            <w:pPr>
              <w:pStyle w:val="Compact"/>
            </w:pPr>
            <w:r>
              <w:t xml:space="preserve">Entry scale, age 50–59</w:t>
            </w:r>
          </w:p>
        </w:tc>
        <w:tc>
          <w:tcPr/>
          <w:p>
            <w:pPr>
              <w:pStyle w:val="Compact"/>
            </w:pPr>
            <w:r>
              <w:t xml:space="preserve">1.402</w:t>
            </w:r>
          </w:p>
        </w:tc>
        <w:tc>
          <w:tcPr/>
          <w:p>
            <w:pPr>
              <w:pStyle w:val="Compact"/>
            </w:pPr>
            <w:r>
              <w:t xml:space="preserve">1.402</w:t>
            </w:r>
          </w:p>
        </w:tc>
        <w:tc>
          <w:tcPr/>
          <w:p>
            <w:pPr>
              <w:pStyle w:val="Compact"/>
            </w:pPr>
            <w:r>
              <w:t xml:space="preserve">1.391 (1.080 to 1.671)</w:t>
            </w:r>
          </w:p>
        </w:tc>
        <w:tc>
          <w:tcPr/>
          <w:p>
            <w:pPr>
              <w:pStyle w:val="Compact"/>
            </w:pPr>
            <w:r>
              <w:t xml:space="preserve">0.150</w:t>
            </w:r>
          </w:p>
        </w:tc>
        <w:tc>
          <w:tcPr/>
          <w:p>
            <w:pPr>
              <w:pStyle w:val="Compact"/>
            </w:pPr>
            <w:r>
              <w:t xml:space="preserve">0.75</w:t>
            </w:r>
          </w:p>
        </w:tc>
      </w:tr>
      <w:tr>
        <w:tc>
          <w:tcPr/>
          <w:p>
            <w:pPr>
              <w:pStyle w:val="Compact"/>
            </w:pPr>
            <w:r>
              <w:t xml:space="preserve">θ12</w:t>
            </w:r>
          </w:p>
        </w:tc>
        <w:tc>
          <w:tcPr/>
          <w:p>
            <w:pPr>
              <w:pStyle w:val="Compact"/>
            </w:pPr>
            <w:r>
              <w:t xml:space="preserve">Entry scale, age 60+</w:t>
            </w:r>
          </w:p>
        </w:tc>
        <w:tc>
          <w:tcPr/>
          <w:p>
            <w:pPr>
              <w:pStyle w:val="Compact"/>
            </w:pPr>
            <w:r>
              <w:t xml:space="preserve">3.282</w:t>
            </w:r>
          </w:p>
        </w:tc>
        <w:tc>
          <w:tcPr/>
          <w:p>
            <w:pPr>
              <w:pStyle w:val="Compact"/>
            </w:pPr>
            <w:r>
              <w:t xml:space="preserve">3.282</w:t>
            </w:r>
          </w:p>
        </w:tc>
        <w:tc>
          <w:tcPr/>
          <w:p>
            <w:pPr>
              <w:pStyle w:val="Compact"/>
            </w:pPr>
            <w:r>
              <w:t xml:space="preserve">3.283 (2.910 to 3.649)</w:t>
            </w:r>
          </w:p>
        </w:tc>
        <w:tc>
          <w:tcPr/>
          <w:p>
            <w:pPr>
              <w:pStyle w:val="Compact"/>
            </w:pPr>
            <w:r>
              <w:t xml:space="preserve">0.189</w:t>
            </w:r>
          </w:p>
        </w:tc>
        <w:tc>
          <w:tcPr/>
          <w:p>
            <w:pPr>
              <w:pStyle w:val="Compact"/>
            </w:pPr>
            <w:r>
              <w:t xml:space="preserve">0.95</w:t>
            </w:r>
          </w:p>
        </w:tc>
      </w:tr>
    </w:tbl>
    <w:p>
      <w:pPr>
        <w:pStyle w:val="BodyText"/>
      </w:pPr>
      <w:r>
        <w:t xml:space="preserve">Table S6 compares the targets with the best deterministic fit and the 95% posterior predictive interval. All 12 predictive intervals overlapped the target intervals. Fig S1 shows the fit. At age 60+, the best fit gave a seroprevalence of 42.9% against a target of 42.9%. Without the excess mortality (</w:t>
      </w:r>
      <m:oMath>
        <m:r>
          <m:t>h</m:t>
        </m:r>
        <m:r>
          <m:rPr>
            <m:sty m:val="p"/>
          </m:rPr>
          <m:t>=</m:t>
        </m:r>
        <m:r>
          <m:t>1</m:t>
        </m:r>
      </m:oMath>
      <w:r>
        <w:t xml:space="preserve">) the 60+ fit was 44.0%, and over</w:t>
      </w:r>
      <w:r>
        <w:t xml:space="preserve"> </w:t>
      </w:r>
      <m:oMath>
        <m:r>
          <m:t>h</m:t>
        </m:r>
      </m:oMath>
      <w:r>
        <w:t xml:space="preserve"> </w:t>
      </w:r>
      <w:r>
        <w:t xml:space="preserve">from 1.11 to 1.77 it was 42.9% to 43.6% (3 starts each).</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group</w:t>
            </w:r>
          </w:p>
        </w:tc>
        <w:tc>
          <w:tcPr/>
          <w:p>
            <w:pPr>
              <w:pStyle w:val="Compact"/>
            </w:pPr>
            <w:r>
              <w:t xml:space="preserve">Seroprevalence target</w:t>
            </w:r>
          </w:p>
        </w:tc>
        <w:tc>
          <w:tcPr/>
          <w:p>
            <w:pPr>
              <w:pStyle w:val="Compact"/>
            </w:pPr>
            <w:r>
              <w:t xml:space="preserve">Best fit</w:t>
            </w:r>
          </w:p>
        </w:tc>
        <w:tc>
          <w:tcPr/>
          <w:p>
            <w:pPr>
              <w:pStyle w:val="Compact"/>
            </w:pPr>
            <w:r>
              <w:t xml:space="preserve">Posterior 95% interval</w:t>
            </w:r>
          </w:p>
        </w:tc>
        <w:tc>
          <w:tcPr/>
          <w:p>
            <w:pPr>
              <w:pStyle w:val="Compact"/>
            </w:pPr>
            <w:r>
              <w:t xml:space="preserve">Population target</w:t>
            </w:r>
          </w:p>
        </w:tc>
        <w:tc>
          <w:tcPr/>
          <w:p>
            <w:pPr>
              <w:pStyle w:val="Compact"/>
            </w:pPr>
            <w:r>
              <w:t xml:space="preserve">Best fit</w:t>
            </w:r>
          </w:p>
        </w:tc>
        <w:tc>
          <w:tcPr/>
          <w:p>
            <w:pPr>
              <w:pStyle w:val="Compact"/>
            </w:pPr>
            <w:r>
              <w:t xml:space="preserve">Posterior 95% interval</w:t>
            </w:r>
          </w:p>
        </w:tc>
      </w:tr>
      <w:tr>
        <w:tc>
          <w:tcPr/>
          <w:p>
            <w:pPr>
              <w:pStyle w:val="Compact"/>
            </w:pPr>
            <w:r>
              <w:t xml:space="preserve">&lt;20</w:t>
            </w:r>
          </w:p>
        </w:tc>
        <w:tc>
          <w:tcPr/>
          <w:p>
            <w:pPr>
              <w:pStyle w:val="Compact"/>
            </w:pPr>
            <w:r>
              <w:t xml:space="preserve">12.7%</w:t>
            </w:r>
          </w:p>
        </w:tc>
        <w:tc>
          <w:tcPr/>
          <w:p>
            <w:pPr>
              <w:pStyle w:val="Compact"/>
            </w:pPr>
            <w:r>
              <w:t xml:space="preserve">12.7%</w:t>
            </w:r>
          </w:p>
        </w:tc>
        <w:tc>
          <w:tcPr/>
          <w:p>
            <w:pPr>
              <w:pStyle w:val="Compact"/>
            </w:pPr>
            <w:r>
              <w:t xml:space="preserve">8.7% to 17.6%</w:t>
            </w:r>
          </w:p>
        </w:tc>
        <w:tc>
          <w:tcPr/>
          <w:p>
            <w:pPr>
              <w:pStyle w:val="Compact"/>
            </w:pPr>
            <w:r>
              <w:t xml:space="preserve">102</w:t>
            </w:r>
          </w:p>
        </w:tc>
        <w:tc>
          <w:tcPr/>
          <w:p>
            <w:pPr>
              <w:pStyle w:val="Compact"/>
            </w:pPr>
            <w:r>
              <w:t xml:space="preserve">102</w:t>
            </w:r>
          </w:p>
        </w:tc>
        <w:tc>
          <w:tcPr/>
          <w:p>
            <w:pPr>
              <w:pStyle w:val="Compact"/>
            </w:pPr>
            <w:r>
              <w:t xml:space="preserve">85 to 122</w:t>
            </w:r>
          </w:p>
        </w:tc>
      </w:tr>
      <w:tr>
        <w:tc>
          <w:tcPr/>
          <w:p>
            <w:pPr>
              <w:pStyle w:val="Compact"/>
            </w:pPr>
            <w:r>
              <w:t xml:space="preserve">20-29</w:t>
            </w:r>
          </w:p>
        </w:tc>
        <w:tc>
          <w:tcPr/>
          <w:p>
            <w:pPr>
              <w:pStyle w:val="Compact"/>
            </w:pPr>
            <w:r>
              <w:t xml:space="preserve">19.2%</w:t>
            </w:r>
          </w:p>
        </w:tc>
        <w:tc>
          <w:tcPr/>
          <w:p>
            <w:pPr>
              <w:pStyle w:val="Compact"/>
            </w:pPr>
            <w:r>
              <w:t xml:space="preserve">19.2%</w:t>
            </w:r>
          </w:p>
        </w:tc>
        <w:tc>
          <w:tcPr/>
          <w:p>
            <w:pPr>
              <w:pStyle w:val="Compact"/>
            </w:pPr>
            <w:r>
              <w:t xml:space="preserve">17.0% to 21.4%</w:t>
            </w:r>
          </w:p>
        </w:tc>
        <w:tc>
          <w:tcPr/>
          <w:p>
            <w:pPr>
              <w:pStyle w:val="Compact"/>
            </w:pPr>
            <w:r>
              <w:t xml:space="preserve">1001</w:t>
            </w:r>
          </w:p>
        </w:tc>
        <w:tc>
          <w:tcPr/>
          <w:p>
            <w:pPr>
              <w:pStyle w:val="Compact"/>
            </w:pPr>
            <w:r>
              <w:t xml:space="preserve">1000</w:t>
            </w:r>
          </w:p>
        </w:tc>
        <w:tc>
          <w:tcPr/>
          <w:p>
            <w:pPr>
              <w:pStyle w:val="Compact"/>
            </w:pPr>
            <w:r>
              <w:t xml:space="preserve">882 to 1123</w:t>
            </w:r>
          </w:p>
        </w:tc>
      </w:tr>
      <w:tr>
        <w:tc>
          <w:tcPr/>
          <w:p>
            <w:pPr>
              <w:pStyle w:val="Compact"/>
            </w:pPr>
            <w:r>
              <w:t xml:space="preserve">30-39</w:t>
            </w:r>
          </w:p>
        </w:tc>
        <w:tc>
          <w:tcPr/>
          <w:p>
            <w:pPr>
              <w:pStyle w:val="Compact"/>
            </w:pPr>
            <w:r>
              <w:t xml:space="preserve">30.0%</w:t>
            </w:r>
          </w:p>
        </w:tc>
        <w:tc>
          <w:tcPr/>
          <w:p>
            <w:pPr>
              <w:pStyle w:val="Compact"/>
            </w:pPr>
            <w:r>
              <w:t xml:space="preserve">30.0%</w:t>
            </w:r>
          </w:p>
        </w:tc>
        <w:tc>
          <w:tcPr/>
          <w:p>
            <w:pPr>
              <w:pStyle w:val="Compact"/>
            </w:pPr>
            <w:r>
              <w:t xml:space="preserve">27.4% to 32.7%</w:t>
            </w:r>
          </w:p>
        </w:tc>
        <w:tc>
          <w:tcPr/>
          <w:p>
            <w:pPr>
              <w:pStyle w:val="Compact"/>
            </w:pPr>
            <w:r>
              <w:t xml:space="preserve">806</w:t>
            </w:r>
          </w:p>
        </w:tc>
        <w:tc>
          <w:tcPr/>
          <w:p>
            <w:pPr>
              <w:pStyle w:val="Compact"/>
            </w:pPr>
            <w:r>
              <w:t xml:space="preserve">807</w:t>
            </w:r>
          </w:p>
        </w:tc>
        <w:tc>
          <w:tcPr/>
          <w:p>
            <w:pPr>
              <w:pStyle w:val="Compact"/>
            </w:pPr>
            <w:r>
              <w:t xml:space="preserve">721 to 899</w:t>
            </w:r>
          </w:p>
        </w:tc>
      </w:tr>
      <w:tr>
        <w:tc>
          <w:tcPr/>
          <w:p>
            <w:pPr>
              <w:pStyle w:val="Compact"/>
            </w:pPr>
            <w:r>
              <w:t xml:space="preserve">40-49</w:t>
            </w:r>
          </w:p>
        </w:tc>
        <w:tc>
          <w:tcPr/>
          <w:p>
            <w:pPr>
              <w:pStyle w:val="Compact"/>
            </w:pPr>
            <w:r>
              <w:t xml:space="preserve">48.3%</w:t>
            </w:r>
          </w:p>
        </w:tc>
        <w:tc>
          <w:tcPr/>
          <w:p>
            <w:pPr>
              <w:pStyle w:val="Compact"/>
            </w:pPr>
            <w:r>
              <w:t xml:space="preserve">48.3%</w:t>
            </w:r>
          </w:p>
        </w:tc>
        <w:tc>
          <w:tcPr/>
          <w:p>
            <w:pPr>
              <w:pStyle w:val="Compact"/>
            </w:pPr>
            <w:r>
              <w:t xml:space="preserve">45.1% to 51.6%</w:t>
            </w:r>
          </w:p>
        </w:tc>
        <w:tc>
          <w:tcPr/>
          <w:p>
            <w:pPr>
              <w:pStyle w:val="Compact"/>
            </w:pPr>
            <w:r>
              <w:t xml:space="preserve">754</w:t>
            </w:r>
          </w:p>
        </w:tc>
        <w:tc>
          <w:tcPr/>
          <w:p>
            <w:pPr>
              <w:pStyle w:val="Compact"/>
            </w:pPr>
            <w:r>
              <w:t xml:space="preserve">754</w:t>
            </w:r>
          </w:p>
        </w:tc>
        <w:tc>
          <w:tcPr/>
          <w:p>
            <w:pPr>
              <w:pStyle w:val="Compact"/>
            </w:pPr>
            <w:r>
              <w:t xml:space="preserve">676 to 838</w:t>
            </w:r>
          </w:p>
        </w:tc>
      </w:tr>
      <w:tr>
        <w:tc>
          <w:tcPr/>
          <w:p>
            <w:pPr>
              <w:pStyle w:val="Compact"/>
            </w:pPr>
            <w:r>
              <w:t xml:space="preserve">50-59</w:t>
            </w:r>
          </w:p>
        </w:tc>
        <w:tc>
          <w:tcPr/>
          <w:p>
            <w:pPr>
              <w:pStyle w:val="Compact"/>
            </w:pPr>
            <w:r>
              <w:t xml:space="preserve">53.1%</w:t>
            </w:r>
          </w:p>
        </w:tc>
        <w:tc>
          <w:tcPr/>
          <w:p>
            <w:pPr>
              <w:pStyle w:val="Compact"/>
            </w:pPr>
            <w:r>
              <w:t xml:space="preserve">53.1%</w:t>
            </w:r>
          </w:p>
        </w:tc>
        <w:tc>
          <w:tcPr/>
          <w:p>
            <w:pPr>
              <w:pStyle w:val="Compact"/>
            </w:pPr>
            <w:r>
              <w:t xml:space="preserve">50.1% to 56.4%</w:t>
            </w:r>
          </w:p>
        </w:tc>
        <w:tc>
          <w:tcPr/>
          <w:p>
            <w:pPr>
              <w:pStyle w:val="Compact"/>
            </w:pPr>
            <w:r>
              <w:t xml:space="preserve">557</w:t>
            </w:r>
          </w:p>
        </w:tc>
        <w:tc>
          <w:tcPr/>
          <w:p>
            <w:pPr>
              <w:pStyle w:val="Compact"/>
            </w:pPr>
            <w:r>
              <w:t xml:space="preserve">557</w:t>
            </w:r>
          </w:p>
        </w:tc>
        <w:tc>
          <w:tcPr/>
          <w:p>
            <w:pPr>
              <w:pStyle w:val="Compact"/>
            </w:pPr>
            <w:r>
              <w:t xml:space="preserve">501 to 618</w:t>
            </w:r>
          </w:p>
        </w:tc>
      </w:tr>
      <w:tr>
        <w:tc>
          <w:tcPr/>
          <w:p>
            <w:pPr>
              <w:pStyle w:val="Compact"/>
            </w:pPr>
            <w:r>
              <w:t xml:space="preserve">60+</w:t>
            </w:r>
          </w:p>
        </w:tc>
        <w:tc>
          <w:tcPr/>
          <w:p>
            <w:pPr>
              <w:pStyle w:val="Compact"/>
            </w:pPr>
            <w:r>
              <w:t xml:space="preserve">42.9%</w:t>
            </w:r>
          </w:p>
        </w:tc>
        <w:tc>
          <w:tcPr/>
          <w:p>
            <w:pPr>
              <w:pStyle w:val="Compact"/>
            </w:pPr>
            <w:r>
              <w:t xml:space="preserve">42.9%</w:t>
            </w:r>
          </w:p>
        </w:tc>
        <w:tc>
          <w:tcPr/>
          <w:p>
            <w:pPr>
              <w:pStyle w:val="Compact"/>
            </w:pPr>
            <w:r>
              <w:t xml:space="preserve">39.7% to 46.3%</w:t>
            </w:r>
          </w:p>
        </w:tc>
        <w:tc>
          <w:tcPr/>
          <w:p>
            <w:pPr>
              <w:pStyle w:val="Compact"/>
            </w:pPr>
            <w:r>
              <w:t xml:space="preserve">147</w:t>
            </w:r>
          </w:p>
        </w:tc>
        <w:tc>
          <w:tcPr/>
          <w:p>
            <w:pPr>
              <w:pStyle w:val="Compact"/>
            </w:pPr>
            <w:r>
              <w:t xml:space="preserve">147</w:t>
            </w:r>
          </w:p>
        </w:tc>
        <w:tc>
          <w:tcPr/>
          <w:p>
            <w:pPr>
              <w:pStyle w:val="Compact"/>
            </w:pPr>
            <w:r>
              <w:t xml:space="preserve">132 to 164</w:t>
            </w:r>
          </w:p>
        </w:tc>
      </w:tr>
    </w:tbl>
    <w:p>
      <w:pPr>
        <w:pStyle w:val="CaptionedFigure"/>
      </w:pPr>
      <w:r>
        <w:drawing>
          <wp:inline>
            <wp:extent cx="5334000" cy="2377778"/>
            <wp:effectExtent b="0" l="0" r="0" t="0"/>
            <wp:docPr descr="Fig S1. Calibration of age specific seroprevalence and prison population in 2015. Target intervals are compared with 95% posterior predictive intervals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5334000" cy="2377778"/>
                    </a:xfrm>
                    <a:prstGeom prst="rect">
                      <a:avLst/>
                    </a:prstGeom>
                    <a:noFill/>
                    <a:ln w="9525">
                      <a:noFill/>
                      <a:headEnd/>
                      <a:tailEnd/>
                    </a:ln>
                  </pic:spPr>
                </pic:pic>
              </a:graphicData>
            </a:graphic>
          </wp:inline>
        </w:drawing>
      </w:r>
    </w:p>
    <w:p>
      <w:pPr>
        <w:pStyle w:val="ImageCaption"/>
      </w:pPr>
      <w:r>
        <w:t xml:space="preserve">Fig S1. Calibration of age specific seroprevalence and prison population in 2015. Target intervals are compared with 95% posterior predictive intervals from the MCMC posterior and, for contrast, single round neural posterior estimation.</w:t>
      </w:r>
    </w:p>
    <w:p>
      <w:pPr>
        <w:pStyle w:val="BodyText"/>
      </w:pPr>
      <w:r>
        <w:t xml:space="preserve">In 2015 the model estimated 1,356 (95% interval: 1,247–1,471) people in D, 3,374 (3,089–3,692) in J, 2,265 (2,062–2,488) in F and 10,235 (9,236–11,357) in X. The total was 17,226 (15,649–18,968) people with a history of injecting drugs. Of these, 3,525 (3,187–3,902) were viraemic.</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81.1% (95% UI: 76.5%–84.3%)</w:t>
            </w:r>
          </w:p>
        </w:tc>
        <w:tc>
          <w:tcPr/>
          <w:p>
            <w:pPr>
              <w:pStyle w:val="Compact"/>
            </w:pPr>
            <w:r>
              <w:t xml:space="preserve">50.5% (95% UI: 49.8%–51.3%)</w:t>
            </w:r>
          </w:p>
        </w:tc>
        <w:tc>
          <w:tcPr/>
          <w:p>
            <w:pPr>
              <w:pStyle w:val="Compact"/>
            </w:pPr>
            <w:r>
              <w:t xml:space="preserve">0%</w:t>
            </w:r>
          </w:p>
        </w:tc>
        <w:tc>
          <w:tcPr/>
          <w:p>
            <w:pPr>
              <w:pStyle w:val="Compact"/>
            </w:pPr>
            <w:r>
              <w:t xml:space="preserve">81.5% (95% UI: 76.9%–84.7%)</w:t>
            </w:r>
          </w:p>
        </w:tc>
        <w:tc>
          <w:tcPr/>
          <w:p>
            <w:pPr>
              <w:pStyle w:val="Compact"/>
            </w:pPr>
            <w:r>
              <w:t xml:space="preserve">42.9% (95% UI: 42.3%–43.6%)</w:t>
            </w:r>
          </w:p>
        </w:tc>
      </w:tr>
      <w:tr>
        <w:tc>
          <w:tcPr/>
          <w:p>
            <w:pPr>
              <w:pStyle w:val="Compact"/>
            </w:pPr>
            <w:r>
              <w:t xml:space="preserve">J + 600/year, F 25%</w:t>
            </w:r>
          </w:p>
        </w:tc>
        <w:tc>
          <w:tcPr/>
          <w:p>
            <w:pPr>
              <w:pStyle w:val="Compact"/>
            </w:pPr>
            <w:r>
              <w:t xml:space="preserve">84.1% (95% UI: 80.1%–86.9%)</w:t>
            </w:r>
          </w:p>
        </w:tc>
        <w:tc>
          <w:tcPr/>
          <w:p>
            <w:pPr>
              <w:pStyle w:val="Compact"/>
            </w:pPr>
            <w:r>
              <w:t xml:space="preserve">54.6% (95% UI: 53.8%–55.5%)</w:t>
            </w:r>
          </w:p>
        </w:tc>
        <w:tc>
          <w:tcPr/>
          <w:p>
            <w:pPr>
              <w:pStyle w:val="Compact"/>
            </w:pPr>
            <w:r>
              <w:t xml:space="preserve">0%</w:t>
            </w:r>
          </w:p>
        </w:tc>
        <w:tc>
          <w:tcPr/>
          <w:p>
            <w:pPr>
              <w:pStyle w:val="Compact"/>
            </w:pPr>
            <w:r>
              <w:t xml:space="preserve">84.5% (95% UI: 80.3%–87.2%)</w:t>
            </w:r>
          </w:p>
        </w:tc>
        <w:tc>
          <w:tcPr/>
          <w:p>
            <w:pPr>
              <w:pStyle w:val="Compact"/>
            </w:pPr>
            <w:r>
              <w:t xml:space="preserve">47.9% (95% UI: 47.1%–48.7%)</w:t>
            </w:r>
          </w:p>
        </w:tc>
      </w:tr>
      <w:tr>
        <w:tc>
          <w:tcPr/>
          <w:p>
            <w:pPr>
              <w:pStyle w:val="Compact"/>
            </w:pPr>
            <w:r>
              <w:t xml:space="preserve">J + 1,000/year, F 25%</w:t>
            </w:r>
          </w:p>
        </w:tc>
        <w:tc>
          <w:tcPr/>
          <w:p>
            <w:pPr>
              <w:pStyle w:val="Compact"/>
            </w:pPr>
            <w:r>
              <w:t xml:space="preserve">85.9% (95% UI: 82.2%–88.4%)</w:t>
            </w:r>
          </w:p>
        </w:tc>
        <w:tc>
          <w:tcPr/>
          <w:p>
            <w:pPr>
              <w:pStyle w:val="Compact"/>
            </w:pPr>
            <w:r>
              <w:t xml:space="preserve">57.0% (95% UI: 56.1%–57.9%)</w:t>
            </w:r>
          </w:p>
        </w:tc>
        <w:tc>
          <w:tcPr/>
          <w:p>
            <w:pPr>
              <w:pStyle w:val="Compact"/>
            </w:pPr>
            <w:r>
              <w:t xml:space="preserve">0%</w:t>
            </w:r>
          </w:p>
        </w:tc>
        <w:tc>
          <w:tcPr/>
          <w:p>
            <w:pPr>
              <w:pStyle w:val="Compact"/>
            </w:pPr>
            <w:r>
              <w:t xml:space="preserve">86.2% (95% UI: 82.4%–88.6%)</w:t>
            </w:r>
          </w:p>
        </w:tc>
        <w:tc>
          <w:tcPr/>
          <w:p>
            <w:pPr>
              <w:pStyle w:val="Compact"/>
            </w:pPr>
            <w:r>
              <w:t xml:space="preserve">50.8% (95% UI: 49.8%–51.8%)</w:t>
            </w:r>
          </w:p>
        </w:tc>
      </w:tr>
      <w:tr>
        <w:tc>
          <w:tcPr/>
          <w:p>
            <w:pPr>
              <w:pStyle w:val="Compact"/>
            </w:pPr>
            <w:r>
              <w:t xml:space="preserve">J + 2,000/year, F 25%</w:t>
            </w:r>
          </w:p>
        </w:tc>
        <w:tc>
          <w:tcPr/>
          <w:p>
            <w:pPr>
              <w:pStyle w:val="Compact"/>
            </w:pPr>
            <w:r>
              <w:t xml:space="preserve">89.4% (95% UI: 86.4%–91.4%)</w:t>
            </w:r>
          </w:p>
        </w:tc>
        <w:tc>
          <w:tcPr/>
          <w:p>
            <w:pPr>
              <w:pStyle w:val="Compact"/>
            </w:pPr>
            <w:r>
              <w:t xml:space="preserve">62.0% (95% UI: 60.8%–63.0%)</w:t>
            </w:r>
          </w:p>
        </w:tc>
        <w:tc>
          <w:tcPr/>
          <w:p>
            <w:pPr>
              <w:pStyle w:val="Compact"/>
            </w:pPr>
            <w:r>
              <w:t xml:space="preserve">0%</w:t>
            </w:r>
          </w:p>
        </w:tc>
        <w:tc>
          <w:tcPr/>
          <w:p>
            <w:pPr>
              <w:pStyle w:val="Compact"/>
            </w:pPr>
            <w:r>
              <w:t xml:space="preserve">89.6% (95% UI: 86.6%–91.6%)</w:t>
            </w:r>
          </w:p>
        </w:tc>
        <w:tc>
          <w:tcPr/>
          <w:p>
            <w:pPr>
              <w:pStyle w:val="Compact"/>
            </w:pPr>
            <w:r>
              <w:t xml:space="preserve">56.8% (95% UI: 55.6%–58.1%)</w:t>
            </w:r>
          </w:p>
        </w:tc>
      </w:tr>
      <w:tr>
        <w:tc>
          <w:tcPr/>
          <w:p>
            <w:pPr>
              <w:pStyle w:val="Compact"/>
            </w:pPr>
            <w:r>
              <w:t xml:space="preserve">J + 5,000/year, F 25%</w:t>
            </w:r>
          </w:p>
        </w:tc>
        <w:tc>
          <w:tcPr/>
          <w:p>
            <w:pPr>
              <w:pStyle w:val="Compact"/>
            </w:pPr>
            <w:r>
              <w:t xml:space="preserve">94.9% (95% UI: 93.3%–95.9%)</w:t>
            </w:r>
          </w:p>
        </w:tc>
        <w:tc>
          <w:tcPr/>
          <w:p>
            <w:pPr>
              <w:pStyle w:val="Compact"/>
            </w:pPr>
            <w:r>
              <w:t xml:space="preserve">70.4% (95% UI: 69.4%–71.3%)</w:t>
            </w:r>
          </w:p>
        </w:tc>
        <w:tc>
          <w:tcPr/>
          <w:p>
            <w:pPr>
              <w:pStyle w:val="Compact"/>
            </w:pPr>
            <w:r>
              <w:t xml:space="preserve">100%</w:t>
            </w:r>
          </w:p>
        </w:tc>
        <w:tc>
          <w:tcPr/>
          <w:p>
            <w:pPr>
              <w:pStyle w:val="Compact"/>
            </w:pPr>
            <w:r>
              <w:t xml:space="preserve">95.0% (95% UI: 93.4%–96.1%)</w:t>
            </w:r>
          </w:p>
        </w:tc>
        <w:tc>
          <w:tcPr/>
          <w:p>
            <w:pPr>
              <w:pStyle w:val="Compact"/>
            </w:pPr>
            <w:r>
              <w:t xml:space="preserve">67.1% (95% UI: 66.0%–68.2%)</w:t>
            </w:r>
          </w:p>
        </w:tc>
      </w:tr>
      <w:tr>
        <w:tc>
          <w:tcPr/>
          <w:p>
            <w:pPr>
              <w:pStyle w:val="Compact"/>
            </w:pPr>
            <w:r>
              <w:t xml:space="preserve">J + 8,000/year, F 25%</w:t>
            </w:r>
          </w:p>
        </w:tc>
        <w:tc>
          <w:tcPr/>
          <w:p>
            <w:pPr>
              <w:pStyle w:val="Compact"/>
            </w:pPr>
            <w:r>
              <w:t xml:space="preserve">96.6% (95% UI: 95.6%–97.3%)</w:t>
            </w:r>
          </w:p>
        </w:tc>
        <w:tc>
          <w:tcPr/>
          <w:p>
            <w:pPr>
              <w:pStyle w:val="Compact"/>
            </w:pPr>
            <w:r>
              <w:t xml:space="preserve">73.3% (95% UI: 72.8%–73.8%)</w:t>
            </w:r>
          </w:p>
        </w:tc>
        <w:tc>
          <w:tcPr/>
          <w:p>
            <w:pPr>
              <w:pStyle w:val="Compact"/>
            </w:pPr>
            <w:r>
              <w:t xml:space="preserve">100%</w:t>
            </w:r>
          </w:p>
        </w:tc>
        <w:tc>
          <w:tcPr/>
          <w:p>
            <w:pPr>
              <w:pStyle w:val="Compact"/>
            </w:pPr>
            <w:r>
              <w:t xml:space="preserve">96.7% (95% UI: 95.6%–97.3%)</w:t>
            </w:r>
          </w:p>
        </w:tc>
        <w:tc>
          <w:tcPr/>
          <w:p>
            <w:pPr>
              <w:pStyle w:val="Compact"/>
            </w:pPr>
            <w:r>
              <w:t xml:space="preserve">70.7% (95% UI: 70.1%–71.2%)</w:t>
            </w:r>
          </w:p>
        </w:tc>
      </w:tr>
      <w:tr>
        <w:tc>
          <w:tcPr/>
          <w:p>
            <w:pPr>
              <w:pStyle w:val="Compact"/>
            </w:pPr>
            <w:r>
              <w:t xml:space="preserve">J + 600/year, F 50%</w:t>
            </w:r>
          </w:p>
        </w:tc>
        <w:tc>
          <w:tcPr/>
          <w:p>
            <w:pPr>
              <w:pStyle w:val="Compact"/>
            </w:pPr>
            <w:r>
              <w:t xml:space="preserve">86.7% (95% UI: 83.2%–89.1%)</w:t>
            </w:r>
          </w:p>
        </w:tc>
        <w:tc>
          <w:tcPr/>
          <w:p>
            <w:pPr>
              <w:pStyle w:val="Compact"/>
            </w:pPr>
            <w:r>
              <w:t xml:space="preserve">53.5% (95% UI: 52.7%–54.3%)</w:t>
            </w:r>
          </w:p>
        </w:tc>
        <w:tc>
          <w:tcPr/>
          <w:p>
            <w:pPr>
              <w:pStyle w:val="Compact"/>
            </w:pPr>
            <w:r>
              <w:t xml:space="preserve">0%</w:t>
            </w:r>
          </w:p>
        </w:tc>
        <w:tc>
          <w:tcPr/>
          <w:p>
            <w:pPr>
              <w:pStyle w:val="Compact"/>
            </w:pPr>
            <w:r>
              <w:t xml:space="preserve">87.0% (95% UI: 83.4%–89.3%)</w:t>
            </w:r>
          </w:p>
        </w:tc>
        <w:tc>
          <w:tcPr/>
          <w:p>
            <w:pPr>
              <w:pStyle w:val="Compact"/>
            </w:pPr>
            <w:r>
              <w:t xml:space="preserve">46.5% (95% UI: 45.7%–47.3%)</w:t>
            </w:r>
          </w:p>
        </w:tc>
      </w:tr>
      <w:tr>
        <w:tc>
          <w:tcPr/>
          <w:p>
            <w:pPr>
              <w:pStyle w:val="Compact"/>
            </w:pPr>
            <w:r>
              <w:t xml:space="preserve">J + 1,000/year, F 50%</w:t>
            </w:r>
          </w:p>
        </w:tc>
        <w:tc>
          <w:tcPr/>
          <w:p>
            <w:pPr>
              <w:pStyle w:val="Compact"/>
            </w:pPr>
            <w:r>
              <w:t xml:space="preserve">89.4% (95% UI: 86.4%–91.4%)</w:t>
            </w:r>
          </w:p>
        </w:tc>
        <w:tc>
          <w:tcPr/>
          <w:p>
            <w:pPr>
              <w:pStyle w:val="Compact"/>
            </w:pPr>
            <w:r>
              <w:t xml:space="preserve">55.3% (95% UI: 54.4%–56.2%)</w:t>
            </w:r>
          </w:p>
        </w:tc>
        <w:tc>
          <w:tcPr/>
          <w:p>
            <w:pPr>
              <w:pStyle w:val="Compact"/>
            </w:pPr>
            <w:r>
              <w:t xml:space="preserve">0%</w:t>
            </w:r>
          </w:p>
        </w:tc>
        <w:tc>
          <w:tcPr/>
          <w:p>
            <w:pPr>
              <w:pStyle w:val="Compact"/>
            </w:pPr>
            <w:r>
              <w:t xml:space="preserve">89.6% (95% UI: 86.6%–91.6%)</w:t>
            </w:r>
          </w:p>
        </w:tc>
        <w:tc>
          <w:tcPr/>
          <w:p>
            <w:pPr>
              <w:pStyle w:val="Compact"/>
            </w:pPr>
            <w:r>
              <w:t xml:space="preserve">48.6% (95% UI: 47.7%–49.5%)</w:t>
            </w:r>
          </w:p>
        </w:tc>
      </w:tr>
      <w:tr>
        <w:tc>
          <w:tcPr/>
          <w:p>
            <w:pPr>
              <w:pStyle w:val="Compact"/>
            </w:pPr>
            <w:r>
              <w:t xml:space="preserve">J + 2,000/year, F 50%</w:t>
            </w:r>
          </w:p>
        </w:tc>
        <w:tc>
          <w:tcPr/>
          <w:p>
            <w:pPr>
              <w:pStyle w:val="Compact"/>
            </w:pPr>
            <w:r>
              <w:t xml:space="preserve">93.7% (95% UI: 91.8%–95.0%)</w:t>
            </w:r>
          </w:p>
        </w:tc>
        <w:tc>
          <w:tcPr/>
          <w:p>
            <w:pPr>
              <w:pStyle w:val="Compact"/>
            </w:pPr>
            <w:r>
              <w:t xml:space="preserve">59.1% (95% UI: 58.1%–60.1%)</w:t>
            </w:r>
          </w:p>
        </w:tc>
        <w:tc>
          <w:tcPr/>
          <w:p>
            <w:pPr>
              <w:pStyle w:val="Compact"/>
            </w:pPr>
            <w:r>
              <w:t xml:space="preserve">0%</w:t>
            </w:r>
          </w:p>
        </w:tc>
        <w:tc>
          <w:tcPr/>
          <w:p>
            <w:pPr>
              <w:pStyle w:val="Compact"/>
            </w:pPr>
            <w:r>
              <w:t xml:space="preserve">93.8% (95% UI: 91.8%–95.1%)</w:t>
            </w:r>
          </w:p>
        </w:tc>
        <w:tc>
          <w:tcPr/>
          <w:p>
            <w:pPr>
              <w:pStyle w:val="Compact"/>
            </w:pPr>
            <w:r>
              <w:t xml:space="preserve">53.3% (95% UI: 52.2%–54.4%)</w:t>
            </w:r>
          </w:p>
        </w:tc>
      </w:tr>
      <w:tr>
        <w:tc>
          <w:tcPr/>
          <w:p>
            <w:pPr>
              <w:pStyle w:val="Compact"/>
            </w:pPr>
            <w:r>
              <w:t xml:space="preserve">J + 5,000/year, F 50%</w:t>
            </w:r>
          </w:p>
        </w:tc>
        <w:tc>
          <w:tcPr/>
          <w:p>
            <w:pPr>
              <w:pStyle w:val="Compact"/>
            </w:pPr>
            <w:r>
              <w:t xml:space="preserve">96.9% (95% UI: 96.0%–97.5%)</w:t>
            </w:r>
          </w:p>
        </w:tc>
        <w:tc>
          <w:tcPr/>
          <w:p>
            <w:pPr>
              <w:pStyle w:val="Compact"/>
            </w:pPr>
            <w:r>
              <w:t xml:space="preserve">66.9% (95% UI: 65.8%–68.0%)</w:t>
            </w:r>
          </w:p>
        </w:tc>
        <w:tc>
          <w:tcPr/>
          <w:p>
            <w:pPr>
              <w:pStyle w:val="Compact"/>
            </w:pPr>
            <w:r>
              <w:t xml:space="preserve">100%</w:t>
            </w:r>
          </w:p>
        </w:tc>
        <w:tc>
          <w:tcPr/>
          <w:p>
            <w:pPr>
              <w:pStyle w:val="Compact"/>
            </w:pPr>
            <w:r>
              <w:t xml:space="preserve">97.0% (95% UI: 96.0%–97.6%)</w:t>
            </w:r>
          </w:p>
        </w:tc>
        <w:tc>
          <w:tcPr/>
          <w:p>
            <w:pPr>
              <w:pStyle w:val="Compact"/>
            </w:pPr>
            <w:r>
              <w:t xml:space="preserve">62.8% (95% UI: 61.5%–64.1%)</w:t>
            </w:r>
          </w:p>
        </w:tc>
      </w:tr>
      <w:tr>
        <w:tc>
          <w:tcPr/>
          <w:p>
            <w:pPr>
              <w:pStyle w:val="Compact"/>
            </w:pPr>
            <w:r>
              <w:t xml:space="preserve">J + 8,000/year, F 50%</w:t>
            </w:r>
          </w:p>
        </w:tc>
        <w:tc>
          <w:tcPr/>
          <w:p>
            <w:pPr>
              <w:pStyle w:val="Compact"/>
            </w:pPr>
            <w:r>
              <w:t xml:space="preserve">96.9% (95% UI: 96.0%–97.5%)</w:t>
            </w:r>
          </w:p>
        </w:tc>
        <w:tc>
          <w:tcPr/>
          <w:p>
            <w:pPr>
              <w:pStyle w:val="Compact"/>
            </w:pPr>
            <w:r>
              <w:t xml:space="preserve">71.0% (95% UI: 70.1%–71.8%)</w:t>
            </w:r>
          </w:p>
        </w:tc>
        <w:tc>
          <w:tcPr/>
          <w:p>
            <w:pPr>
              <w:pStyle w:val="Compact"/>
            </w:pPr>
            <w:r>
              <w:t xml:space="preserve">100%</w:t>
            </w:r>
          </w:p>
        </w:tc>
        <w:tc>
          <w:tcPr/>
          <w:p>
            <w:pPr>
              <w:pStyle w:val="Compact"/>
            </w:pPr>
            <w:r>
              <w:t xml:space="preserve">97.0% (95% UI: 96.0%–97.6%)</w:t>
            </w:r>
          </w:p>
        </w:tc>
        <w:tc>
          <w:tcPr/>
          <w:p>
            <w:pPr>
              <w:pStyle w:val="Compact"/>
            </w:pPr>
            <w:r>
              <w:t xml:space="preserve">67.8% (95% UI: 66.7%–68.8%)</w:t>
            </w:r>
          </w:p>
        </w:tc>
      </w:tr>
      <w:tr>
        <w:tc>
          <w:tcPr/>
          <w:p>
            <w:pPr>
              <w:pStyle w:val="Compact"/>
            </w:pPr>
            <w:r>
              <w:t xml:space="preserve">J + 600/year, F 75%</w:t>
            </w:r>
          </w:p>
        </w:tc>
        <w:tc>
          <w:tcPr/>
          <w:p>
            <w:pPr>
              <w:pStyle w:val="Compact"/>
            </w:pPr>
            <w:r>
              <w:t xml:space="preserve">88.8% (95% UI: 85.7%–90.9%)</w:t>
            </w:r>
          </w:p>
        </w:tc>
        <w:tc>
          <w:tcPr/>
          <w:p>
            <w:pPr>
              <w:pStyle w:val="Compact"/>
            </w:pPr>
            <w:r>
              <w:t xml:space="preserve">52.3% (95% UI: 51.5%–53.1%)</w:t>
            </w:r>
          </w:p>
        </w:tc>
        <w:tc>
          <w:tcPr/>
          <w:p>
            <w:pPr>
              <w:pStyle w:val="Compact"/>
            </w:pPr>
            <w:r>
              <w:t xml:space="preserve">0%</w:t>
            </w:r>
          </w:p>
        </w:tc>
        <w:tc>
          <w:tcPr/>
          <w:p>
            <w:pPr>
              <w:pStyle w:val="Compact"/>
            </w:pPr>
            <w:r>
              <w:t xml:space="preserve">89.0% (95% UI: 85.9%–91.1%)</w:t>
            </w:r>
          </w:p>
        </w:tc>
        <w:tc>
          <w:tcPr/>
          <w:p>
            <w:pPr>
              <w:pStyle w:val="Compact"/>
            </w:pPr>
            <w:r>
              <w:t xml:space="preserve">44.9% (95% UI: 44.2%–45.7%)</w:t>
            </w:r>
          </w:p>
        </w:tc>
      </w:tr>
      <w:tr>
        <w:tc>
          <w:tcPr/>
          <w:p>
            <w:pPr>
              <w:pStyle w:val="Compact"/>
            </w:pPr>
            <w:r>
              <w:t xml:space="preserve">J + 1,000/year, F 75%</w:t>
            </w:r>
          </w:p>
        </w:tc>
        <w:tc>
          <w:tcPr/>
          <w:p>
            <w:pPr>
              <w:pStyle w:val="Compact"/>
            </w:pPr>
            <w:r>
              <w:t xml:space="preserve">91.9% (95% UI: 89.6%–93.5%)</w:t>
            </w:r>
          </w:p>
        </w:tc>
        <w:tc>
          <w:tcPr/>
          <w:p>
            <w:pPr>
              <w:pStyle w:val="Compact"/>
            </w:pPr>
            <w:r>
              <w:t xml:space="preserve">53.3% (95% UI: 52.5%–54.2%)</w:t>
            </w:r>
          </w:p>
        </w:tc>
        <w:tc>
          <w:tcPr/>
          <w:p>
            <w:pPr>
              <w:pStyle w:val="Compact"/>
            </w:pPr>
            <w:r>
              <w:t xml:space="preserve">0%</w:t>
            </w:r>
          </w:p>
        </w:tc>
        <w:tc>
          <w:tcPr/>
          <w:p>
            <w:pPr>
              <w:pStyle w:val="Compact"/>
            </w:pPr>
            <w:r>
              <w:t xml:space="preserve">92.1% (95% UI: 89.6%–93.7%)</w:t>
            </w:r>
          </w:p>
        </w:tc>
        <w:tc>
          <w:tcPr/>
          <w:p>
            <w:pPr>
              <w:pStyle w:val="Compact"/>
            </w:pPr>
            <w:r>
              <w:t xml:space="preserve">46.2% (95% UI: 45.4%–47.0%)</w:t>
            </w:r>
          </w:p>
        </w:tc>
      </w:tr>
      <w:tr>
        <w:tc>
          <w:tcPr/>
          <w:p>
            <w:pPr>
              <w:pStyle w:val="Compact"/>
            </w:pPr>
            <w:r>
              <w:t xml:space="preserve">J + 2,000/year, F 75%</w:t>
            </w:r>
          </w:p>
        </w:tc>
        <w:tc>
          <w:tcPr/>
          <w:p>
            <w:pPr>
              <w:pStyle w:val="Compact"/>
            </w:pPr>
            <w:r>
              <w:t xml:space="preserve">95.7% (95% UI: 94.3%–96.6%)</w:t>
            </w:r>
          </w:p>
        </w:tc>
        <w:tc>
          <w:tcPr/>
          <w:p>
            <w:pPr>
              <w:pStyle w:val="Compact"/>
            </w:pPr>
            <w:r>
              <w:t xml:space="preserve">55.6% (95% UI: 54.7%–56.5%)</w:t>
            </w:r>
          </w:p>
        </w:tc>
        <w:tc>
          <w:tcPr/>
          <w:p>
            <w:pPr>
              <w:pStyle w:val="Compact"/>
            </w:pPr>
            <w:r>
              <w:t xml:space="preserve">0%</w:t>
            </w:r>
          </w:p>
        </w:tc>
        <w:tc>
          <w:tcPr/>
          <w:p>
            <w:pPr>
              <w:pStyle w:val="Compact"/>
            </w:pPr>
            <w:r>
              <w:t xml:space="preserve">95.8% (95% UI: 94.4%–96.7%)</w:t>
            </w:r>
          </w:p>
        </w:tc>
        <w:tc>
          <w:tcPr/>
          <w:p>
            <w:pPr>
              <w:pStyle w:val="Compact"/>
            </w:pPr>
            <w:r>
              <w:t xml:space="preserve">48.9% (95% UI: 48.0%–49.8%)</w:t>
            </w:r>
          </w:p>
        </w:tc>
      </w:tr>
      <w:tr>
        <w:tc>
          <w:tcPr/>
          <w:p>
            <w:pPr>
              <w:pStyle w:val="Compact"/>
            </w:pPr>
            <w:r>
              <w:t xml:space="preserve">J + 5,000/year, F 75%</w:t>
            </w:r>
          </w:p>
        </w:tc>
        <w:tc>
          <w:tcPr/>
          <w:p>
            <w:pPr>
              <w:pStyle w:val="Compact"/>
            </w:pPr>
            <w:r>
              <w:t xml:space="preserve">96.9% (95% UI: 96.0%–97.5%)</w:t>
            </w:r>
          </w:p>
        </w:tc>
        <w:tc>
          <w:tcPr/>
          <w:p>
            <w:pPr>
              <w:pStyle w:val="Compact"/>
            </w:pPr>
            <w:r>
              <w:t xml:space="preserve">60.9% (95% UI: 59.8%–62.0%)</w:t>
            </w:r>
          </w:p>
        </w:tc>
        <w:tc>
          <w:tcPr/>
          <w:p>
            <w:pPr>
              <w:pStyle w:val="Compact"/>
            </w:pPr>
            <w:r>
              <w:t xml:space="preserve">0%</w:t>
            </w:r>
          </w:p>
        </w:tc>
        <w:tc>
          <w:tcPr/>
          <w:p>
            <w:pPr>
              <w:pStyle w:val="Compact"/>
            </w:pPr>
            <w:r>
              <w:t xml:space="preserve">97.0% (95% UI: 96.0%–97.6%)</w:t>
            </w:r>
          </w:p>
        </w:tc>
        <w:tc>
          <w:tcPr/>
          <w:p>
            <w:pPr>
              <w:pStyle w:val="Compact"/>
            </w:pPr>
            <w:r>
              <w:t xml:space="preserve">55.4% (95% UI: 54.2%–56.5%)</w:t>
            </w:r>
          </w:p>
        </w:tc>
      </w:tr>
      <w:tr>
        <w:tc>
          <w:tcPr/>
          <w:p>
            <w:pPr>
              <w:pStyle w:val="Compact"/>
            </w:pPr>
            <w:r>
              <w:t xml:space="preserve">J + 8,000/year, F 75%</w:t>
            </w:r>
          </w:p>
        </w:tc>
        <w:tc>
          <w:tcPr/>
          <w:p>
            <w:pPr>
              <w:pStyle w:val="Compact"/>
            </w:pPr>
            <w:r>
              <w:t xml:space="preserve">96.9% (95% UI: 96.0%–97.5%)</w:t>
            </w:r>
          </w:p>
        </w:tc>
        <w:tc>
          <w:tcPr/>
          <w:p>
            <w:pPr>
              <w:pStyle w:val="Compact"/>
            </w:pPr>
            <w:r>
              <w:t xml:space="preserve">64.9% (95% UI: 63.7%–66.0%)</w:t>
            </w:r>
          </w:p>
        </w:tc>
        <w:tc>
          <w:tcPr/>
          <w:p>
            <w:pPr>
              <w:pStyle w:val="Compact"/>
            </w:pPr>
            <w:r>
              <w:t xml:space="preserve">40%</w:t>
            </w:r>
          </w:p>
        </w:tc>
        <w:tc>
          <w:tcPr/>
          <w:p>
            <w:pPr>
              <w:pStyle w:val="Compact"/>
            </w:pPr>
            <w:r>
              <w:t xml:space="preserve">97.0% (95% UI: 96.0%–97.6%)</w:t>
            </w:r>
          </w:p>
        </w:tc>
        <w:tc>
          <w:tcPr/>
          <w:p>
            <w:pPr>
              <w:pStyle w:val="Compact"/>
            </w:pPr>
            <w:r>
              <w:t xml:space="preserve">60.2% (95% UI: 58.9%–61.5%)</w:t>
            </w:r>
          </w:p>
        </w:tc>
      </w:tr>
      <w:tr>
        <w:tc>
          <w:tcPr/>
          <w:p>
            <w:pPr>
              <w:pStyle w:val="Compact"/>
            </w:pPr>
            <w:r>
              <w:t xml:space="preserve">J + no screening cap</w:t>
            </w:r>
          </w:p>
        </w:tc>
        <w:tc>
          <w:tcPr/>
          <w:p>
            <w:pPr>
              <w:pStyle w:val="Compact"/>
            </w:pPr>
            <w:r>
              <w:t xml:space="preserve">96.9% (95% UI: 96.0%–97.5%)</w:t>
            </w:r>
          </w:p>
        </w:tc>
        <w:tc>
          <w:tcPr/>
          <w:p>
            <w:pPr>
              <w:pStyle w:val="Compact"/>
            </w:pPr>
            <w:r>
              <w:t xml:space="preserve">73.9% (95% UI: 73.7%–74.1%)</w:t>
            </w:r>
          </w:p>
        </w:tc>
        <w:tc>
          <w:tcPr/>
          <w:p>
            <w:pPr>
              <w:pStyle w:val="Compact"/>
            </w:pPr>
            <w:r>
              <w:t xml:space="preserve">100%</w:t>
            </w:r>
          </w:p>
        </w:tc>
        <w:tc>
          <w:tcPr/>
          <w:p>
            <w:pPr>
              <w:pStyle w:val="Compact"/>
            </w:pPr>
            <w:r>
              <w:t xml:space="preserve">97.0% (95% UI: 96.0%–97.6%)</w:t>
            </w:r>
          </w:p>
        </w:tc>
        <w:tc>
          <w:tcPr/>
          <w:p>
            <w:pPr>
              <w:pStyle w:val="Compact"/>
            </w:pPr>
            <w:r>
              <w:t xml:space="preserve">71.3% (95% UI: 71.2%–71.5%)</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391 (95% UI: 336–460)</w:t>
            </w:r>
          </w:p>
        </w:tc>
        <w:tc>
          <w:tcPr/>
          <w:p>
            <w:pPr>
              <w:pStyle w:val="Compact"/>
            </w:pPr>
            <w:r>
              <w:t xml:space="preserve">S$15.2 million (95% UI: S$13.1 million–S$17.9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691 (95% UI: 651–732)</w:t>
            </w:r>
          </w:p>
        </w:tc>
        <w:tc>
          <w:tcPr/>
          <w:p>
            <w:pPr>
              <w:pStyle w:val="Compact"/>
            </w:pPr>
            <w:r>
              <w:t xml:space="preserve">204 (95% UI: 190–218)</w:t>
            </w:r>
          </w:p>
        </w:tc>
        <w:tc>
          <w:tcPr/>
          <w:p>
            <w:pPr>
              <w:pStyle w:val="Compact"/>
            </w:pPr>
            <w:r>
              <w:t xml:space="preserve">359 (95% UI: 307–423)</w:t>
            </w:r>
          </w:p>
        </w:tc>
        <w:tc>
          <w:tcPr/>
          <w:p>
            <w:pPr>
              <w:pStyle w:val="Compact"/>
            </w:pPr>
            <w:r>
              <w:t xml:space="preserve">S$22.1 million (95% UI: S$19.8 million–S$24.9 million)</w:t>
            </w:r>
          </w:p>
        </w:tc>
        <w:tc>
          <w:tcPr/>
          <w:p>
            <w:pPr>
              <w:pStyle w:val="Compact"/>
            </w:pPr>
            <w:r>
              <w:t xml:space="preserve">S$6.9 million (95% UI: S$6.4 million–S$7.4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1,152 (95% UI: 1,085–1,220)</w:t>
            </w:r>
          </w:p>
        </w:tc>
        <w:tc>
          <w:tcPr/>
          <w:p>
            <w:pPr>
              <w:pStyle w:val="Compact"/>
            </w:pPr>
            <w:r>
              <w:t xml:space="preserve">322 (95% UI: 301–345)</w:t>
            </w:r>
          </w:p>
        </w:tc>
        <w:tc>
          <w:tcPr/>
          <w:p>
            <w:pPr>
              <w:pStyle w:val="Compact"/>
            </w:pPr>
            <w:r>
              <w:t xml:space="preserve">340 (95% UI: 289–401)</w:t>
            </w:r>
          </w:p>
        </w:tc>
        <w:tc>
          <w:tcPr/>
          <w:p>
            <w:pPr>
              <w:pStyle w:val="Compact"/>
            </w:pPr>
            <w:r>
              <w:t xml:space="preserve">S$26.2 million (95% UI: S$23.7 million–S$28.9 million)</w:t>
            </w:r>
          </w:p>
        </w:tc>
        <w:tc>
          <w:tcPr/>
          <w:p>
            <w:pPr>
              <w:pStyle w:val="Compact"/>
            </w:pPr>
            <w:r>
              <w:t xml:space="preserve">S$10.9 million (95% UI: S$10.2 million–S$11.7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2,301 (95% UI: 2,168–2,437)</w:t>
            </w:r>
          </w:p>
        </w:tc>
        <w:tc>
          <w:tcPr/>
          <w:p>
            <w:pPr>
              <w:pStyle w:val="Compact"/>
            </w:pPr>
            <w:r>
              <w:t xml:space="preserve">569 (95% UI: 531–609)</w:t>
            </w:r>
          </w:p>
        </w:tc>
        <w:tc>
          <w:tcPr/>
          <w:p>
            <w:pPr>
              <w:pStyle w:val="Compact"/>
            </w:pPr>
            <w:r>
              <w:t xml:space="preserve">297 (95% UI: 251–351)</w:t>
            </w:r>
          </w:p>
        </w:tc>
        <w:tc>
          <w:tcPr/>
          <w:p>
            <w:pPr>
              <w:pStyle w:val="Compact"/>
            </w:pPr>
            <w:r>
              <w:t xml:space="preserve">S$34.6 million (95% UI: S$31.7 million–S$37.6 million)</w:t>
            </w:r>
          </w:p>
        </w:tc>
        <w:tc>
          <w:tcPr/>
          <w:p>
            <w:pPr>
              <w:pStyle w:val="Compact"/>
            </w:pPr>
            <w:r>
              <w:t xml:space="preserve">S$19.3 million (95% UI: S$17.9 million–S$20.8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5,740 (95% UI: 5,408–6,079)</w:t>
            </w:r>
          </w:p>
        </w:tc>
        <w:tc>
          <w:tcPr/>
          <w:p>
            <w:pPr>
              <w:pStyle w:val="Compact"/>
            </w:pPr>
            <w:r>
              <w:t xml:space="preserve">990 (95% UI: 911–1,074)</w:t>
            </w:r>
          </w:p>
        </w:tc>
        <w:tc>
          <w:tcPr/>
          <w:p>
            <w:pPr>
              <w:pStyle w:val="Compact"/>
            </w:pPr>
            <w:r>
              <w:t xml:space="preserve">209 (95% UI: 173–251)</w:t>
            </w:r>
          </w:p>
        </w:tc>
        <w:tc>
          <w:tcPr/>
          <w:p>
            <w:pPr>
              <w:pStyle w:val="Compact"/>
            </w:pPr>
            <w:r>
              <w:t xml:space="preserve">S$49.4 million (95% UI: S$45.3 million–S$53.6 million)</w:t>
            </w:r>
          </w:p>
        </w:tc>
        <w:tc>
          <w:tcPr/>
          <w:p>
            <w:pPr>
              <w:pStyle w:val="Compact"/>
            </w:pPr>
            <w:r>
              <w:t xml:space="preserve">S$34.1 million (95% UI: S$31.3 million–S$37.2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9,171 (95% UI: 8,642–9,714)</w:t>
            </w:r>
          </w:p>
        </w:tc>
        <w:tc>
          <w:tcPr/>
          <w:p>
            <w:pPr>
              <w:pStyle w:val="Compact"/>
            </w:pPr>
            <w:r>
              <w:t xml:space="preserve">1,151 (95% UI: 1,045–1,266)</w:t>
            </w:r>
          </w:p>
        </w:tc>
        <w:tc>
          <w:tcPr/>
          <w:p>
            <w:pPr>
              <w:pStyle w:val="Compact"/>
            </w:pPr>
            <w:r>
              <w:t xml:space="preserve">162 (95% UI: 134–196)</w:t>
            </w:r>
          </w:p>
        </w:tc>
        <w:tc>
          <w:tcPr/>
          <w:p>
            <w:pPr>
              <w:pStyle w:val="Compact"/>
            </w:pPr>
            <w:r>
              <w:t xml:space="preserve">S$55.8 million (95% UI: S$50.9 million–S$61.0 million)</w:t>
            </w:r>
          </w:p>
        </w:tc>
        <w:tc>
          <w:tcPr/>
          <w:p>
            <w:pPr>
              <w:pStyle w:val="Compact"/>
            </w:pPr>
            <w:r>
              <w:t xml:space="preserve">S$40.5 million (95% UI: S$36.8 million–S$44.6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756 (95% UI: 716–798)</w:t>
            </w:r>
          </w:p>
        </w:tc>
        <w:tc>
          <w:tcPr/>
          <w:p>
            <w:pPr>
              <w:pStyle w:val="Compact"/>
            </w:pPr>
            <w:r>
              <w:t xml:space="preserve">178 (95% UI: 166–190)</w:t>
            </w:r>
          </w:p>
        </w:tc>
        <w:tc>
          <w:tcPr/>
          <w:p>
            <w:pPr>
              <w:pStyle w:val="Compact"/>
            </w:pPr>
            <w:r>
              <w:t xml:space="preserve">330 (95% UI: 280–390)</w:t>
            </w:r>
          </w:p>
        </w:tc>
        <w:tc>
          <w:tcPr/>
          <w:p>
            <w:pPr>
              <w:pStyle w:val="Compact"/>
            </w:pPr>
            <w:r>
              <w:t xml:space="preserve">S$20.1 million (95% UI: S$17.8 million–S$22.7 million)</w:t>
            </w:r>
          </w:p>
        </w:tc>
        <w:tc>
          <w:tcPr/>
          <w:p>
            <w:pPr>
              <w:pStyle w:val="Compact"/>
            </w:pPr>
            <w:r>
              <w:t xml:space="preserve">S$4.8 million (95% UI: S$4.5 million–S$5.2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1,257 (95% UI: 1,189–1,325)</w:t>
            </w:r>
          </w:p>
        </w:tc>
        <w:tc>
          <w:tcPr/>
          <w:p>
            <w:pPr>
              <w:pStyle w:val="Compact"/>
            </w:pPr>
            <w:r>
              <w:t xml:space="preserve">280 (95% UI: 261–300)</w:t>
            </w:r>
          </w:p>
        </w:tc>
        <w:tc>
          <w:tcPr/>
          <w:p>
            <w:pPr>
              <w:pStyle w:val="Compact"/>
            </w:pPr>
            <w:r>
              <w:t xml:space="preserve">297 (95% UI: 251–351)</w:t>
            </w:r>
          </w:p>
        </w:tc>
        <w:tc>
          <w:tcPr/>
          <w:p>
            <w:pPr>
              <w:pStyle w:val="Compact"/>
            </w:pPr>
            <w:r>
              <w:t xml:space="preserve">S$22.9 million (95% UI: S$20.6 million–S$25.6 million)</w:t>
            </w:r>
          </w:p>
        </w:tc>
        <w:tc>
          <w:tcPr/>
          <w:p>
            <w:pPr>
              <w:pStyle w:val="Compact"/>
            </w:pPr>
            <w:r>
              <w:t xml:space="preserve">S$7.7 million (95% UI: S$7.1 million–S$8.2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2,499 (95% UI: 2,364–2,635)</w:t>
            </w:r>
          </w:p>
        </w:tc>
        <w:tc>
          <w:tcPr/>
          <w:p>
            <w:pPr>
              <w:pStyle w:val="Compact"/>
            </w:pPr>
            <w:r>
              <w:t xml:space="preserve">490 (95% UI: 457–524)</w:t>
            </w:r>
          </w:p>
        </w:tc>
        <w:tc>
          <w:tcPr/>
          <w:p>
            <w:pPr>
              <w:pStyle w:val="Compact"/>
            </w:pPr>
            <w:r>
              <w:t xml:space="preserve">232 (95% UI: 194–278)</w:t>
            </w:r>
          </w:p>
        </w:tc>
        <w:tc>
          <w:tcPr/>
          <w:p>
            <w:pPr>
              <w:pStyle w:val="Compact"/>
            </w:pPr>
            <w:r>
              <w:t xml:space="preserve">S$29.1 million (95% UI: S$26.6 million–S$31.9 million)</w:t>
            </w:r>
          </w:p>
        </w:tc>
        <w:tc>
          <w:tcPr/>
          <w:p>
            <w:pPr>
              <w:pStyle w:val="Compact"/>
            </w:pPr>
            <w:r>
              <w:t xml:space="preserve">S$13.8 million (95% UI: S$12.8 million–S$14.9 million)</w:t>
            </w:r>
          </w:p>
        </w:tc>
      </w:tr>
      <w:tr>
        <w:tc>
          <w:tcPr/>
          <w:p>
            <w:pPr>
              <w:pStyle w:val="Compact"/>
            </w:pPr>
            <w:r>
              <w:t xml:space="preserve">J + 5,000/year, F 50%</w:t>
            </w:r>
          </w:p>
        </w:tc>
        <w:tc>
          <w:tcPr/>
          <w:p>
            <w:pPr>
              <w:pStyle w:val="Compact"/>
            </w:pPr>
            <w:r>
              <w:t xml:space="preserve">24,086 (95% UI: 23,154–25,000)</w:t>
            </w:r>
          </w:p>
        </w:tc>
        <w:tc>
          <w:tcPr/>
          <w:p>
            <w:pPr>
              <w:pStyle w:val="Compact"/>
            </w:pPr>
            <w:r>
              <w:t xml:space="preserve">5,934 (95% UI: 5,527–6,333)</w:t>
            </w:r>
          </w:p>
        </w:tc>
        <w:tc>
          <w:tcPr/>
          <w:p>
            <w:pPr>
              <w:pStyle w:val="Compact"/>
            </w:pPr>
            <w:r>
              <w:t xml:space="preserve">868 (95% UI: 801–938)</w:t>
            </w:r>
          </w:p>
        </w:tc>
        <w:tc>
          <w:tcPr/>
          <w:p>
            <w:pPr>
              <w:pStyle w:val="Compact"/>
            </w:pPr>
            <w:r>
              <w:t xml:space="preserve">151 (95% UI: 127–181)</w:t>
            </w:r>
          </w:p>
        </w:tc>
        <w:tc>
          <w:tcPr/>
          <w:p>
            <w:pPr>
              <w:pStyle w:val="Compact"/>
            </w:pPr>
            <w:r>
              <w:t xml:space="preserve">S$42.3 million (95% UI: S$38.9 million–S$45.7 million)</w:t>
            </w:r>
          </w:p>
        </w:tc>
        <w:tc>
          <w:tcPr/>
          <w:p>
            <w:pPr>
              <w:pStyle w:val="Compact"/>
            </w:pPr>
            <w:r>
              <w:t xml:space="preserve">S$27.0 million (95% UI: S$24.9 million–S$29.3 million)</w:t>
            </w:r>
          </w:p>
        </w:tc>
      </w:tr>
      <w:tr>
        <w:tc>
          <w:tcPr/>
          <w:p>
            <w:pPr>
              <w:pStyle w:val="Compact"/>
            </w:pPr>
            <w:r>
              <w:t xml:space="preserve">J + 8,000/year, F 50%</w:t>
            </w:r>
          </w:p>
        </w:tc>
        <w:tc>
          <w:tcPr/>
          <w:p>
            <w:pPr>
              <w:pStyle w:val="Compact"/>
            </w:pPr>
            <w:r>
              <w:t xml:space="preserve">31,586 (95% UI: 30,654–32,570)</w:t>
            </w:r>
          </w:p>
        </w:tc>
        <w:tc>
          <w:tcPr/>
          <w:p>
            <w:pPr>
              <w:pStyle w:val="Compact"/>
            </w:pPr>
            <w:r>
              <w:t xml:space="preserve">7,509 (95% UI: 7,030–7,998)</w:t>
            </w:r>
          </w:p>
        </w:tc>
        <w:tc>
          <w:tcPr/>
          <w:p>
            <w:pPr>
              <w:pStyle w:val="Compact"/>
            </w:pPr>
            <w:r>
              <w:t xml:space="preserve">1,046 (95% UI: 958–1,141)</w:t>
            </w:r>
          </w:p>
        </w:tc>
        <w:tc>
          <w:tcPr/>
          <w:p>
            <w:pPr>
              <w:pStyle w:val="Compact"/>
            </w:pPr>
            <w:r>
              <w:t xml:space="preserve">151 (95% UI: 127–181)</w:t>
            </w:r>
          </w:p>
        </w:tc>
        <w:tc>
          <w:tcPr/>
          <w:p>
            <w:pPr>
              <w:pStyle w:val="Compact"/>
            </w:pPr>
            <w:r>
              <w:t xml:space="preserve">S$50.1 million (95% UI: S$46.1 million–S$54.4 million)</w:t>
            </w:r>
          </w:p>
        </w:tc>
        <w:tc>
          <w:tcPr/>
          <w:p>
            <w:pPr>
              <w:pStyle w:val="Compact"/>
            </w:pPr>
            <w:r>
              <w:t xml:space="preserve">S$34.9 million (95% UI: S$32.0 million–S$38.1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820 (95% UI: 776–864)</w:t>
            </w:r>
          </w:p>
        </w:tc>
        <w:tc>
          <w:tcPr/>
          <w:p>
            <w:pPr>
              <w:pStyle w:val="Compact"/>
            </w:pPr>
            <w:r>
              <w:t xml:space="preserve">145 (95% UI: 134–157)</w:t>
            </w:r>
          </w:p>
        </w:tc>
        <w:tc>
          <w:tcPr/>
          <w:p>
            <w:pPr>
              <w:pStyle w:val="Compact"/>
            </w:pPr>
            <w:r>
              <w:t xml:space="preserve">305 (95% UI: 258–361)</w:t>
            </w:r>
          </w:p>
        </w:tc>
        <w:tc>
          <w:tcPr/>
          <w:p>
            <w:pPr>
              <w:pStyle w:val="Compact"/>
            </w:pPr>
            <w:r>
              <w:t xml:space="preserve">S$17.8 million (95% UI: S$15.7 million–S$20.5 million)</w:t>
            </w:r>
          </w:p>
        </w:tc>
        <w:tc>
          <w:tcPr/>
          <w:p>
            <w:pPr>
              <w:pStyle w:val="Compact"/>
            </w:pPr>
            <w:r>
              <w:t xml:space="preserve">S$2.6 million (95% UI: S$2.4 million–S$2.8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1,359 (95% UI: 1,286–1,432)</w:t>
            </w:r>
          </w:p>
        </w:tc>
        <w:tc>
          <w:tcPr/>
          <w:p>
            <w:pPr>
              <w:pStyle w:val="Compact"/>
            </w:pPr>
            <w:r>
              <w:t xml:space="preserve">220 (95% UI: 203–238)</w:t>
            </w:r>
          </w:p>
        </w:tc>
        <w:tc>
          <w:tcPr/>
          <w:p>
            <w:pPr>
              <w:pStyle w:val="Compact"/>
            </w:pPr>
            <w:r>
              <w:t xml:space="preserve">262 (95% UI: 219–312)</w:t>
            </w:r>
          </w:p>
        </w:tc>
        <w:tc>
          <w:tcPr/>
          <w:p>
            <w:pPr>
              <w:pStyle w:val="Compact"/>
            </w:pPr>
            <w:r>
              <w:t xml:space="preserve">S$19.3 million (95% UI: S$17.1 million–S$22.0 million)</w:t>
            </w:r>
          </w:p>
        </w:tc>
        <w:tc>
          <w:tcPr/>
          <w:p>
            <w:pPr>
              <w:pStyle w:val="Compact"/>
            </w:pPr>
            <w:r>
              <w:t xml:space="preserve">S$4.1 million (95% UI: S$3.8 million–S$4.4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2,688 (95% UI: 2,545–2,832)</w:t>
            </w:r>
          </w:p>
        </w:tc>
        <w:tc>
          <w:tcPr/>
          <w:p>
            <w:pPr>
              <w:pStyle w:val="Compact"/>
            </w:pPr>
            <w:r>
              <w:t xml:space="preserve">361 (95% UI: 334–389)</w:t>
            </w:r>
          </w:p>
        </w:tc>
        <w:tc>
          <w:tcPr/>
          <w:p>
            <w:pPr>
              <w:pStyle w:val="Compact"/>
            </w:pPr>
            <w:r>
              <w:t xml:space="preserve">190 (95% UI: 157–229)</w:t>
            </w:r>
          </w:p>
        </w:tc>
        <w:tc>
          <w:tcPr/>
          <w:p>
            <w:pPr>
              <w:pStyle w:val="Compact"/>
            </w:pPr>
            <w:r>
              <w:t xml:space="preserve">S$22.6 million (95% UI: S$20.3 million–S$25.1 million)</w:t>
            </w:r>
          </w:p>
        </w:tc>
        <w:tc>
          <w:tcPr/>
          <w:p>
            <w:pPr>
              <w:pStyle w:val="Compact"/>
            </w:pPr>
            <w:r>
              <w:t xml:space="preserve">S$7.3 million (95% UI: S$6.7 million–S$7.9 million)</w:t>
            </w:r>
          </w:p>
        </w:tc>
      </w:tr>
      <w:tr>
        <w:tc>
          <w:tcPr/>
          <w:p>
            <w:pPr>
              <w:pStyle w:val="Compact"/>
            </w:pPr>
            <w:r>
              <w:t xml:space="preserve">J + 5,000/year, F 75%</w:t>
            </w:r>
          </w:p>
        </w:tc>
        <w:tc>
          <w:tcPr/>
          <w:p>
            <w:pPr>
              <w:pStyle w:val="Compact"/>
            </w:pPr>
            <w:r>
              <w:t xml:space="preserve">17,836 (95% UI: 16,904–18,820)</w:t>
            </w:r>
          </w:p>
        </w:tc>
        <w:tc>
          <w:tcPr/>
          <w:p>
            <w:pPr>
              <w:pStyle w:val="Compact"/>
            </w:pPr>
            <w:r>
              <w:t xml:space="preserve">4,626 (95% UI: 4,269–4,996)</w:t>
            </w:r>
          </w:p>
        </w:tc>
        <w:tc>
          <w:tcPr/>
          <w:p>
            <w:pPr>
              <w:pStyle w:val="Compact"/>
            </w:pPr>
            <w:r>
              <w:t xml:space="preserve">609 (95% UI: 564–654)</w:t>
            </w:r>
          </w:p>
        </w:tc>
        <w:tc>
          <w:tcPr/>
          <w:p>
            <w:pPr>
              <w:pStyle w:val="Compact"/>
            </w:pPr>
            <w:r>
              <w:t xml:space="preserve">151 (95% UI: 127–181)</w:t>
            </w:r>
          </w:p>
        </w:tc>
        <w:tc>
          <w:tcPr/>
          <w:p>
            <w:pPr>
              <w:pStyle w:val="Compact"/>
            </w:pPr>
            <w:r>
              <w:t xml:space="preserve">S$31.6 million (95% UI: S$29.0 million–S$34.2 million)</w:t>
            </w:r>
          </w:p>
        </w:tc>
        <w:tc>
          <w:tcPr/>
          <w:p>
            <w:pPr>
              <w:pStyle w:val="Compact"/>
            </w:pPr>
            <w:r>
              <w:t xml:space="preserve">S$16.3 million (95% UI: S$15.0 million–S$17.5 million)</w:t>
            </w:r>
          </w:p>
        </w:tc>
      </w:tr>
      <w:tr>
        <w:tc>
          <w:tcPr/>
          <w:p>
            <w:pPr>
              <w:pStyle w:val="Compact"/>
            </w:pPr>
            <w:r>
              <w:t xml:space="preserve">J + 8,000/year, F 75%</w:t>
            </w:r>
          </w:p>
        </w:tc>
        <w:tc>
          <w:tcPr/>
          <w:p>
            <w:pPr>
              <w:pStyle w:val="Compact"/>
            </w:pPr>
            <w:r>
              <w:t xml:space="preserve">21,586 (95% UI: 20,654–22,570)</w:t>
            </w:r>
          </w:p>
        </w:tc>
        <w:tc>
          <w:tcPr/>
          <w:p>
            <w:pPr>
              <w:pStyle w:val="Compact"/>
            </w:pPr>
            <w:r>
              <w:t xml:space="preserve">5,412 (95% UI: 5,027–5,805)</w:t>
            </w:r>
          </w:p>
        </w:tc>
        <w:tc>
          <w:tcPr/>
          <w:p>
            <w:pPr>
              <w:pStyle w:val="Compact"/>
            </w:pPr>
            <w:r>
              <w:t xml:space="preserve">779 (95% UI: 721–840)</w:t>
            </w:r>
          </w:p>
        </w:tc>
        <w:tc>
          <w:tcPr/>
          <w:p>
            <w:pPr>
              <w:pStyle w:val="Compact"/>
            </w:pPr>
            <w:r>
              <w:t xml:space="preserve">151 (95% UI: 127–181)</w:t>
            </w:r>
          </w:p>
        </w:tc>
        <w:tc>
          <w:tcPr/>
          <w:p>
            <w:pPr>
              <w:pStyle w:val="Compact"/>
            </w:pPr>
            <w:r>
              <w:t xml:space="preserve">S$38.5 million (95% UI: S$35.5 million–S$41.7 million)</w:t>
            </w:r>
          </w:p>
        </w:tc>
        <w:tc>
          <w:tcPr/>
          <w:p>
            <w:pPr>
              <w:pStyle w:val="Compact"/>
            </w:pPr>
            <w:r>
              <w:t xml:space="preserve">S$23.2 million (95% UI: S$21.5 million–S$25.2 million)</w:t>
            </w:r>
          </w:p>
        </w:tc>
      </w:tr>
      <w:tr>
        <w:tc>
          <w:tcPr/>
          <w:p>
            <w:pPr>
              <w:pStyle w:val="Compact"/>
            </w:pPr>
            <w:r>
              <w:t xml:space="preserve">J + no screening cap</w:t>
            </w:r>
          </w:p>
        </w:tc>
        <w:tc>
          <w:tcPr/>
          <w:p>
            <w:pPr>
              <w:pStyle w:val="Compact"/>
            </w:pPr>
            <w:r>
              <w:t xml:space="preserve">62,760 (95% UI: 57,003–69,061)</w:t>
            </w:r>
          </w:p>
        </w:tc>
        <w:tc>
          <w:tcPr/>
          <w:p>
            <w:pPr>
              <w:pStyle w:val="Compact"/>
            </w:pPr>
            <w:r>
              <w:t xml:space="preserve">14,090 (95% UI: 12,667–15,613)</w:t>
            </w:r>
          </w:p>
        </w:tc>
        <w:tc>
          <w:tcPr/>
          <w:p>
            <w:pPr>
              <w:pStyle w:val="Compact"/>
            </w:pPr>
            <w:r>
              <w:t xml:space="preserve">1,229 (95% UI: 1,097–1,375)</w:t>
            </w:r>
          </w:p>
        </w:tc>
        <w:tc>
          <w:tcPr/>
          <w:p>
            <w:pPr>
              <w:pStyle w:val="Compact"/>
            </w:pPr>
            <w:r>
              <w:t xml:space="preserve">151 (95% UI: 127–181)</w:t>
            </w:r>
          </w:p>
        </w:tc>
        <w:tc>
          <w:tcPr/>
          <w:p>
            <w:pPr>
              <w:pStyle w:val="Compact"/>
            </w:pPr>
            <w:r>
              <w:t xml:space="preserve">S$61.1 million (95% UI: S$54.9 million–S$67.8 million)</w:t>
            </w:r>
          </w:p>
        </w:tc>
        <w:tc>
          <w:tcPr/>
          <w:p>
            <w:pPr>
              <w:pStyle w:val="Compact"/>
            </w:pPr>
            <w:r>
              <w:t xml:space="preserve">S$45.8 million (95% UI: S$40.6 million–S$51.7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2098040"/>
            <wp:effectExtent b="0" l="0" r="0" t="0"/>
            <wp:docPr descr="Fig S6. Cost composition of the prison only scenario and the scenarios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2098040"/>
                    </a:xfrm>
                    <a:prstGeom prst="rect">
                      <a:avLst/>
                    </a:prstGeom>
                    <a:noFill/>
                    <a:ln w="9525">
                      <a:noFill/>
                      <a:headEnd/>
                      <a:tailEnd/>
                    </a:ln>
                  </pic:spPr>
                </pic:pic>
              </a:graphicData>
            </a:graphic>
          </wp:inline>
        </w:drawing>
      </w:r>
    </w:p>
    <w:p>
      <w:pPr>
        <w:pStyle w:val="ImageCaption"/>
      </w:pPr>
      <w:r>
        <w:t xml:space="preserve">Fig S6. Cost composition of the prison only scenario and the scenarios that met both targets.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S$7.6 (95% UI: S$6.5–S$8.9)</w:t>
            </w:r>
          </w:p>
        </w:tc>
        <w:tc>
          <w:tcPr/>
          <w:p>
            <w:pPr>
              <w:pStyle w:val="Compact"/>
            </w:pPr>
            <w:r>
              <w:t xml:space="preserve">S$15.2 (95% UI: S$13.1–S$17.9)</w:t>
            </w:r>
          </w:p>
        </w:tc>
        <w:tc>
          <w:tcPr/>
          <w:p>
            <w:pPr>
              <w:pStyle w:val="Compact"/>
            </w:pPr>
            <w:r>
              <w:t xml:space="preserve">S$22.8 (95% UI: S$19.6–S$26.8)</w:t>
            </w:r>
          </w:p>
        </w:tc>
      </w:tr>
      <w:tr>
        <w:tc>
          <w:tcPr/>
          <w:p>
            <w:pPr>
              <w:pStyle w:val="Compact"/>
            </w:pPr>
            <w:r>
              <w:t xml:space="preserve">J + 600/year, F 25%</w:t>
            </w:r>
          </w:p>
        </w:tc>
        <w:tc>
          <w:tcPr/>
          <w:p>
            <w:pPr>
              <w:pStyle w:val="Compact"/>
            </w:pPr>
            <w:r>
              <w:t xml:space="preserve">S$11.1 (95% UI: S$9.9–S$12.4)</w:t>
            </w:r>
          </w:p>
        </w:tc>
        <w:tc>
          <w:tcPr/>
          <w:p>
            <w:pPr>
              <w:pStyle w:val="Compact"/>
            </w:pPr>
            <w:r>
              <w:t xml:space="preserve">S$22.1 (95% UI: S$19.8–S$24.9)</w:t>
            </w:r>
          </w:p>
        </w:tc>
        <w:tc>
          <w:tcPr/>
          <w:p>
            <w:pPr>
              <w:pStyle w:val="Compact"/>
            </w:pPr>
            <w:r>
              <w:t xml:space="preserve">S$33.2 (95% UI: S$29.7–S$37.3)</w:t>
            </w:r>
          </w:p>
        </w:tc>
      </w:tr>
      <w:tr>
        <w:tc>
          <w:tcPr/>
          <w:p>
            <w:pPr>
              <w:pStyle w:val="Compact"/>
            </w:pPr>
            <w:r>
              <w:t xml:space="preserve">J + 1,000/year, F 25%</w:t>
            </w:r>
          </w:p>
        </w:tc>
        <w:tc>
          <w:tcPr/>
          <w:p>
            <w:pPr>
              <w:pStyle w:val="Compact"/>
            </w:pPr>
            <w:r>
              <w:t xml:space="preserve">S$13.1 (95% UI: S$11.8–S$14.5)</w:t>
            </w:r>
          </w:p>
        </w:tc>
        <w:tc>
          <w:tcPr/>
          <w:p>
            <w:pPr>
              <w:pStyle w:val="Compact"/>
            </w:pPr>
            <w:r>
              <w:t xml:space="preserve">S$26.2 (95% UI: S$23.7–S$28.9)</w:t>
            </w:r>
          </w:p>
        </w:tc>
        <w:tc>
          <w:tcPr/>
          <w:p>
            <w:pPr>
              <w:pStyle w:val="Compact"/>
            </w:pPr>
            <w:r>
              <w:t xml:space="preserve">S$39.3 (95% UI: S$35.5–S$43.4)</w:t>
            </w:r>
          </w:p>
        </w:tc>
      </w:tr>
      <w:tr>
        <w:tc>
          <w:tcPr/>
          <w:p>
            <w:pPr>
              <w:pStyle w:val="Compact"/>
            </w:pPr>
            <w:r>
              <w:t xml:space="preserve">J + 2,000/year, F 25%</w:t>
            </w:r>
          </w:p>
        </w:tc>
        <w:tc>
          <w:tcPr/>
          <w:p>
            <w:pPr>
              <w:pStyle w:val="Compact"/>
            </w:pPr>
            <w:r>
              <w:t xml:space="preserve">S$17.3 (95% UI: S$15.8–S$18.8)</w:t>
            </w:r>
          </w:p>
        </w:tc>
        <w:tc>
          <w:tcPr/>
          <w:p>
            <w:pPr>
              <w:pStyle w:val="Compact"/>
            </w:pPr>
            <w:r>
              <w:t xml:space="preserve">S$34.6 (95% UI: S$31.7–S$37.6)</w:t>
            </w:r>
          </w:p>
        </w:tc>
        <w:tc>
          <w:tcPr/>
          <w:p>
            <w:pPr>
              <w:pStyle w:val="Compact"/>
            </w:pPr>
            <w:r>
              <w:t xml:space="preserve">S$51.9 (95% UI: S$47.5–S$56.4)</w:t>
            </w:r>
          </w:p>
        </w:tc>
      </w:tr>
      <w:tr>
        <w:tc>
          <w:tcPr/>
          <w:p>
            <w:pPr>
              <w:pStyle w:val="Compact"/>
            </w:pPr>
            <w:r>
              <w:t xml:space="preserve">J + 5,000/year, F 25%</w:t>
            </w:r>
          </w:p>
        </w:tc>
        <w:tc>
          <w:tcPr/>
          <w:p>
            <w:pPr>
              <w:pStyle w:val="Compact"/>
            </w:pPr>
            <w:r>
              <w:t xml:space="preserve">S$24.7 (95% UI: S$22.7–S$26.8)</w:t>
            </w:r>
          </w:p>
        </w:tc>
        <w:tc>
          <w:tcPr/>
          <w:p>
            <w:pPr>
              <w:pStyle w:val="Compact"/>
            </w:pPr>
            <w:r>
              <w:t xml:space="preserve">S$49.4 (95% UI: S$45.3–S$53.6)</w:t>
            </w:r>
          </w:p>
        </w:tc>
        <w:tc>
          <w:tcPr/>
          <w:p>
            <w:pPr>
              <w:pStyle w:val="Compact"/>
            </w:pPr>
            <w:r>
              <w:t xml:space="preserve">S$74.0 (95% UI: S$68.0–S$80.4)</w:t>
            </w:r>
          </w:p>
        </w:tc>
      </w:tr>
      <w:tr>
        <w:tc>
          <w:tcPr/>
          <w:p>
            <w:pPr>
              <w:pStyle w:val="Compact"/>
            </w:pPr>
            <w:r>
              <w:t xml:space="preserve">J + 8,000/year, F 25%</w:t>
            </w:r>
          </w:p>
        </w:tc>
        <w:tc>
          <w:tcPr/>
          <w:p>
            <w:pPr>
              <w:pStyle w:val="Compact"/>
            </w:pPr>
            <w:r>
              <w:t xml:space="preserve">S$27.9 (95% UI: S$25.4–S$30.5)</w:t>
            </w:r>
          </w:p>
        </w:tc>
        <w:tc>
          <w:tcPr/>
          <w:p>
            <w:pPr>
              <w:pStyle w:val="Compact"/>
            </w:pPr>
            <w:r>
              <w:t xml:space="preserve">S$55.8 (95% UI: S$50.9–S$61.0)</w:t>
            </w:r>
          </w:p>
        </w:tc>
        <w:tc>
          <w:tcPr/>
          <w:p>
            <w:pPr>
              <w:pStyle w:val="Compact"/>
            </w:pPr>
            <w:r>
              <w:t xml:space="preserve">S$83.7 (95% UI: S$76.3–S$91.5)</w:t>
            </w:r>
          </w:p>
        </w:tc>
      </w:tr>
      <w:tr>
        <w:tc>
          <w:tcPr/>
          <w:p>
            <w:pPr>
              <w:pStyle w:val="Compact"/>
            </w:pPr>
            <w:r>
              <w:t xml:space="preserve">J + 600/year, F 50%</w:t>
            </w:r>
          </w:p>
        </w:tc>
        <w:tc>
          <w:tcPr/>
          <w:p>
            <w:pPr>
              <w:pStyle w:val="Compact"/>
            </w:pPr>
            <w:r>
              <w:t xml:space="preserve">S$10.0 (95% UI: S$8.9–S$11.4)</w:t>
            </w:r>
          </w:p>
        </w:tc>
        <w:tc>
          <w:tcPr/>
          <w:p>
            <w:pPr>
              <w:pStyle w:val="Compact"/>
            </w:pPr>
            <w:r>
              <w:t xml:space="preserve">S$20.1 (95% UI: S$17.8–S$22.7)</w:t>
            </w:r>
          </w:p>
        </w:tc>
        <w:tc>
          <w:tcPr/>
          <w:p>
            <w:pPr>
              <w:pStyle w:val="Compact"/>
            </w:pPr>
            <w:r>
              <w:t xml:space="preserve">S$30.1 (95% UI: S$26.7–S$34.1)</w:t>
            </w:r>
          </w:p>
        </w:tc>
      </w:tr>
      <w:tr>
        <w:tc>
          <w:tcPr/>
          <w:p>
            <w:pPr>
              <w:pStyle w:val="Compact"/>
            </w:pPr>
            <w:r>
              <w:t xml:space="preserve">J + 1,000/year, F 50%</w:t>
            </w:r>
          </w:p>
        </w:tc>
        <w:tc>
          <w:tcPr/>
          <w:p>
            <w:pPr>
              <w:pStyle w:val="Compact"/>
            </w:pPr>
            <w:r>
              <w:t xml:space="preserve">S$11.5 (95% UI: S$10.3–S$12.8)</w:t>
            </w:r>
          </w:p>
        </w:tc>
        <w:tc>
          <w:tcPr/>
          <w:p>
            <w:pPr>
              <w:pStyle w:val="Compact"/>
            </w:pPr>
            <w:r>
              <w:t xml:space="preserve">S$22.9 (95% UI: S$20.6–S$25.6)</w:t>
            </w:r>
          </w:p>
        </w:tc>
        <w:tc>
          <w:tcPr/>
          <w:p>
            <w:pPr>
              <w:pStyle w:val="Compact"/>
            </w:pPr>
            <w:r>
              <w:t xml:space="preserve">S$34.4 (95% UI: S$30.9–S$38.4)</w:t>
            </w:r>
          </w:p>
        </w:tc>
      </w:tr>
      <w:tr>
        <w:tc>
          <w:tcPr/>
          <w:p>
            <w:pPr>
              <w:pStyle w:val="Compact"/>
            </w:pPr>
            <w:r>
              <w:t xml:space="preserve">J + 2,000/year, F 50%</w:t>
            </w:r>
          </w:p>
        </w:tc>
        <w:tc>
          <w:tcPr/>
          <w:p>
            <w:pPr>
              <w:pStyle w:val="Compact"/>
            </w:pPr>
            <w:r>
              <w:t xml:space="preserve">S$14.6 (95% UI: S$13.3–S$15.9)</w:t>
            </w:r>
          </w:p>
        </w:tc>
        <w:tc>
          <w:tcPr/>
          <w:p>
            <w:pPr>
              <w:pStyle w:val="Compact"/>
            </w:pPr>
            <w:r>
              <w:t xml:space="preserve">S$29.1 (95% UI: S$26.6–S$31.9)</w:t>
            </w:r>
          </w:p>
        </w:tc>
        <w:tc>
          <w:tcPr/>
          <w:p>
            <w:pPr>
              <w:pStyle w:val="Compact"/>
            </w:pPr>
            <w:r>
              <w:t xml:space="preserve">S$43.7 (95% UI: S$39.8–S$47.8)</w:t>
            </w:r>
          </w:p>
        </w:tc>
      </w:tr>
      <w:tr>
        <w:tc>
          <w:tcPr/>
          <w:p>
            <w:pPr>
              <w:pStyle w:val="Compact"/>
            </w:pPr>
            <w:r>
              <w:t xml:space="preserve">J + 5,000/year, F 50%</w:t>
            </w:r>
          </w:p>
        </w:tc>
        <w:tc>
          <w:tcPr/>
          <w:p>
            <w:pPr>
              <w:pStyle w:val="Compact"/>
            </w:pPr>
            <w:r>
              <w:t xml:space="preserve">S$21.1 (95% UI: S$19.5–S$22.8)</w:t>
            </w:r>
          </w:p>
        </w:tc>
        <w:tc>
          <w:tcPr/>
          <w:p>
            <w:pPr>
              <w:pStyle w:val="Compact"/>
            </w:pPr>
            <w:r>
              <w:t xml:space="preserve">S$42.3 (95% UI: S$38.9–S$45.7)</w:t>
            </w:r>
          </w:p>
        </w:tc>
        <w:tc>
          <w:tcPr/>
          <w:p>
            <w:pPr>
              <w:pStyle w:val="Compact"/>
            </w:pPr>
            <w:r>
              <w:t xml:space="preserve">S$63.4 (95% UI: S$58.4–S$68.5)</w:t>
            </w:r>
          </w:p>
        </w:tc>
      </w:tr>
      <w:tr>
        <w:tc>
          <w:tcPr/>
          <w:p>
            <w:pPr>
              <w:pStyle w:val="Compact"/>
            </w:pPr>
            <w:r>
              <w:t xml:space="preserve">J + 8,000/year, F 50%</w:t>
            </w:r>
          </w:p>
        </w:tc>
        <w:tc>
          <w:tcPr/>
          <w:p>
            <w:pPr>
              <w:pStyle w:val="Compact"/>
            </w:pPr>
            <w:r>
              <w:t xml:space="preserve">S$25.1 (95% UI: S$23.0–S$27.2)</w:t>
            </w:r>
          </w:p>
        </w:tc>
        <w:tc>
          <w:tcPr/>
          <w:p>
            <w:pPr>
              <w:pStyle w:val="Compact"/>
            </w:pPr>
            <w:r>
              <w:t xml:space="preserve">S$50.1 (95% UI: S$46.1–S$54.4)</w:t>
            </w:r>
          </w:p>
        </w:tc>
        <w:tc>
          <w:tcPr/>
          <w:p>
            <w:pPr>
              <w:pStyle w:val="Compact"/>
            </w:pPr>
            <w:r>
              <w:t xml:space="preserve">S$75.2 (95% UI: S$69.1–S$81.6)</w:t>
            </w:r>
          </w:p>
        </w:tc>
      </w:tr>
      <w:tr>
        <w:tc>
          <w:tcPr/>
          <w:p>
            <w:pPr>
              <w:pStyle w:val="Compact"/>
            </w:pPr>
            <w:r>
              <w:t xml:space="preserve">J + 600/year, F 75%</w:t>
            </w:r>
          </w:p>
        </w:tc>
        <w:tc>
          <w:tcPr/>
          <w:p>
            <w:pPr>
              <w:pStyle w:val="Compact"/>
            </w:pPr>
            <w:r>
              <w:t xml:space="preserve">S$8.9 (95% UI: S$7.8–S$10.2)</w:t>
            </w:r>
          </w:p>
        </w:tc>
        <w:tc>
          <w:tcPr/>
          <w:p>
            <w:pPr>
              <w:pStyle w:val="Compact"/>
            </w:pPr>
            <w:r>
              <w:t xml:space="preserve">S$17.8 (95% UI: S$15.7–S$20.5)</w:t>
            </w:r>
          </w:p>
        </w:tc>
        <w:tc>
          <w:tcPr/>
          <w:p>
            <w:pPr>
              <w:pStyle w:val="Compact"/>
            </w:pPr>
            <w:r>
              <w:t xml:space="preserve">S$26.7 (95% UI: S$23.5–S$30.7)</w:t>
            </w:r>
          </w:p>
        </w:tc>
      </w:tr>
      <w:tr>
        <w:tc>
          <w:tcPr/>
          <w:p>
            <w:pPr>
              <w:pStyle w:val="Compact"/>
            </w:pPr>
            <w:r>
              <w:t xml:space="preserve">J + 1,000/year, F 75%</w:t>
            </w:r>
          </w:p>
        </w:tc>
        <w:tc>
          <w:tcPr/>
          <w:p>
            <w:pPr>
              <w:pStyle w:val="Compact"/>
            </w:pPr>
            <w:r>
              <w:t xml:space="preserve">S$9.7 (95% UI: S$8.6–S$11.0)</w:t>
            </w:r>
          </w:p>
        </w:tc>
        <w:tc>
          <w:tcPr/>
          <w:p>
            <w:pPr>
              <w:pStyle w:val="Compact"/>
            </w:pPr>
            <w:r>
              <w:t xml:space="preserve">S$19.3 (95% UI: S$17.1–S$22.0)</w:t>
            </w:r>
          </w:p>
        </w:tc>
        <w:tc>
          <w:tcPr/>
          <w:p>
            <w:pPr>
              <w:pStyle w:val="Compact"/>
            </w:pPr>
            <w:r>
              <w:t xml:space="preserve">S$29.0 (95% UI: S$25.7–S$32.9)</w:t>
            </w:r>
          </w:p>
        </w:tc>
      </w:tr>
      <w:tr>
        <w:tc>
          <w:tcPr/>
          <w:p>
            <w:pPr>
              <w:pStyle w:val="Compact"/>
            </w:pPr>
            <w:r>
              <w:t xml:space="preserve">J + 2,000/year, F 75%</w:t>
            </w:r>
          </w:p>
        </w:tc>
        <w:tc>
          <w:tcPr/>
          <w:p>
            <w:pPr>
              <w:pStyle w:val="Compact"/>
            </w:pPr>
            <w:r>
              <w:t xml:space="preserve">S$11.3 (95% UI: S$10.2–S$12.6)</w:t>
            </w:r>
          </w:p>
        </w:tc>
        <w:tc>
          <w:tcPr/>
          <w:p>
            <w:pPr>
              <w:pStyle w:val="Compact"/>
            </w:pPr>
            <w:r>
              <w:t xml:space="preserve">S$22.6 (95% UI: S$20.3–S$25.1)</w:t>
            </w:r>
          </w:p>
        </w:tc>
        <w:tc>
          <w:tcPr/>
          <w:p>
            <w:pPr>
              <w:pStyle w:val="Compact"/>
            </w:pPr>
            <w:r>
              <w:t xml:space="preserve">S$33.9 (95% UI: S$30.5–S$37.7)</w:t>
            </w:r>
          </w:p>
        </w:tc>
      </w:tr>
      <w:tr>
        <w:tc>
          <w:tcPr/>
          <w:p>
            <w:pPr>
              <w:pStyle w:val="Compact"/>
            </w:pPr>
            <w:r>
              <w:t xml:space="preserve">J + 5,000/year, F 75%</w:t>
            </w:r>
          </w:p>
        </w:tc>
        <w:tc>
          <w:tcPr/>
          <w:p>
            <w:pPr>
              <w:pStyle w:val="Compact"/>
            </w:pPr>
            <w:r>
              <w:t xml:space="preserve">S$15.8 (95% UI: S$14.5–S$17.1)</w:t>
            </w:r>
          </w:p>
        </w:tc>
        <w:tc>
          <w:tcPr/>
          <w:p>
            <w:pPr>
              <w:pStyle w:val="Compact"/>
            </w:pPr>
            <w:r>
              <w:t xml:space="preserve">S$31.6 (95% UI: S$29.0–S$34.2)</w:t>
            </w:r>
          </w:p>
        </w:tc>
        <w:tc>
          <w:tcPr/>
          <w:p>
            <w:pPr>
              <w:pStyle w:val="Compact"/>
            </w:pPr>
            <w:r>
              <w:t xml:space="preserve">S$47.3 (95% UI: S$43.4–S$51.4)</w:t>
            </w:r>
          </w:p>
        </w:tc>
      </w:tr>
      <w:tr>
        <w:tc>
          <w:tcPr/>
          <w:p>
            <w:pPr>
              <w:pStyle w:val="Compact"/>
            </w:pPr>
            <w:r>
              <w:t xml:space="preserve">J + 8,000/year, F 75%</w:t>
            </w:r>
          </w:p>
        </w:tc>
        <w:tc>
          <w:tcPr/>
          <w:p>
            <w:pPr>
              <w:pStyle w:val="Compact"/>
            </w:pPr>
            <w:r>
              <w:t xml:space="preserve">S$19.3 (95% UI: S$17.8–S$20.9)</w:t>
            </w:r>
          </w:p>
        </w:tc>
        <w:tc>
          <w:tcPr/>
          <w:p>
            <w:pPr>
              <w:pStyle w:val="Compact"/>
            </w:pPr>
            <w:r>
              <w:t xml:space="preserve">S$38.5 (95% UI: S$35.5–S$41.7)</w:t>
            </w:r>
          </w:p>
        </w:tc>
        <w:tc>
          <w:tcPr/>
          <w:p>
            <w:pPr>
              <w:pStyle w:val="Compact"/>
            </w:pPr>
            <w:r>
              <w:t xml:space="preserve">S$57.8 (95% UI: S$53.3–S$62.6)</w:t>
            </w:r>
          </w:p>
        </w:tc>
      </w:tr>
      <w:tr>
        <w:tc>
          <w:tcPr/>
          <w:p>
            <w:pPr>
              <w:pStyle w:val="Compact"/>
            </w:pPr>
            <w:r>
              <w:t xml:space="preserve">J + no screening cap</w:t>
            </w:r>
          </w:p>
        </w:tc>
        <w:tc>
          <w:tcPr/>
          <w:p>
            <w:pPr>
              <w:pStyle w:val="Compact"/>
            </w:pPr>
            <w:r>
              <w:t xml:space="preserve">S$30.5 (95% UI: S$27.4–S$33.9)</w:t>
            </w:r>
          </w:p>
        </w:tc>
        <w:tc>
          <w:tcPr/>
          <w:p>
            <w:pPr>
              <w:pStyle w:val="Compact"/>
            </w:pPr>
            <w:r>
              <w:t xml:space="preserve">S$61.1 (95% UI: S$54.9–S$67.8)</w:t>
            </w:r>
          </w:p>
        </w:tc>
        <w:tc>
          <w:tcPr/>
          <w:p>
            <w:pPr>
              <w:pStyle w:val="Compact"/>
            </w:pPr>
            <w:r>
              <w:t xml:space="preserve">S$91.6 (95% UI: S$82.3–S$101.7)</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4.7 hours on four processor cores. The scenario analysis of 2,000 draws took about 30 minutes on eight cores. The project test suite (89 checks)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106 (95% UI: 92–121)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Excess mortality.</w:t>
      </w:r>
      <w:r>
        <w:t xml:space="preserve"> </w:t>
      </w:r>
      <w:r>
        <w:t xml:space="preserve">The hazard ratio for non-liver deaths comes from a general population cohort in Taiwan, not from PWID</w:t>
      </w:r>
      <w:r>
        <w:t xml:space="preserve"> </w:t>
      </w:r>
      <w:r>
        <w:t xml:space="preserve">[13]</w:t>
      </w:r>
      <w:r>
        <w:t xml:space="preserve">. A cohort in Naples found 1.11 (0.82 to 1.49)</w:t>
      </w:r>
      <w:r>
        <w:t xml:space="preserve"> </w:t>
      </w:r>
      <w:r>
        <w:t xml:space="preserve">[34]</w:t>
      </w:r>
      <w:r>
        <w:t xml:space="preserve">. In a PWID cohort, all-cause mortality was lower with undetectable RNA (0.54), but the comparison group was self selected</w:t>
      </w:r>
      <w:r>
        <w:t xml:space="preserve"> </w:t>
      </w:r>
      <w:r>
        <w:t xml:space="preserve">[35]</w:t>
      </w:r>
      <w:r>
        <w:t xml:space="preserve">.</w:t>
      </w:r>
    </w:p>
    <w:p>
      <w:pPr>
        <w:pStyle w:val="Compact"/>
        <w:numPr>
          <w:ilvl w:val="0"/>
          <w:numId w:val="1003"/>
        </w:numPr>
      </w:pPr>
      <w:r>
        <w:rPr>
          <w:b/>
          <w:bCs/>
        </w:rPr>
        <w:t xml:space="preserve">First arrest rate.</w:t>
      </w:r>
      <w:r>
        <w:t xml:space="preserve"> </w:t>
      </w:r>
      <w:r>
        <w:t xml:space="preserve">The prison records cannot identify the first arrest rate of people who have never been imprisoned. We assumed that it equals the re-arrest rate. A lower first arrest rate would leave more people in D, who are never reached by prison treatment.</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The prior was centred on a deterministic fit to the same 12 observations. For θ6, θ9, θ10 and θ12 the posterior standard deviation was 83% to 99% of the prior standard deviation, so the 0.20 prior width partly sets their uncertainty.</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22" w:name="references"/>
    <w:p>
      <w:pPr>
        <w:pStyle w:val="Heading1"/>
      </w:pPr>
      <w:r>
        <w:t xml:space="preserve">References</w:t>
      </w:r>
    </w:p>
    <w:bookmarkStart w:id="121"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mathers2013"/>
    <w:p>
      <w:pPr>
        <w:pStyle w:val="Bibliography"/>
      </w:pPr>
      <w:r>
        <w:t xml:space="preserve">11.</w:t>
      </w:r>
      <w:r>
        <w:t xml:space="preserve"> </w:t>
      </w:r>
      <w:r>
        <w:t xml:space="preserve">	</w:t>
      </w:r>
      <w:r>
        <w:t xml:space="preserve">Mathers BM, Degenhardt L, Bucello C, Lemon J, Wiessing L, Hickman M.</w:t>
      </w:r>
      <w:r>
        <w:t xml:space="preserve"> </w:t>
      </w:r>
      <w:r>
        <w:t xml:space="preserve">Mortality among people who inject drugs: a systematic review and meta-analysis</w:t>
      </w:r>
      <w:r>
        <w:t xml:space="preserve">. Bulletin of the World Health Organization. 2013;91: 102–123. doi:</w:t>
      </w:r>
      <w:hyperlink r:id="rId75">
        <w:r>
          <w:rPr>
            <w:rStyle w:val="Hyperlink"/>
          </w:rPr>
          <w:t xml:space="preserve">10.2471/blt.12.108282</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Start w:id="118" w:name="ref-piselli2021"/>
    <w:p>
      <w:pPr>
        <w:pStyle w:val="Bibliography"/>
      </w:pPr>
      <w:r>
        <w:t xml:space="preserve">34.</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17">
        <w:r>
          <w:rPr>
            <w:rStyle w:val="Hyperlink"/>
          </w:rPr>
          <w:t xml:space="preserve">10.1186/s12879-021-06336-9</w:t>
        </w:r>
      </w:hyperlink>
    </w:p>
    <w:bookmarkEnd w:id="118"/>
    <w:bookmarkStart w:id="120" w:name="ref-cepeda2022"/>
    <w:p>
      <w:pPr>
        <w:pStyle w:val="Bibliography"/>
      </w:pPr>
      <w:r>
        <w:t xml:space="preserve">35.</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19">
        <w:r>
          <w:rPr>
            <w:rStyle w:val="Hyperlink"/>
          </w:rPr>
          <w:t xml:space="preserve">10.7326/M21-3846</w:t>
        </w:r>
      </w:hyperlink>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117" Target="https://doi.org/10.1186/s12879-021-06336-9"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75" Target="https://doi.org/10.2471/blt.12.108282"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19" Target="https://doi.org/10.7326/M21-3846"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2026-10-20T16:20:37Z</dcterms:created>
  <dcterms:modified xsi:type="dcterms:W3CDTF">2026-10-20T16:20:37Z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