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2015 prison data with Bayesian methods.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132.2% (95% UI: 121.6%–144.4%) of the 2015 level. With prison treatment alone, new infections fell by 81.1% (95% UI: 76.5%–84.3%) by 2030, meeting the incidence target in 71% of draws, but HCV deaths fell by only 50.5% (95% UI: 49.8%–51.3%). In 2026, 86% of chronic infections among released people were in X, and 93% of HCV deaths occurred in F and X. Every screening scenario met the incidence target. The mortality target was met at the median only at 5,000 tests a year with 25% or 50% to F and 8,000 tests a year with 25% or 50% to F, and these scenarios met both targets in at least 99.9% of draws. At 8,000 tests a year, the incidence reduction was 96.6% to 96.9% for every split, while the mortality reduction fell from 73.3% to 64.9% as the F share rose from 25% to 75%. The model covers only PWID and assumes ideal linkage to treatment.</w:t>
      </w:r>
    </w:p>
    <w:bookmarkEnd w:id="10"/>
    <w:bookmarkStart w:id="11" w:name="conclusions"/>
    <w:p>
      <w:pPr>
        <w:pStyle w:val="Heading2"/>
      </w:pPr>
      <w:r>
        <w:t xml:space="preserve">Conclusions</w:t>
      </w:r>
    </w:p>
    <w:p>
      <w:pPr>
        <w:pStyle w:val="FirstParagraph"/>
      </w:pPr>
      <w:r>
        <w:t xml:space="preserve">In this model, prison treatment alone cuts new HCV infections by about four fifths by 2030 but halves HCV deaths, short of the mortality target. Most remaining deaths occur among released people who no longer inject, so large scale community screening is needed to reach the mortality target. The F group is small, so screening beyond its size adds no benefit, and most community capacity should go to X. The result rests on the assumption that people who inject are first arrested as often as released people are re-arrested, so most reach prison within a few years.</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data and carried uncertainty in all model parameters through to the results.</w:t>
      </w:r>
    </w:p>
    <w:p>
      <w:pPr>
        <w:pStyle w:val="Compact"/>
        <w:numPr>
          <w:ilvl w:val="0"/>
          <w:numId w:val="1002"/>
        </w:numPr>
      </w:pPr>
      <w:r>
        <w:t xml:space="preserve">Prison treatment alone reduced new infections by 81% and hepatitis C deaths by 51% by 2030. It met the WHO target of 80% for infections but not the target of 65% for deaths.</w:t>
      </w:r>
    </w:p>
    <w:p>
      <w:pPr>
        <w:pStyle w:val="Compact"/>
        <w:numPr>
          <w:ilvl w:val="0"/>
          <w:numId w:val="1002"/>
        </w:numPr>
      </w:pPr>
      <w:r>
        <w:t xml:space="preserve">By 2026, nearly all chronic infections and deaths among released people were in those who had stopped injecting. Shifting screening towards people who still inject did not improve infections once that small group was covered. It did reduce the fall in deaths.</w:t>
      </w:r>
    </w:p>
    <w:p>
      <w:pPr>
        <w:pStyle w:val="Compact"/>
        <w:numPr>
          <w:ilvl w:val="0"/>
          <w:numId w:val="1002"/>
        </w:numPr>
      </w:pPr>
      <w:r>
        <w:t xml:space="preserve">Community screening of 5,000 to 8,000 tests a year met both targets, if most tests went to people who had stopped injecting.</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because most people who inject pass through prison. Deaths come from liver disease that built up over decades and fall more slowly.</w:t>
      </w:r>
    </w:p>
    <w:p>
      <w:pPr>
        <w:pStyle w:val="Compact"/>
        <w:numPr>
          <w:ilvl w:val="0"/>
          <w:numId w:val="1003"/>
        </w:numPr>
      </w:pPr>
      <w:r>
        <w:t xml:space="preserve">Reaching the mortality target needs large scale community screening, mainly among people who have stopped injecting.</w:t>
      </w:r>
    </w:p>
    <w:p>
      <w:pPr>
        <w:pStyle w:val="Compact"/>
        <w:numPr>
          <w:ilvl w:val="0"/>
          <w:numId w:val="1003"/>
        </w:numPr>
      </w:pPr>
      <w:r>
        <w:t xml:space="preserve">These results come from a model with ideal links from testing to treatment.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[15,22]</w:t>
      </w:r>
      <w:r>
        <w:t xml:space="preserve">. People with chronic infection also die 1.47 times as fast from other causes</w:t>
      </w:r>
      <w:r>
        <w:t xml:space="preserve"> </w:t>
      </w:r>
      <w:r>
        <w:t xml:space="preserve">[23]</w:t>
      </w:r>
      <w:r>
        <w:t xml:space="preserve">. Release and re-arrest rates came from Singapore Prison Service records. These records do not observe people who have never been arrested, so we assumed that the first arrest rate equals the re-arrest rate.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data from the Singapore Prison Service. These were seroprevalence and prison population counts in six age groups. We estimated 12 parameters. Six scaled the contact rates by age. Six scaled the rate of entry into injecting by age. Each model run started in model year 0 and ran for 150 years to reach equilibrium. The end of that period represents 2015. From 2016, entry into injecting followed the official annual number of new drug users by age</w:t>
      </w:r>
      <w:r>
        <w:t xml:space="preserve"> </w:t>
      </w:r>
      <w:r>
        <w:t xml:space="preserve">[24]</w:t>
      </w:r>
      <w:r>
        <w:t xml:space="preserve">. The 2025 value was held constant to 2030.</w:t>
      </w:r>
    </w:p>
    <w:p>
      <w:pPr>
        <w:pStyle w:val="BodyText"/>
      </w:pPr>
      <w:r>
        <w:t xml:space="preserve">A multi start Nelder Mead fit gave the best fitting parameter values. We used them as the centre of a normal prior with standard deviation 0.20 on the log scale. Any best fit value closer than five prior standard deviations to a parameter bound was moved inward to that distance, so that the prior lies within the bounds. The likelihood was binomial for the prevalence counts and log normal for the population counts. Parameter sets that did not reach equilibrium were excluded. We sampled the posterior with an adaptive random walk Metropolis algorithm</w:t>
      </w:r>
      <w:r>
        <w:t xml:space="preserve"> </w:t>
      </w:r>
      <w:r>
        <w:t xml:space="preserve">[25]</w:t>
      </w:r>
      <w:r>
        <w:t xml:space="preserve">. We ran four chains from independent prior draws, with 50,000 model runs each. All parameters reached rank normalised R-hat below 1.01</w:t>
      </w:r>
      <w:r>
        <w:t xml:space="preserve"> </w:t>
      </w:r>
      <w:r>
        <w:t xml:space="preserve">[26]</w:t>
      </w:r>
      <w:r>
        <w:t xml:space="preserve">. We also trained single round neural posterior estimation</w:t>
      </w:r>
      <w:r>
        <w:t xml:space="preserve"> </w:t>
      </w:r>
      <w:r>
        <w:t xml:space="preserve">[27,28]</w:t>
      </w:r>
      <w:r>
        <w:t xml:space="preserve"> </w:t>
      </w:r>
      <w:r>
        <w:t xml:space="preserve">on 50,000 prior simulations drawn by Latin hypercube sampling and compared it with MCMC. Simulation based calibration on 980 simulated datasets showed well calibrated neural posteriors (95% coverage 0.94 to 0.96). Policy results agreed within 0.2%. The neural posterior’s 95% intervals were on average 4% narrower than those from MCMC. We used MCMC, which samples the exact posterior and whose error falls with longer runs.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[29,30]</w:t>
      </w:r>
      <w:r>
        <w:t xml:space="preserve">. Test and consultation prices came from public price lists</w:t>
      </w:r>
      <w:r>
        <w:t xml:space="preserve"> </w:t>
      </w:r>
      <w:r>
        <w:t xml:space="preserve">[31,32]</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[33]</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and population targets. All 95% predictive intervals overlapped the target intervals (S1 Text, Section 2). In 2015, the model estimated 17,226 (95% interval: 15,649–18,968) people with a history of injecting drugs. Of these, 2,265 (2,062–2,488) were in F and 10,235 (9,236–11,357) were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rose after 2015 as entry into injecting increased. They remained high to 2030 (Fig 2). In 2030 annual new infections were 132.2% (95% UI: 121.6%–144.4%) of the 2015 level. HCV deaths were 101.1% (95% UI: 100.4%–102.2%) of the 2015 level.</w:t>
      </w:r>
    </w:p>
    <w:p>
      <w:pPr>
        <w:pStyle w:val="BodyText"/>
      </w:pPr>
      <w:r>
        <w:t xml:space="preserve">Prison treatment from 2019 changed the course of new infections. By 2025 they were 41.0% (95% UI: 36.6%–46.4%) of the 2015 level. By 2030 they had fallen by 81.1% (95% UI: 76.5%–84.3%), which met the 80% target at the median and in 71% of draws. Deaths fell more slowly. By 2025 they were 65.3% (95% UI: 64.6%–65.9%) of the 2015 level. By 2030 the reduction was 50.5% (95% UI: 49.8%–51.3%), well short of the 65% target.</w:t>
      </w:r>
    </w:p>
    <w:p>
      <w:pPr>
        <w:pStyle w:val="BodyText"/>
      </w:pPr>
      <w:r>
        <w:t xml:space="preserve">Prison treatment reached most of the transmission network because, in the model, people who inject do not stay out of prison for long. In 2015, 1,356 (1,247–1,471) of the 3,620 (3,311–3,955) people currently injecting had never been imprisoned, but at the assumed first arrest rate (0.27 to 0.55 a year by age) they were first arrested after about 2 years on average at age 20 to 29. This follows from the assumption that first arrest is as frequent as re-arrest (S1 Text, Section 1).</w:t>
      </w:r>
    </w:p>
    <w:p>
      <w:pPr>
        <w:pStyle w:val="BodyText"/>
      </w:pPr>
      <w:r>
        <w:t xml:space="preserve">The reason lies in where infection and disease sit after release. In 2026, F held 152 (95% UI: 135–171) people with chronic infection. X held 969 (95% UI: 859–1,088). X thus held 86% of chronic infections among released people. In the J only scenario, 93% of HCV deaths in 2026 occurred in F and X. By 2030 this share was 94%. People in X do not inject and do not transmit. Prison treatment does not reach them after release.</w:t>
      </w:r>
    </w:p>
    <w:bookmarkEnd w:id="26"/>
    <w:bookmarkStart w:id="27" w:name="Xcebb86a31b54e6c7c20ababdc44544b0139066d"/>
    <w:p>
      <w:pPr>
        <w:pStyle w:val="Heading2"/>
      </w:pPr>
      <w:r>
        <w:t xml:space="preserve">Community screening can meet both targets</w:t>
      </w:r>
    </w:p>
    <w:p>
      <w:pPr>
        <w:pStyle w:val="FirstParagraph"/>
      </w:pPr>
      <w:r>
        <w:t xml:space="preserve">Adding community screening increased both reductions (Table 1). Every scenario met the incidence target at the median, including 600 tests a year (84.1% (95% UI: 80.1%–86.9%) with 25% to F; target met in 98% of draws). Screening everyone eligible in F and X every year gave 96.9% (95% UI: 96.0%–97.5%). In that ideal reference, 45% of the few remaining new infections in 2030 occurred in D, among people who inject but have never been imprisoned.</w:t>
      </w:r>
    </w:p>
    <w:p>
      <w:pPr>
        <w:pStyle w:val="BodyText"/>
      </w:pPr>
      <w:r>
        <w:t xml:space="preserve">The mortality target was met at the median in 4 of 15 scenarios: 5,000 tests a year with 25% or 50% to F and 8,000 tests a year with 25% or 50% to F. Each met both targets in at least 99.9% of draws. At 8,000 tests a year with 75% to F, the median mortality reduction was 64.9% (95% UI: 63.7%–66.0%), just below the target. The mortality target was met in 40% of draws, so this scenario sits on the threshold. The ideal reference reduced mortality by 73.9% (95% UI: 73.7%–74.1%).</w:t>
      </w:r>
    </w:p>
    <w:p>
      <w:pPr>
        <w:pStyle w:val="BodyText"/>
      </w:pPr>
      <w:r>
        <w:t xml:space="preserve">At 600 tests a year, the planned size of the current community programme, the mortality reduction was at most 54.6%. This was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up to a ceiling. More screening for X gave a larger fall in deaths.</w:t>
      </w:r>
    </w:p>
    <w:p>
      <w:pPr>
        <w:pStyle w:val="BodyText"/>
      </w:pPr>
      <w:r>
        <w:t xml:space="preserve">The F group is small. In 2026 about 2,330 people in F were eligible for screening each year. Once the F quota exceeded this number, extra tests could not be used (S1 Text, Fig S5). At 8,000 tests a year with 25% to F, 100% of the F quota was used. With 75% to F, only 39% was used. In all three splits at this capacity, the incidence reduction was 96.6% to 96.9%. The extra F tests were idle, while the X tests they replaced were lost. The mortality reduction fell from 73.3% (95% UI: 72.8%–73.8%) with 25% to F to 64.9% (95% UI: 63.7%–66.0%) with 75% to F.</w:t>
      </w:r>
    </w:p>
    <w:p>
      <w:pPr>
        <w:pStyle w:val="BodyText"/>
      </w:pPr>
      <w:r>
        <w:t xml:space="preserve">At lower capacities there was a real trade off. At 2,000 tests a year, moving from 25% to 75% for F raised the incidence reduction from 89.4% to 95.7%. It lowered the mortality reduction from 62.0% to 55.6%. A simple rule follows. F should receive enough tests to cover its eligible group each year, about 2,330. All remaining capacity should go to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145 (95% UI: 134–157) at 600 tests a year with 75% to F, to 1,151 (95% UI: 1,045–1,266) at 8,000 tests a year with 25% to F (Table 1). Starts were highest in 2026 and fell each year as the stock of chronic infection was treated. The discounted cost of the 4 finite scenarios that met the mortality target ranged from S$42.3 million to S$55.8 million over five years. Drugs made up 93% to 95% of this cost. Compared with prison treatment alone, each extra percentage point of mortality reduction cost about S$1.7 million in the two scenarios with 25% to F at 5,000 and 8,000 tests a year. Single round neural posterior estimation gave policy results within 0.2%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81.1% (95% UI: 76.5%–84.3%)</w:t>
            </w:r>
          </w:p>
        </w:tc>
        <w:tc>
          <w:tcPr/>
          <w:p>
            <w:pPr>
              <w:pStyle w:val="Compact"/>
            </w:pPr>
            <w:r>
              <w:t xml:space="preserve">50.5% (95% UI: 49.8%–51.3%)</w:t>
            </w:r>
          </w:p>
        </w:tc>
        <w:tc>
          <w:tcPr/>
          <w:p>
            <w:pPr>
              <w:pStyle w:val="Compact"/>
            </w:pPr>
            <w:r>
              <w:t xml:space="preserve">0%</w:t>
            </w:r>
          </w:p>
        </w:tc>
        <w:tc>
          <w:tcPr/>
          <w:p>
            <w:pPr>
              <w:pStyle w:val="Compact"/>
            </w:pPr>
            <w:r>
              <w:t xml:space="preserve">0</w:t>
            </w:r>
          </w:p>
        </w:tc>
        <w:tc>
          <w:tcPr/>
          <w:p>
            <w:pPr>
              <w:pStyle w:val="Compact"/>
            </w:pPr>
            <w:r>
              <w:t xml:space="preserve">15.2 (95% UI: 13.1–17.9)</w:t>
            </w:r>
          </w:p>
        </w:tc>
      </w:tr>
      <w:tr>
        <w:tc>
          <w:tcPr/>
          <w:p>
            <w:pPr>
              <w:pStyle w:val="Compact"/>
            </w:pPr>
            <w:r>
              <w:t xml:space="preserve">J + 600/year, F 50%</w:t>
            </w:r>
          </w:p>
        </w:tc>
        <w:tc>
          <w:tcPr/>
          <w:p>
            <w:pPr>
              <w:pStyle w:val="Compact"/>
            </w:pPr>
            <w:r>
              <w:t xml:space="preserve">86.7% (95% UI: 83.2%–89.1%)</w:t>
            </w:r>
          </w:p>
        </w:tc>
        <w:tc>
          <w:tcPr/>
          <w:p>
            <w:pPr>
              <w:pStyle w:val="Compact"/>
            </w:pPr>
            <w:r>
              <w:t xml:space="preserve">53.5% (95% UI: 52.7%–54.3%)</w:t>
            </w:r>
          </w:p>
        </w:tc>
        <w:tc>
          <w:tcPr/>
          <w:p>
            <w:pPr>
              <w:pStyle w:val="Compact"/>
            </w:pPr>
            <w:r>
              <w:t xml:space="preserve">0%</w:t>
            </w:r>
          </w:p>
        </w:tc>
        <w:tc>
          <w:tcPr/>
          <w:p>
            <w:pPr>
              <w:pStyle w:val="Compact"/>
            </w:pPr>
            <w:r>
              <w:t xml:space="preserve">178 (95% UI: 166–190)</w:t>
            </w:r>
          </w:p>
        </w:tc>
        <w:tc>
          <w:tcPr/>
          <w:p>
            <w:pPr>
              <w:pStyle w:val="Compact"/>
            </w:pPr>
            <w:r>
              <w:t xml:space="preserve">20.1 (95% UI: 17.8–22.7)</w:t>
            </w:r>
          </w:p>
        </w:tc>
      </w:tr>
      <w:tr>
        <w:tc>
          <w:tcPr/>
          <w:p>
            <w:pPr>
              <w:pStyle w:val="Compact"/>
            </w:pPr>
            <w:r>
              <w:t xml:space="preserve">J + 2,000/year, F 25%</w:t>
            </w:r>
          </w:p>
        </w:tc>
        <w:tc>
          <w:tcPr/>
          <w:p>
            <w:pPr>
              <w:pStyle w:val="Compact"/>
            </w:pPr>
            <w:r>
              <w:t xml:space="preserve">89.4% (95% UI: 86.4%–91.4%)</w:t>
            </w:r>
          </w:p>
        </w:tc>
        <w:tc>
          <w:tcPr/>
          <w:p>
            <w:pPr>
              <w:pStyle w:val="Compact"/>
            </w:pPr>
            <w:r>
              <w:t xml:space="preserve">62.0% (95% UI: 60.8%–63.0%)</w:t>
            </w:r>
          </w:p>
        </w:tc>
        <w:tc>
          <w:tcPr/>
          <w:p>
            <w:pPr>
              <w:pStyle w:val="Compact"/>
            </w:pPr>
            <w:r>
              <w:t xml:space="preserve">0%</w:t>
            </w:r>
          </w:p>
        </w:tc>
        <w:tc>
          <w:tcPr/>
          <w:p>
            <w:pPr>
              <w:pStyle w:val="Compact"/>
            </w:pPr>
            <w:r>
              <w:t xml:space="preserve">569 (95% UI: 531–609)</w:t>
            </w:r>
          </w:p>
        </w:tc>
        <w:tc>
          <w:tcPr/>
          <w:p>
            <w:pPr>
              <w:pStyle w:val="Compact"/>
            </w:pPr>
            <w:r>
              <w:t xml:space="preserve">34.6 (95% UI: 31.7–37.6)</w:t>
            </w:r>
          </w:p>
        </w:tc>
      </w:tr>
      <w:tr>
        <w:tc>
          <w:tcPr/>
          <w:p>
            <w:pPr>
              <w:pStyle w:val="Compact"/>
            </w:pPr>
            <w:r>
              <w:t xml:space="preserve">J + 2,000/year, F 75%</w:t>
            </w:r>
          </w:p>
        </w:tc>
        <w:tc>
          <w:tcPr/>
          <w:p>
            <w:pPr>
              <w:pStyle w:val="Compact"/>
            </w:pPr>
            <w:r>
              <w:t xml:space="preserve">95.7% (95% UI: 94.3%–96.6%)</w:t>
            </w:r>
          </w:p>
        </w:tc>
        <w:tc>
          <w:tcPr/>
          <w:p>
            <w:pPr>
              <w:pStyle w:val="Compact"/>
            </w:pPr>
            <w:r>
              <w:t xml:space="preserve">55.6% (95% UI: 54.7%–56.5%)</w:t>
            </w:r>
          </w:p>
        </w:tc>
        <w:tc>
          <w:tcPr/>
          <w:p>
            <w:pPr>
              <w:pStyle w:val="Compact"/>
            </w:pPr>
            <w:r>
              <w:t xml:space="preserve">0%</w:t>
            </w:r>
          </w:p>
        </w:tc>
        <w:tc>
          <w:tcPr/>
          <w:p>
            <w:pPr>
              <w:pStyle w:val="Compact"/>
            </w:pPr>
            <w:r>
              <w:t xml:space="preserve">361 (95% UI: 334–389)</w:t>
            </w:r>
          </w:p>
        </w:tc>
        <w:tc>
          <w:tcPr/>
          <w:p>
            <w:pPr>
              <w:pStyle w:val="Compact"/>
            </w:pPr>
            <w:r>
              <w:t xml:space="preserve">22.6 (95% UI: 20.3–25.1)</w:t>
            </w:r>
          </w:p>
        </w:tc>
      </w:tr>
      <w:tr>
        <w:tc>
          <w:tcPr/>
          <w:p>
            <w:pPr>
              <w:pStyle w:val="Compact"/>
            </w:pPr>
            <w:r>
              <w:t xml:space="preserve">J + 5,000/year, F 25%</w:t>
            </w:r>
          </w:p>
        </w:tc>
        <w:tc>
          <w:tcPr/>
          <w:p>
            <w:pPr>
              <w:pStyle w:val="Compact"/>
            </w:pPr>
            <w:r>
              <w:t xml:space="preserve">94.9% (95% UI: 93.3%–95.9%)</w:t>
            </w:r>
          </w:p>
        </w:tc>
        <w:tc>
          <w:tcPr/>
          <w:p>
            <w:pPr>
              <w:pStyle w:val="Compact"/>
            </w:pPr>
            <w:r>
              <w:t xml:space="preserve">70.4% (95% UI: 69.4%–71.3%)</w:t>
            </w:r>
          </w:p>
        </w:tc>
        <w:tc>
          <w:tcPr/>
          <w:p>
            <w:pPr>
              <w:pStyle w:val="Compact"/>
            </w:pPr>
            <w:r>
              <w:t xml:space="preserve">100%</w:t>
            </w:r>
          </w:p>
        </w:tc>
        <w:tc>
          <w:tcPr/>
          <w:p>
            <w:pPr>
              <w:pStyle w:val="Compact"/>
            </w:pPr>
            <w:r>
              <w:t xml:space="preserve">990 (95% UI: 911–1,074)</w:t>
            </w:r>
          </w:p>
        </w:tc>
        <w:tc>
          <w:tcPr/>
          <w:p>
            <w:pPr>
              <w:pStyle w:val="Compact"/>
            </w:pPr>
            <w:r>
              <w:t xml:space="preserve">49.4 (95% UI: 45.3–53.6)</w:t>
            </w:r>
          </w:p>
        </w:tc>
      </w:tr>
      <w:tr>
        <w:tc>
          <w:tcPr/>
          <w:p>
            <w:pPr>
              <w:pStyle w:val="Compact"/>
            </w:pPr>
            <w:r>
              <w:t xml:space="preserve">J + 5,000/year, F 50%</w:t>
            </w:r>
          </w:p>
        </w:tc>
        <w:tc>
          <w:tcPr/>
          <w:p>
            <w:pPr>
              <w:pStyle w:val="Compact"/>
            </w:pPr>
            <w:r>
              <w:t xml:space="preserve">96.9% (95% UI: 96.0%–97.5%)</w:t>
            </w:r>
          </w:p>
        </w:tc>
        <w:tc>
          <w:tcPr/>
          <w:p>
            <w:pPr>
              <w:pStyle w:val="Compact"/>
            </w:pPr>
            <w:r>
              <w:t xml:space="preserve">66.9% (95% UI: 65.8%–68.0%)</w:t>
            </w:r>
          </w:p>
        </w:tc>
        <w:tc>
          <w:tcPr/>
          <w:p>
            <w:pPr>
              <w:pStyle w:val="Compact"/>
            </w:pPr>
            <w:r>
              <w:t xml:space="preserve">100%</w:t>
            </w:r>
          </w:p>
        </w:tc>
        <w:tc>
          <w:tcPr/>
          <w:p>
            <w:pPr>
              <w:pStyle w:val="Compact"/>
            </w:pPr>
            <w:r>
              <w:t xml:space="preserve">868 (95% UI: 801–938)</w:t>
            </w:r>
          </w:p>
        </w:tc>
        <w:tc>
          <w:tcPr/>
          <w:p>
            <w:pPr>
              <w:pStyle w:val="Compact"/>
            </w:pPr>
            <w:r>
              <w:t xml:space="preserve">42.3 (95% UI: 38.9–45.7)</w:t>
            </w:r>
          </w:p>
        </w:tc>
      </w:tr>
      <w:tr>
        <w:tc>
          <w:tcPr/>
          <w:p>
            <w:pPr>
              <w:pStyle w:val="Compact"/>
            </w:pPr>
            <w:r>
              <w:t xml:space="preserve">J + 5,000/year, F 75%</w:t>
            </w:r>
          </w:p>
        </w:tc>
        <w:tc>
          <w:tcPr/>
          <w:p>
            <w:pPr>
              <w:pStyle w:val="Compact"/>
            </w:pPr>
            <w:r>
              <w:t xml:space="preserve">96.9% (95% UI: 96.0%–97.5%)</w:t>
            </w:r>
          </w:p>
        </w:tc>
        <w:tc>
          <w:tcPr/>
          <w:p>
            <w:pPr>
              <w:pStyle w:val="Compact"/>
            </w:pPr>
            <w:r>
              <w:t xml:space="preserve">60.9% (95% UI: 59.8%–62.0%)</w:t>
            </w:r>
          </w:p>
        </w:tc>
        <w:tc>
          <w:tcPr/>
          <w:p>
            <w:pPr>
              <w:pStyle w:val="Compact"/>
            </w:pPr>
            <w:r>
              <w:t xml:space="preserve">0%</w:t>
            </w:r>
          </w:p>
        </w:tc>
        <w:tc>
          <w:tcPr/>
          <w:p>
            <w:pPr>
              <w:pStyle w:val="Compact"/>
            </w:pPr>
            <w:r>
              <w:t xml:space="preserve">609 (95% UI: 564–654)</w:t>
            </w:r>
          </w:p>
        </w:tc>
        <w:tc>
          <w:tcPr/>
          <w:p>
            <w:pPr>
              <w:pStyle w:val="Compact"/>
            </w:pPr>
            <w:r>
              <w:t xml:space="preserve">31.6 (95% UI: 29.0–34.2)</w:t>
            </w:r>
          </w:p>
        </w:tc>
      </w:tr>
      <w:tr>
        <w:tc>
          <w:tcPr/>
          <w:p>
            <w:pPr>
              <w:pStyle w:val="Compact"/>
            </w:pPr>
            <w:r>
              <w:t xml:space="preserve">J + 8,000/year, F 25%</w:t>
            </w:r>
          </w:p>
        </w:tc>
        <w:tc>
          <w:tcPr/>
          <w:p>
            <w:pPr>
              <w:pStyle w:val="Compact"/>
            </w:pPr>
            <w:r>
              <w:t xml:space="preserve">96.6% (95% UI: 95.6%–97.3%)</w:t>
            </w:r>
          </w:p>
        </w:tc>
        <w:tc>
          <w:tcPr/>
          <w:p>
            <w:pPr>
              <w:pStyle w:val="Compact"/>
            </w:pPr>
            <w:r>
              <w:t xml:space="preserve">73.3% (95% UI: 72.8%–73.8%)</w:t>
            </w:r>
          </w:p>
        </w:tc>
        <w:tc>
          <w:tcPr/>
          <w:p>
            <w:pPr>
              <w:pStyle w:val="Compact"/>
            </w:pPr>
            <w:r>
              <w:t xml:space="preserve">100%</w:t>
            </w:r>
          </w:p>
        </w:tc>
        <w:tc>
          <w:tcPr/>
          <w:p>
            <w:pPr>
              <w:pStyle w:val="Compact"/>
            </w:pPr>
            <w:r>
              <w:t xml:space="preserve">1,151 (95% UI: 1,045–1,266)</w:t>
            </w:r>
          </w:p>
        </w:tc>
        <w:tc>
          <w:tcPr/>
          <w:p>
            <w:pPr>
              <w:pStyle w:val="Compact"/>
            </w:pPr>
            <w:r>
              <w:t xml:space="preserve">55.8 (95% UI: 50.9–61.0)</w:t>
            </w:r>
          </w:p>
        </w:tc>
      </w:tr>
      <w:tr>
        <w:tc>
          <w:tcPr/>
          <w:p>
            <w:pPr>
              <w:pStyle w:val="Compact"/>
            </w:pPr>
            <w:r>
              <w:t xml:space="preserve">J + 8,000/year, F 50%</w:t>
            </w:r>
          </w:p>
        </w:tc>
        <w:tc>
          <w:tcPr/>
          <w:p>
            <w:pPr>
              <w:pStyle w:val="Compact"/>
            </w:pPr>
            <w:r>
              <w:t xml:space="preserve">96.9% (95% UI: 96.0%–97.5%)</w:t>
            </w:r>
          </w:p>
        </w:tc>
        <w:tc>
          <w:tcPr/>
          <w:p>
            <w:pPr>
              <w:pStyle w:val="Compact"/>
            </w:pPr>
            <w:r>
              <w:t xml:space="preserve">71.0% (95% UI: 70.1%–71.8%)</w:t>
            </w:r>
          </w:p>
        </w:tc>
        <w:tc>
          <w:tcPr/>
          <w:p>
            <w:pPr>
              <w:pStyle w:val="Compact"/>
            </w:pPr>
            <w:r>
              <w:t xml:space="preserve">100%</w:t>
            </w:r>
          </w:p>
        </w:tc>
        <w:tc>
          <w:tcPr/>
          <w:p>
            <w:pPr>
              <w:pStyle w:val="Compact"/>
            </w:pPr>
            <w:r>
              <w:t xml:space="preserve">1,046 (95% UI: 958–1,141)</w:t>
            </w:r>
          </w:p>
        </w:tc>
        <w:tc>
          <w:tcPr/>
          <w:p>
            <w:pPr>
              <w:pStyle w:val="Compact"/>
            </w:pPr>
            <w:r>
              <w:t xml:space="preserve">50.1 (95% UI: 46.1–54.4)</w:t>
            </w:r>
          </w:p>
        </w:tc>
      </w:tr>
      <w:tr>
        <w:tc>
          <w:tcPr/>
          <w:p>
            <w:pPr>
              <w:pStyle w:val="Compact"/>
            </w:pPr>
            <w:r>
              <w:t xml:space="preserve">J + 8,000/year, F 75%</w:t>
            </w:r>
          </w:p>
        </w:tc>
        <w:tc>
          <w:tcPr/>
          <w:p>
            <w:pPr>
              <w:pStyle w:val="Compact"/>
            </w:pPr>
            <w:r>
              <w:t xml:space="preserve">96.9% (95% UI: 96.0%–97.5%)</w:t>
            </w:r>
          </w:p>
        </w:tc>
        <w:tc>
          <w:tcPr/>
          <w:p>
            <w:pPr>
              <w:pStyle w:val="Compact"/>
            </w:pPr>
            <w:r>
              <w:t xml:space="preserve">64.9% (95% UI: 63.7%–66.0%)</w:t>
            </w:r>
          </w:p>
        </w:tc>
        <w:tc>
          <w:tcPr/>
          <w:p>
            <w:pPr>
              <w:pStyle w:val="Compact"/>
            </w:pPr>
            <w:r>
              <w:t xml:space="preserve">40%</w:t>
            </w:r>
          </w:p>
        </w:tc>
        <w:tc>
          <w:tcPr/>
          <w:p>
            <w:pPr>
              <w:pStyle w:val="Compact"/>
            </w:pPr>
            <w:r>
              <w:t xml:space="preserve">779 (95% UI: 721–840)</w:t>
            </w:r>
          </w:p>
        </w:tc>
        <w:tc>
          <w:tcPr/>
          <w:p>
            <w:pPr>
              <w:pStyle w:val="Compact"/>
            </w:pPr>
            <w:r>
              <w:t xml:space="preserve">38.5 (95% UI: 35.5–41.7)</w:t>
            </w:r>
          </w:p>
        </w:tc>
      </w:tr>
      <w:tr>
        <w:tc>
          <w:tcPr/>
          <w:p>
            <w:pPr>
              <w:pStyle w:val="Compact"/>
            </w:pPr>
            <w:r>
              <w:t xml:space="preserve">J + no screening cap</w:t>
            </w:r>
          </w:p>
        </w:tc>
        <w:tc>
          <w:tcPr/>
          <w:p>
            <w:pPr>
              <w:pStyle w:val="Compact"/>
            </w:pPr>
            <w:r>
              <w:t xml:space="preserve">96.9% (95% UI: 96.0%–97.5%)</w:t>
            </w:r>
          </w:p>
        </w:tc>
        <w:tc>
          <w:tcPr/>
          <w:p>
            <w:pPr>
              <w:pStyle w:val="Compact"/>
            </w:pPr>
            <w:r>
              <w:t xml:space="preserve">73.9% (95% UI: 73.7%–74.1%)</w:t>
            </w:r>
          </w:p>
        </w:tc>
        <w:tc>
          <w:tcPr/>
          <w:p>
            <w:pPr>
              <w:pStyle w:val="Compact"/>
            </w:pPr>
            <w:r>
              <w:t xml:space="preserve">100%</w:t>
            </w:r>
          </w:p>
        </w:tc>
        <w:tc>
          <w:tcPr/>
          <w:p>
            <w:pPr>
              <w:pStyle w:val="Compact"/>
            </w:pPr>
            <w:r>
              <w:t xml:space="preserve">1,229 (95% UI: 1,097–1,375)</w:t>
            </w:r>
          </w:p>
        </w:tc>
        <w:tc>
          <w:tcPr/>
          <w:p>
            <w:pPr>
              <w:pStyle w:val="Compact"/>
            </w:pPr>
            <w:r>
              <w:t xml:space="preserve">61.1 (95% UI: 54.9–67.8)</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81% and HCV deaths by 51% by 2030. This met the incidence target but not the mortality target. By 2026, nearly all chronic infections and HCV deaths among released people were in those who had stopped injecting. Community screening was needed to meet the mortality target. The split of screening between released people who still inject and those who have stopped mattered as much as the total amount.</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most people who inject are arrested within a few years of starting, so prison reaches most of the network. That rests on our assumption that the first arrest rate equals the re-arrest rate, which the prison records cannot test. If people inject for longer before their first arrest, more infections would occur out of reach of prison and the incidence result would be weaker; even with screening of everyone eligible after release, 45% of the remaining infections in 2030 occurred in people never imprisoned. Deaths follow a different path. They arise from cirrhosis and liver cancer that built up over many years. Most of this burden sits in people who stopped injecting long ago. They are rarely in prison and do not transmit.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Our results show this holds only up to a point. The F group is small and quickly covered. After that, extra tests for F add nothing. The same tests given to X would prevent deaths. Planners should therefore set the F quota by the size of the eligible F group. They should direct the rest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scenarios that met the mortality target needed 5,000 to 8,000 tests a year. That is 8 to 13 times the planned capacity of the current community programme</w:t>
      </w:r>
      <w:r>
        <w:t xml:space="preserve"> </w:t>
      </w:r>
      <w:r>
        <w:t xml:space="preserve">[11]</w:t>
      </w:r>
      <w:r>
        <w:t xml:space="preserve">. At 8,000 tests a year, putting 75% of tests to F missed the mortality target in most draws. All scenarios also assumed that every person identified starts treatment. Real linkage is weaker. In a Singapore trial among halfway house residents, only 12.6% of people with antibodies started treatment</w:t>
      </w:r>
      <w:r>
        <w:t xml:space="preserve"> </w:t>
      </w:r>
      <w:r>
        <w:t xml:space="preserve">[34]</w:t>
      </w:r>
      <w:r>
        <w:t xml:space="preserve">. Care navigation and simpler models of care can raise uptake</w:t>
      </w:r>
      <w:r>
        <w:t xml:space="preserve"> </w:t>
      </w:r>
      <w:r>
        <w:t xml:space="preserve">[35,36]</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checked the posterior against an independent method, neural posterior estimation. We modelled screening capacity explicitly, so treatment depends on how many people are found. We separated released people by injecting status, which earlier work did not do</w:t>
      </w:r>
      <w:r>
        <w:t xml:space="preserve"> </w:t>
      </w:r>
      <w:r>
        <w:t xml:space="preserve">[5]</w:t>
      </w:r>
      <w:r>
        <w:t xml:space="preserve">.</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prison data. We did not fit it to observed treatment numbers after 2019. The prison treatment assumption may therefore overstate or understate what happened. Third, we assumed perfect linkage from screening to treatment and no loss to follow up. Fourth, people in X cannot be reinfected or return to injecting. Some do relapse, which would add transmission. Fifth, the first arrest rate of people who have never been imprisoned is not observed. We set it equal to the re-arrest rate. A lower rate would leave more people who inject outside prison and weaken the effect of prison treatment on new infections. Entry into injecting uses counts of new drug users from law enforcement as a proxy. Sixth, costs use list prices and an older drug price. Actual payer costs are not public. Seventh, our uncertainty intervals cover model parameters only. The prior was centred on a fit to the same data, and for four parameters the data narrowed the prior little.</w:t>
      </w:r>
    </w:p>
    <w:p>
      <w:pPr>
        <w:pStyle w:val="BodyText"/>
      </w:pPr>
      <w:r>
        <w:t xml:space="preserve">In conclusion, prison treatment has done much to reduce HCV among people who inject drugs in Singapore. In this model it meets the WHO incidence target by 2030 but not the mortality target. Large scale community screening after release can meet both targets, if most of it reaches people who have stopped injecting after enough is set aside for those who still inject.</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 In panel A the two lines with 8,000 tests a year overlap.</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8" w:name="references"/>
    <w:p>
      <w:pPr>
        <w:pStyle w:val="Heading1"/>
      </w:pPr>
      <w:r>
        <w:t xml:space="preserve">References</w:t>
      </w:r>
    </w:p>
    <w:bookmarkStart w:id="117"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mathers2013"/>
    <w:p>
      <w:pPr>
        <w:pStyle w:val="Bibliography"/>
      </w:pPr>
      <w:r>
        <w:t xml:space="preserve">22.</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88">
        <w:r>
          <w:rPr>
            <w:rStyle w:val="Hyperlink"/>
          </w:rPr>
          <w:t xml:space="preserve">10.2471/blt.12.108282</w:t>
        </w:r>
      </w:hyperlink>
    </w:p>
    <w:bookmarkEnd w:id="89"/>
    <w:bookmarkStart w:id="91" w:name="ref-lee2012"/>
    <w:p>
      <w:pPr>
        <w:pStyle w:val="Bibliography"/>
      </w:pPr>
      <w:r>
        <w:t xml:space="preserve">23.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90">
        <w:r>
          <w:rPr>
            <w:rStyle w:val="Hyperlink"/>
          </w:rPr>
          <w:t xml:space="preserve">10.1093/infdis/jis385</w:t>
        </w:r>
      </w:hyperlink>
    </w:p>
    <w:bookmarkEnd w:id="91"/>
    <w:bookmarkStart w:id="93" w:name="ref-singstat_drug"/>
    <w:p>
      <w:pPr>
        <w:pStyle w:val="Bibliography"/>
      </w:pPr>
      <w:r>
        <w:t xml:space="preserve">24.</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2">
        <w:r>
          <w:rPr>
            <w:rStyle w:val="Hyperlink"/>
          </w:rPr>
          <w:t xml:space="preserve">https://data.gov.sg/datasets/d_f174679381e9085e32869c32bdb01b87/view</w:t>
        </w:r>
      </w:hyperlink>
    </w:p>
    <w:bookmarkEnd w:id="93"/>
    <w:bookmarkStart w:id="95" w:name="ref-haario2001"/>
    <w:p>
      <w:pPr>
        <w:pStyle w:val="Bibliography"/>
      </w:pPr>
      <w:r>
        <w:t xml:space="preserve">25.</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4">
        <w:r>
          <w:rPr>
            <w:rStyle w:val="Hyperlink"/>
          </w:rPr>
          <w:t xml:space="preserve">10.2307/3318737</w:t>
        </w:r>
      </w:hyperlink>
    </w:p>
    <w:bookmarkEnd w:id="95"/>
    <w:bookmarkStart w:id="97" w:name="ref-vehtari2021"/>
    <w:p>
      <w:pPr>
        <w:pStyle w:val="Bibliography"/>
      </w:pPr>
      <w:r>
        <w:t xml:space="preserve">26.</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6">
        <w:r>
          <w:rPr>
            <w:rStyle w:val="Hyperlink"/>
          </w:rPr>
          <w:t xml:space="preserve">10.1214/20-BA1221</w:t>
        </w:r>
      </w:hyperlink>
    </w:p>
    <w:bookmarkEnd w:id="97"/>
    <w:bookmarkStart w:id="98" w:name="ref-greenberg2019"/>
    <w:p>
      <w:pPr>
        <w:pStyle w:val="Bibliography"/>
      </w:pPr>
      <w:r>
        <w:t xml:space="preserve">27.</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8"/>
    <w:bookmarkStart w:id="100" w:name="ref-sbi2020"/>
    <w:p>
      <w:pPr>
        <w:pStyle w:val="Bibliography"/>
      </w:pPr>
      <w:r>
        <w:t xml:space="preserve">28.</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9">
        <w:r>
          <w:rPr>
            <w:rStyle w:val="Hyperlink"/>
          </w:rPr>
          <w:t xml:space="preserve">10.21105/joss.02505</w:t>
        </w:r>
      </w:hyperlink>
    </w:p>
    <w:bookmarkEnd w:id="100"/>
    <w:bookmarkStart w:id="102" w:name="ref-wong2019"/>
    <w:p>
      <w:pPr>
        <w:pStyle w:val="Bibliography"/>
      </w:pPr>
      <w:r>
        <w:t xml:space="preserve">29.</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101">
        <w:r>
          <w:rPr>
            <w:rStyle w:val="Hyperlink"/>
          </w:rPr>
          <w:t xml:space="preserve">10.1002/jgh3.12139</w:t>
        </w:r>
      </w:hyperlink>
    </w:p>
    <w:bookmarkEnd w:id="102"/>
    <w:bookmarkStart w:id="104" w:name="ref-sgd_rate"/>
    <w:p>
      <w:pPr>
        <w:pStyle w:val="Bibliography"/>
      </w:pPr>
      <w:r>
        <w:t xml:space="preserve">30.</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3">
        <w:r>
          <w:rPr>
            <w:rStyle w:val="Hyperlink"/>
          </w:rPr>
          <w:t xml:space="preserve">https://data.gov.sg/datasets/d_b09aeaf8eb591c4bfe347b66148c6b53/view</w:t>
        </w:r>
      </w:hyperlink>
    </w:p>
    <w:bookmarkEnd w:id="104"/>
    <w:bookmarkStart w:id="106" w:name="ref-nhg_dsc"/>
    <w:p>
      <w:pPr>
        <w:pStyle w:val="Bibliography"/>
      </w:pPr>
      <w:r>
        <w:t xml:space="preserve">31.</w:t>
      </w:r>
      <w:r>
        <w:t xml:space="preserve"> </w:t>
      </w:r>
      <w:r>
        <w:t xml:space="preserve">	</w:t>
      </w:r>
      <w:r>
        <w:t xml:space="preserve">National Healthcare Group.</w:t>
      </w:r>
      <w:r>
        <w:t xml:space="preserve"> </w:t>
      </w:r>
      <w:r>
        <w:t xml:space="preserve">DSC clinic charges</w:t>
      </w:r>
      <w:r>
        <w:t xml:space="preserve">. Available:</w:t>
      </w:r>
      <w:r>
        <w:t xml:space="preserve"> </w:t>
      </w:r>
      <w:hyperlink r:id="rId105">
        <w:r>
          <w:rPr>
            <w:rStyle w:val="Hyperlink"/>
          </w:rPr>
          <w:t xml:space="preserve">https://www.nhghealth.com.sg/nsc/about-dsc-clinic/dsc-patient-information/dsc-services/clinic-charges/</w:t>
        </w:r>
      </w:hyperlink>
    </w:p>
    <w:bookmarkEnd w:id="106"/>
    <w:bookmarkStart w:id="108" w:name="ref-parkway_rna"/>
    <w:p>
      <w:pPr>
        <w:pStyle w:val="Bibliography"/>
      </w:pPr>
      <w:r>
        <w:t xml:space="preserve">32.</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7">
        <w:r>
          <w:rPr>
            <w:rStyle w:val="Hyperlink"/>
          </w:rPr>
          <w:t xml:space="preserve">https://www.parkwaylabs.com.sg/docs/parkwaylablibraries/test-catalogues/send-out-test-price.pdf</w:t>
        </w:r>
      </w:hyperlink>
    </w:p>
    <w:bookmarkEnd w:id="108"/>
    <w:bookmarkStart w:id="110" w:name="ref-rcpp2011"/>
    <w:p>
      <w:pPr>
        <w:pStyle w:val="Bibliography"/>
      </w:pPr>
      <w:r>
        <w:t xml:space="preserve">33.</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9">
        <w:r>
          <w:rPr>
            <w:rStyle w:val="Hyperlink"/>
          </w:rPr>
          <w:t xml:space="preserve">10.18637/jss.v040.i08</w:t>
        </w:r>
      </w:hyperlink>
    </w:p>
    <w:bookmarkEnd w:id="110"/>
    <w:bookmarkStart w:id="112" w:name="ref-hsiang2022"/>
    <w:p>
      <w:pPr>
        <w:pStyle w:val="Bibliography"/>
      </w:pPr>
      <w:r>
        <w:t xml:space="preserve">34.</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1">
        <w:r>
          <w:rPr>
            <w:rStyle w:val="Hyperlink"/>
          </w:rPr>
          <w:t xml:space="preserve">10.11622/smedj.2020116</w:t>
        </w:r>
      </w:hyperlink>
    </w:p>
    <w:bookmarkEnd w:id="112"/>
    <w:bookmarkStart w:id="114" w:name="ref-clink2022"/>
    <w:p>
      <w:pPr>
        <w:pStyle w:val="Bibliography"/>
      </w:pPr>
      <w:r>
        <w:t xml:space="preserve">35.</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3">
        <w:r>
          <w:rPr>
            <w:rStyle w:val="Hyperlink"/>
          </w:rPr>
          <w:t xml:space="preserve">10.1093/ofid/ofac350</w:t>
        </w:r>
      </w:hyperlink>
    </w:p>
    <w:bookmarkEnd w:id="114"/>
    <w:bookmarkStart w:id="116" w:name="ref-eckhardt2022"/>
    <w:p>
      <w:pPr>
        <w:pStyle w:val="Bibliography"/>
      </w:pPr>
      <w:r>
        <w:t xml:space="preserve">36.</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5">
        <w:r>
          <w:rPr>
            <w:rStyle w:val="Hyperlink"/>
          </w:rPr>
          <w:t xml:space="preserve">10.1001/jamainternmed.2022.0170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3" Target="https://data.gov.sg/datasets/d_b09aeaf8eb591c4bfe347b66148c6b53/view" TargetMode="External" /><Relationship Type="http://schemas.openxmlformats.org/officeDocument/2006/relationships/hyperlink" Id="rId92"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5"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101"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90" Target="https://doi.org/10.1093/infdis/jis385" TargetMode="External" /><Relationship Type="http://schemas.openxmlformats.org/officeDocument/2006/relationships/hyperlink" Id="rId113"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11" Target="https://doi.org/10.11622/smedj.2020116" TargetMode="External" /><Relationship Type="http://schemas.openxmlformats.org/officeDocument/2006/relationships/hyperlink" Id="rId96" Target="https://doi.org/10.1214/20-BA1221" TargetMode="External" /><Relationship Type="http://schemas.openxmlformats.org/officeDocument/2006/relationships/hyperlink" Id="rId109" Target="https://doi.org/10.18637/jss.v040.i08" TargetMode="External" /><Relationship Type="http://schemas.openxmlformats.org/officeDocument/2006/relationships/hyperlink" Id="rId99" Target="https://doi.org/10.21105/joss.02505" TargetMode="External" /><Relationship Type="http://schemas.openxmlformats.org/officeDocument/2006/relationships/hyperlink" Id="rId94"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5" Target="https://www.nhghealth.com.sg/nsc/about-dsc-clinic/dsc-patient-information/dsc-services/clinic-charges/" TargetMode="External" /><Relationship Type="http://schemas.openxmlformats.org/officeDocument/2006/relationships/hyperlink" Id="rId107"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ata.gov.sg/datasets/d_b09aeaf8eb591c4bfe347b66148c6b53/view" TargetMode="External" /><Relationship Type="http://schemas.openxmlformats.org/officeDocument/2006/relationships/hyperlink" Id="rId92"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5"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101"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90" Target="https://doi.org/10.1093/infdis/jis385" TargetMode="External" /><Relationship Type="http://schemas.openxmlformats.org/officeDocument/2006/relationships/hyperlink" Id="rId113"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11" Target="https://doi.org/10.11622/smedj.2020116" TargetMode="External" /><Relationship Type="http://schemas.openxmlformats.org/officeDocument/2006/relationships/hyperlink" Id="rId96" Target="https://doi.org/10.1214/20-BA1221" TargetMode="External" /><Relationship Type="http://schemas.openxmlformats.org/officeDocument/2006/relationships/hyperlink" Id="rId109" Target="https://doi.org/10.18637/jss.v040.i08" TargetMode="External" /><Relationship Type="http://schemas.openxmlformats.org/officeDocument/2006/relationships/hyperlink" Id="rId99" Target="https://doi.org/10.21105/joss.02505" TargetMode="External" /><Relationship Type="http://schemas.openxmlformats.org/officeDocument/2006/relationships/hyperlink" Id="rId94"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5" Target="https://www.nhghealth.com.sg/nsc/about-dsc-clinic/dsc-patient-information/dsc-services/clinic-charges/" TargetMode="External" /><Relationship Type="http://schemas.openxmlformats.org/officeDocument/2006/relationships/hyperlink" Id="rId107"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2026-10-20T16:20:36Z</dcterms:created>
  <dcterms:modified xsi:type="dcterms:W3CDTF">2026-10-20T16:20:36Z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