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age specific HCV seroprevalence in prison in 2015 with Bayesian methods. Entry into injecting followed official counts of new drug users, and the first arrest rate was a calibrated multiple of the re-arrest rate.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91.5% (95% UI: 87.6%–95.3%) of the 2015 level. With prison treatment alone, new infections fell by 85.7% (95% UI: 70.5%–91.3%) by 2030, meeting the incidence target in 82% of draws, but HCV deaths fell by only 54.9% (95% UI: 52.3%–57.4%). In 2026, 90% of chronic infections among released people were in X, and 96% of HCV deaths occurred in F and X. Every screening scenario met the incidence target. The mortality target was met at the median only at 5,000 or 8,000 tests a year with 25% or 50% to F. Three of these met both targets in at least 96% of draws; 5,000 tests a year with 50% to F did so in only 57%. At every capacity, giving more tests to X gave larger falls in deaths. The model covers only PWID, assumes ideal linkage to treatment and was not fitted to the size of the prison population.</w:t>
      </w:r>
    </w:p>
    <w:bookmarkEnd w:id="10"/>
    <w:bookmarkStart w:id="11" w:name="conclusions"/>
    <w:p>
      <w:pPr>
        <w:pStyle w:val="Heading2"/>
      </w:pPr>
      <w:r>
        <w:t xml:space="preserve">Conclusions</w:t>
      </w:r>
    </w:p>
    <w:p>
      <w:pPr>
        <w:pStyle w:val="FirstParagraph"/>
      </w:pPr>
      <w:r>
        <w:t xml:space="preserve">In this model, prison treatment alone cuts new HCV infections by more than four fifths by 2030 but cuts HCV deaths by only about half. Most remaining deaths occur among released people who no longer inject. Community screening of about 5,000 tests a year or more, with most tests for released people who have stopped injecting, met both targets. That is eight times the planned capacity of the current programme.</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seroprevalence data and carried uncertainty in the calibrated parameters through to the results.</w:t>
      </w:r>
    </w:p>
    <w:p>
      <w:pPr>
        <w:pStyle w:val="Compact"/>
        <w:numPr>
          <w:ilvl w:val="0"/>
          <w:numId w:val="1002"/>
        </w:numPr>
      </w:pPr>
      <w:r>
        <w:t xml:space="preserve">Prison treatment alone reduced new infections by 86% and hepatitis C deaths by 55% by 2030. It met the WHO target of 80% for infections but not the target of 65% for deaths.</w:t>
      </w:r>
    </w:p>
    <w:p>
      <w:pPr>
        <w:pStyle w:val="Compact"/>
        <w:numPr>
          <w:ilvl w:val="0"/>
          <w:numId w:val="1002"/>
        </w:numPr>
      </w:pPr>
      <w:r>
        <w:t xml:space="preserve">By 2026, nearly all chronic infections and deaths among released people were in those who had stopped injecting. Community screening of 5,000 or 8,000 tests a year met both targets when at least half of the tests went to people who had stopped injecting.</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works well against transmission. Deaths come from liver disease that built up over decades and fall more slowly.</w:t>
      </w:r>
    </w:p>
    <w:p>
      <w:pPr>
        <w:pStyle w:val="Compact"/>
        <w:numPr>
          <w:ilvl w:val="0"/>
          <w:numId w:val="1003"/>
        </w:numPr>
      </w:pPr>
      <w:r>
        <w:t xml:space="preserve">Reaching the mortality target needs community screening about eight times larger than current plans, aimed mainly at people who have stopped injecting.</w:t>
      </w:r>
    </w:p>
    <w:p>
      <w:pPr>
        <w:pStyle w:val="Compact"/>
        <w:numPr>
          <w:ilvl w:val="0"/>
          <w:numId w:val="1003"/>
        </w:numPr>
      </w:pPr>
      <w:r>
        <w:t xml:space="preserve">These results come from a model with ideal links from testing to treatment, calibrated only to seroprevalence.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w:t>
      </w:r>
      <w:r>
        <w:t xml:space="preserve">. Other deaths occur at the Singapore resident death rate multiplied by standardised mortality ratios for people who use drugs: 9.52 for people with viraemic infection and 4.73 for everyone else</w:t>
      </w:r>
      <w:r>
        <w:t xml:space="preserve"> </w:t>
      </w:r>
      <w:r>
        <w:t xml:space="preserve">[22]</w:t>
      </w:r>
      <w:r>
        <w:t xml:space="preserve">. The viraemic share therefore changes over time, and cure lowers a person’s death rate. Release and re-arrest rates came from Singapore Prison Service records. These records do not observe people who have never been arrested, so the first arrest rate was a calibrated multiple</w:t>
      </w:r>
      <w:r>
        <w:t xml:space="preserve"> </w:t>
      </w:r>
      <m:oMath>
        <m:r>
          <m:t>c</m:t>
        </m:r>
      </m:oMath>
      <w:r>
        <w:t xml:space="preserve"> </w:t>
      </w:r>
      <w:r>
        <w:t xml:space="preserve">of the re-arrest rate.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HCV seroprevalence among people in prison in six age groups, from the Singapore Prison Service. Seroprevalence was the only target; the size of the prison population was not fitted. Each observed seroprevalence had a beta likelihood centred on the model value with a fixed precision of 100, so no sample sizes were used. We estimated seven parameters. Six scaled the contact rates by age. The seventh,</w:t>
      </w:r>
      <w:r>
        <w:t xml:space="preserve"> </w:t>
      </w:r>
      <m:oMath>
        <m:r>
          <m:t>c</m:t>
        </m:r>
      </m:oMath>
      <w:r>
        <w:t xml:space="preserve">, multiplied the re-arrest rate to give the first arrest rate, and was bounded below at 0.5. Entry into injecting was the official annual number of new drug users by age, without scaling</w:t>
      </w:r>
      <w:r>
        <w:t xml:space="preserve"> </w:t>
      </w:r>
      <w:r>
        <w:t xml:space="preserve">[23]</w:t>
      </w:r>
      <w:r>
        <w:t xml:space="preserve">. Each model run started in model year 0 and ran for 150 years to reach equilibrium with the 2015 entry counts. The end of that period represents 2015. From 2016, entry followed the annual counts. The 2025 value was held constant to 2030.</w:t>
      </w:r>
    </w:p>
    <w:p>
      <w:pPr>
        <w:pStyle w:val="BodyText"/>
      </w:pPr>
      <w:r>
        <w:t xml:space="preserve">The prior did not depend on the data. Each log contact scale had a normal prior with mean 0 and standard deviation 1.5. The log of</w:t>
      </w:r>
      <w:r>
        <w:t xml:space="preserve"> </w:t>
      </w:r>
      <m:oMath>
        <m:r>
          <m:t>c</m:t>
        </m:r>
      </m:oMath>
      <w:r>
        <w:t xml:space="preserve"> </w:t>
      </w:r>
      <w:r>
        <w:t xml:space="preserve">had a normal prior with mean 0 and standard deviation 0.5, centred on equal first and re-arrest rates and truncated at the bounds. A multi start Nelder Mead search found the posterior mode. Parameter sets that did not reach equilibrium were excluded. We sampled the posterior with an adaptive random walk Metropolis algorithm</w:t>
      </w:r>
      <w:r>
        <w:t xml:space="preserve"> </w:t>
      </w:r>
      <w:r>
        <w:t xml:space="preserve">[24]</w:t>
      </w:r>
      <w:r>
        <w:t xml:space="preserve">. We ran four chains from independent prior draws, with 50,000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plus the excess non-liver deaths of people with viraemic infection over the non-viraemic death rate.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targets; the best fit was within 2.3 percentage points of every target, and all six 95% posterior intervals overlapped the target intervals (S1 Text, Section 2). The first arrest multiplier was 1.24 (95% interval 0.57 to 3.13). Its posterior was close to its prior (posterior standard deviation 87% of the prior’s), so seroprevalence says little about how fast people are first arrested. Because the population size was not fitted, the modelled prison population in 2015 was 8,451 (8,283–8,520), compared with 3,367 people with a known screening result in prison records. In 2015, the model estimated 50,218 (95% interval: 49,496–50,893) people with a history of injecting drugs. Of these, 2,178 (839–4,651) were in D, 5,857 (5,664–5,947) in F and 33,713 (31,476–35,073) in X.</w:t>
      </w:r>
    </w:p>
    <w:bookmarkEnd w:id="25"/>
    <w:bookmarkStart w:id="26" w:name="X6e9b2375c980d17e2d704506bc9e2f4eaedd5f0"/>
    <w:p>
      <w:pPr>
        <w:pStyle w:val="Heading2"/>
      </w:pPr>
      <w:r>
        <w:t xml:space="preserve">Prison treatment alone met the incidence target but not the mortality target</w:t>
      </w:r>
    </w:p>
    <w:p>
      <w:pPr>
        <w:pStyle w:val="FirstParagraph"/>
      </w:pPr>
      <w:r>
        <w:t xml:space="preserve">Without any treatment, new infections in 2030 were 91.5% (95% UI: 87.6%–95.3%) of the 2015 level and HCV deaths 100.6% (95% UI: 100.0%–101.8%) (Fig 2).</w:t>
      </w:r>
    </w:p>
    <w:p>
      <w:pPr>
        <w:pStyle w:val="BodyText"/>
      </w:pPr>
      <w:r>
        <w:t xml:space="preserve">Prison treatment from 2019 changed the course of new infections. By 2025 they were 32.2% (95% UI: 25.0%–46.5%) of the 2015 level. By 2030 they had fallen by 85.7% (95% UI: 70.5%–91.3%), which met the 80% target at the median and in 82% of draws. Deaths fell more slowly. By 2025 they were 58.8% (95% UI: 56.4%–61.2%) of the 2015 level. By 2030 the reduction was 54.9% (95% UI: 52.3%–57.4%), well short of the 65% target.</w:t>
      </w:r>
    </w:p>
    <w:p>
      <w:pPr>
        <w:pStyle w:val="BodyText"/>
      </w:pPr>
      <w:r>
        <w:t xml:space="preserve">The reason lies in where infection and disease sit after release. In 2026, F held 351 (95% UI: 288–452) people with chronic infection. X held 3,097 (95% UI: 2,581–3,663). X thus held 90% of chronic infections among released people. In the J only scenario, 96% of HCV deaths in 2026 occurred in F and X. By 2030 this share was 96%. People in X do not inject and do not transmit. Prison treatment does not reach them after release.</w:t>
      </w:r>
    </w:p>
    <w:bookmarkEnd w:id="26"/>
    <w:bookmarkStart w:id="27" w:name="Xcebb86a31b54e6c7c20ababdc44544b0139066d"/>
    <w:p>
      <w:pPr>
        <w:pStyle w:val="Heading2"/>
      </w:pPr>
      <w:r>
        <w:t xml:space="preserve">Community screening can meet both targets</w:t>
      </w:r>
    </w:p>
    <w:p>
      <w:pPr>
        <w:pStyle w:val="FirstParagraph"/>
      </w:pPr>
      <w:r>
        <w:t xml:space="preserve">Adding community screening increased both reductions (Table 1). Every scenario met the incidence target at the median, including 600 tests a year (86.8% (95% UI: 72.0%–92.0%) with 25% to F; target met in 86% of draws). Screening everyone eligible in F and X every year gave 99.1% (95% UI: 86.7%–100.0%). In that ideal reference, 26% of the remaining new infections in 2030 occurred in D, among people who inject but have never been imprisoned.</w:t>
      </w:r>
    </w:p>
    <w:p>
      <w:pPr>
        <w:pStyle w:val="BodyText"/>
      </w:pPr>
      <w:r>
        <w:t xml:space="preserve">The mortality target was met at the median in 4 of 15 scenarios: 5,000 or 8,000 tests a year with 25% or 50% to F. Three of them met both targets in most draws: 5,000 tests a year with 25% to F (97%), 8,000 with 25% (98%) and 8,000 with 50% (100%). At 5,000 tests a year with 50% to F the median reduction was 65.2% (95% UI: 63.0%–67.4%), just above the target, and both targets were met in only 57% of draws. With 75% to F the target was missed at both capacities (61.1% and 63.8%). Screening everyone eligible in F and X every year reduced mortality by 87.1% (95% UI: 85.7%–88.0%). At 600 tests a year, the planned size of the current community programme, the mortality reduction was at most 56.8%,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More screening for X gave a larger fall in deaths, at every capacity.</w:t>
      </w:r>
    </w:p>
    <w:p>
      <w:pPr>
        <w:pStyle w:val="BodyText"/>
      </w:pPr>
      <w:r>
        <w:t xml:space="preserve">The two groups differ in where chronic infection is. In 2026 about 5,600 people in F were eligible for screening, of whom 6% had chronic infection. In X, 9% of those eligible did. A test given to X therefore found more people to treat. At 8,000 tests a year, the mortality reduction fell from 74.1% (95% UI: 72.4%–75.7%) with 25% to F to 63.8% (95% UI: 61.4%–66.2%) with 75% to F, while the incidence reduction rose from 95.7% to 99.1%. With 75% to F at this capacity, 92% of the F quota was used. At 2,000 tests a year, moving from 25% to 75% for F raised the incidence reduction from 89.2% to 94.2% and lowered the mortality reduction from 61.1% to 57.8%. Because every scenario already met the incidence target, the mortality target is the binding one, and it favours X: at 5,000 and 8,000 tests a year, only the splits with 25% or 50% to F met it.</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153 (95% UI: 127–190) at 600 tests a year with 75% to F, to 2,086 (95% UI: 1,751–2,465) at 8,000 tests a year with 25% to F (Table 1). Starts were highest in 2026 and fell each year as the stock of chronic infection was treated. The cheapest scenario that met both targets in most draws, 5,000 tests a year with 25% to F, cost S$80.8 million (95% UI: S$67.1 million–S$98.3 million) over five years; drugs made up 95% of it. Compared with prison treatment alone, each extra percentage point of mortality reduction cost about S$3.7 million in that scenario. Single round neural posterior estimation gave policy medians within 0.3% of these values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85.7% (95% UI: 70.5%–91.3%)</w:t>
            </w:r>
          </w:p>
        </w:tc>
        <w:tc>
          <w:tcPr/>
          <w:p>
            <w:pPr>
              <w:pStyle w:val="Compact"/>
            </w:pPr>
            <w:r>
              <w:t xml:space="preserve">54.9% (95% UI: 52.3%–57.4%)</w:t>
            </w:r>
          </w:p>
        </w:tc>
        <w:tc>
          <w:tcPr/>
          <w:p>
            <w:pPr>
              <w:pStyle w:val="Compact"/>
            </w:pPr>
            <w:r>
              <w:t xml:space="preserve">0%</w:t>
            </w:r>
          </w:p>
        </w:tc>
        <w:tc>
          <w:tcPr/>
          <w:p>
            <w:pPr>
              <w:pStyle w:val="Compact"/>
            </w:pPr>
            <w:r>
              <w:t xml:space="preserve">0</w:t>
            </w:r>
          </w:p>
        </w:tc>
        <w:tc>
          <w:tcPr/>
          <w:p>
            <w:pPr>
              <w:pStyle w:val="Compact"/>
            </w:pPr>
            <w:r>
              <w:t xml:space="preserve">29.3 (95% UI: 22.2–43.4)</w:t>
            </w:r>
          </w:p>
        </w:tc>
      </w:tr>
      <w:tr>
        <w:tc>
          <w:tcPr/>
          <w:p>
            <w:pPr>
              <w:pStyle w:val="Compact"/>
            </w:pPr>
            <w:r>
              <w:t xml:space="preserve">J + 600/year, F 50%</w:t>
            </w:r>
          </w:p>
        </w:tc>
        <w:tc>
          <w:tcPr/>
          <w:p>
            <w:pPr>
              <w:pStyle w:val="Compact"/>
            </w:pPr>
            <w:r>
              <w:t xml:space="preserve">87.9% (95% UI: 73.2%–92.8%)</w:t>
            </w:r>
          </w:p>
        </w:tc>
        <w:tc>
          <w:tcPr/>
          <w:p>
            <w:pPr>
              <w:pStyle w:val="Compact"/>
            </w:pPr>
            <w:r>
              <w:t xml:space="preserve">56.4% (95% UI: 53.8%–58.9%)</w:t>
            </w:r>
          </w:p>
        </w:tc>
        <w:tc>
          <w:tcPr/>
          <w:p>
            <w:pPr>
              <w:pStyle w:val="Compact"/>
            </w:pPr>
            <w:r>
              <w:t xml:space="preserve">0%</w:t>
            </w:r>
          </w:p>
        </w:tc>
        <w:tc>
          <w:tcPr/>
          <w:p>
            <w:pPr>
              <w:pStyle w:val="Compact"/>
            </w:pPr>
            <w:r>
              <w:t xml:space="preserve">184 (95% UI: 155–221)</w:t>
            </w:r>
          </w:p>
        </w:tc>
        <w:tc>
          <w:tcPr/>
          <w:p>
            <w:pPr>
              <w:pStyle w:val="Compact"/>
            </w:pPr>
            <w:r>
              <w:t xml:space="preserve">34.5 (95% UI: 26.9–48.9)</w:t>
            </w:r>
          </w:p>
        </w:tc>
      </w:tr>
      <w:tr>
        <w:tc>
          <w:tcPr/>
          <w:p>
            <w:pPr>
              <w:pStyle w:val="Compact"/>
            </w:pPr>
            <w:r>
              <w:t xml:space="preserve">J + 2,000/year, F 25%</w:t>
            </w:r>
          </w:p>
        </w:tc>
        <w:tc>
          <w:tcPr/>
          <w:p>
            <w:pPr>
              <w:pStyle w:val="Compact"/>
            </w:pPr>
            <w:r>
              <w:t xml:space="preserve">89.2% (95% UI: 74.7%–93.7%)</w:t>
            </w:r>
          </w:p>
        </w:tc>
        <w:tc>
          <w:tcPr/>
          <w:p>
            <w:pPr>
              <w:pStyle w:val="Compact"/>
            </w:pPr>
            <w:r>
              <w:t xml:space="preserve">61.1% (95% UI: 58.8%–63.3%)</w:t>
            </w:r>
          </w:p>
        </w:tc>
        <w:tc>
          <w:tcPr/>
          <w:p>
            <w:pPr>
              <w:pStyle w:val="Compact"/>
            </w:pPr>
            <w:r>
              <w:t xml:space="preserve">0%</w:t>
            </w:r>
          </w:p>
        </w:tc>
        <w:tc>
          <w:tcPr/>
          <w:p>
            <w:pPr>
              <w:pStyle w:val="Compact"/>
            </w:pPr>
            <w:r>
              <w:t xml:space="preserve">669 (95% UI: 560–792)</w:t>
            </w:r>
          </w:p>
        </w:tc>
        <w:tc>
          <w:tcPr/>
          <w:p>
            <w:pPr>
              <w:pStyle w:val="Compact"/>
            </w:pPr>
            <w:r>
              <w:t xml:space="preserve">52.5 (95% UI: 42.8–67.4)</w:t>
            </w:r>
          </w:p>
        </w:tc>
      </w:tr>
      <w:tr>
        <w:tc>
          <w:tcPr/>
          <w:p>
            <w:pPr>
              <w:pStyle w:val="Compact"/>
            </w:pPr>
            <w:r>
              <w:t xml:space="preserve">J + 2,000/year, F 75%</w:t>
            </w:r>
          </w:p>
        </w:tc>
        <w:tc>
          <w:tcPr/>
          <w:p>
            <w:pPr>
              <w:pStyle w:val="Compact"/>
            </w:pPr>
            <w:r>
              <w:t xml:space="preserve">94.2% (95% UI: 80.2%–97.1%)</w:t>
            </w:r>
          </w:p>
        </w:tc>
        <w:tc>
          <w:tcPr/>
          <w:p>
            <w:pPr>
              <w:pStyle w:val="Compact"/>
            </w:pPr>
            <w:r>
              <w:t xml:space="preserve">57.8% (95% UI: 55.2%–60.5%)</w:t>
            </w:r>
          </w:p>
        </w:tc>
        <w:tc>
          <w:tcPr/>
          <w:p>
            <w:pPr>
              <w:pStyle w:val="Compact"/>
            </w:pPr>
            <w:r>
              <w:t xml:space="preserve">0%</w:t>
            </w:r>
          </w:p>
        </w:tc>
        <w:tc>
          <w:tcPr/>
          <w:p>
            <w:pPr>
              <w:pStyle w:val="Compact"/>
            </w:pPr>
            <w:r>
              <w:t xml:space="preserve">442 (95% UI: 369–543)</w:t>
            </w:r>
          </w:p>
        </w:tc>
        <w:tc>
          <w:tcPr/>
          <w:p>
            <w:pPr>
              <w:pStyle w:val="Compact"/>
            </w:pPr>
            <w:r>
              <w:t xml:space="preserve">38.0 (95% UI: 30.2–53.3)</w:t>
            </w:r>
          </w:p>
        </w:tc>
      </w:tr>
      <w:tr>
        <w:tc>
          <w:tcPr/>
          <w:p>
            <w:pPr>
              <w:pStyle w:val="Compact"/>
            </w:pPr>
            <w:r>
              <w:t xml:space="preserve">J + 5,000/year, F 25%</w:t>
            </w:r>
          </w:p>
        </w:tc>
        <w:tc>
          <w:tcPr/>
          <w:p>
            <w:pPr>
              <w:pStyle w:val="Compact"/>
            </w:pPr>
            <w:r>
              <w:t xml:space="preserve">93.2% (95% UI: 79.3%–96.4%)</w:t>
            </w:r>
          </w:p>
        </w:tc>
        <w:tc>
          <w:tcPr/>
          <w:p>
            <w:pPr>
              <w:pStyle w:val="Compact"/>
            </w:pPr>
            <w:r>
              <w:t xml:space="preserve">68.5% (95% UI: 66.6%–70.4%)</w:t>
            </w:r>
          </w:p>
        </w:tc>
        <w:tc>
          <w:tcPr/>
          <w:p>
            <w:pPr>
              <w:pStyle w:val="Compact"/>
            </w:pPr>
            <w:r>
              <w:t xml:space="preserve">100%</w:t>
            </w:r>
          </w:p>
        </w:tc>
        <w:tc>
          <w:tcPr/>
          <w:p>
            <w:pPr>
              <w:pStyle w:val="Compact"/>
            </w:pPr>
            <w:r>
              <w:t xml:space="preserve">1,475 (95% UI: 1,237–1,745)</w:t>
            </w:r>
          </w:p>
        </w:tc>
        <w:tc>
          <w:tcPr/>
          <w:p>
            <w:pPr>
              <w:pStyle w:val="Compact"/>
            </w:pPr>
            <w:r>
              <w:t xml:space="preserve">80.8 (95% UI: 67.1–98.3)</w:t>
            </w:r>
          </w:p>
        </w:tc>
      </w:tr>
      <w:tr>
        <w:tc>
          <w:tcPr/>
          <w:p>
            <w:pPr>
              <w:pStyle w:val="Compact"/>
            </w:pPr>
            <w:r>
              <w:t xml:space="preserve">J + 5,000/year, F 50%</w:t>
            </w:r>
          </w:p>
        </w:tc>
        <w:tc>
          <w:tcPr/>
          <w:p>
            <w:pPr>
              <w:pStyle w:val="Compact"/>
            </w:pPr>
            <w:r>
              <w:t xml:space="preserve">96.9% (95% UI: 83.2%–98.8%)</w:t>
            </w:r>
          </w:p>
        </w:tc>
        <w:tc>
          <w:tcPr/>
          <w:p>
            <w:pPr>
              <w:pStyle w:val="Compact"/>
            </w:pPr>
            <w:r>
              <w:t xml:space="preserve">65.2% (95% UI: 63.0%–67.4%)</w:t>
            </w:r>
          </w:p>
        </w:tc>
        <w:tc>
          <w:tcPr/>
          <w:p>
            <w:pPr>
              <w:pStyle w:val="Compact"/>
            </w:pPr>
            <w:r>
              <w:t xml:space="preserve">58%</w:t>
            </w:r>
          </w:p>
        </w:tc>
        <w:tc>
          <w:tcPr/>
          <w:p>
            <w:pPr>
              <w:pStyle w:val="Compact"/>
            </w:pPr>
            <w:r>
              <w:t xml:space="preserve">1,226 (95% UI: 1,032–1,456)</w:t>
            </w:r>
          </w:p>
        </w:tc>
        <w:tc>
          <w:tcPr/>
          <w:p>
            <w:pPr>
              <w:pStyle w:val="Compact"/>
            </w:pPr>
            <w:r>
              <w:t xml:space="preserve">66.0 (95% UI: 54.4–83.0)</w:t>
            </w:r>
          </w:p>
        </w:tc>
      </w:tr>
      <w:tr>
        <w:tc>
          <w:tcPr/>
          <w:p>
            <w:pPr>
              <w:pStyle w:val="Compact"/>
            </w:pPr>
            <w:r>
              <w:t xml:space="preserve">J + 5,000/year, F 75%</w:t>
            </w:r>
          </w:p>
        </w:tc>
        <w:tc>
          <w:tcPr/>
          <w:p>
            <w:pPr>
              <w:pStyle w:val="Compact"/>
            </w:pPr>
            <w:r>
              <w:t xml:space="preserve">98.5% (95% UI: 85.3%–99.7%)</w:t>
            </w:r>
          </w:p>
        </w:tc>
        <w:tc>
          <w:tcPr/>
          <w:p>
            <w:pPr>
              <w:pStyle w:val="Compact"/>
            </w:pPr>
            <w:r>
              <w:t xml:space="preserve">61.1% (95% UI: 58.5%–63.7%)</w:t>
            </w:r>
          </w:p>
        </w:tc>
        <w:tc>
          <w:tcPr/>
          <w:p>
            <w:pPr>
              <w:pStyle w:val="Compact"/>
            </w:pPr>
            <w:r>
              <w:t xml:space="preserve">0%</w:t>
            </w:r>
          </w:p>
        </w:tc>
        <w:tc>
          <w:tcPr/>
          <w:p>
            <w:pPr>
              <w:pStyle w:val="Compact"/>
            </w:pPr>
            <w:r>
              <w:t xml:space="preserve">867 (95% UI: 729–1,042)</w:t>
            </w:r>
          </w:p>
        </w:tc>
        <w:tc>
          <w:tcPr/>
          <w:p>
            <w:pPr>
              <w:pStyle w:val="Compact"/>
            </w:pPr>
            <w:r>
              <w:t xml:space="preserve">48.7 (95% UI: 39.8–65.5)</w:t>
            </w:r>
          </w:p>
        </w:tc>
      </w:tr>
      <w:tr>
        <w:tc>
          <w:tcPr/>
          <w:p>
            <w:pPr>
              <w:pStyle w:val="Compact"/>
            </w:pPr>
            <w:r>
              <w:t xml:space="preserve">J + 8,000/year, F 25%</w:t>
            </w:r>
          </w:p>
        </w:tc>
        <w:tc>
          <w:tcPr/>
          <w:p>
            <w:pPr>
              <w:pStyle w:val="Compact"/>
            </w:pPr>
            <w:r>
              <w:t xml:space="preserve">95.7% (95% UI: 81.9%–98.1%)</w:t>
            </w:r>
          </w:p>
        </w:tc>
        <w:tc>
          <w:tcPr/>
          <w:p>
            <w:pPr>
              <w:pStyle w:val="Compact"/>
            </w:pPr>
            <w:r>
              <w:t xml:space="preserve">74.1% (95% UI: 72.4%–75.7%)</w:t>
            </w:r>
          </w:p>
        </w:tc>
        <w:tc>
          <w:tcPr/>
          <w:p>
            <w:pPr>
              <w:pStyle w:val="Compact"/>
            </w:pPr>
            <w:r>
              <w:t xml:space="preserve">100%</w:t>
            </w:r>
          </w:p>
        </w:tc>
        <w:tc>
          <w:tcPr/>
          <w:p>
            <w:pPr>
              <w:pStyle w:val="Compact"/>
            </w:pPr>
            <w:r>
              <w:t xml:space="preserve">2,086 (95% UI: 1,751–2,465)</w:t>
            </w:r>
          </w:p>
        </w:tc>
        <w:tc>
          <w:tcPr/>
          <w:p>
            <w:pPr>
              <w:pStyle w:val="Compact"/>
            </w:pPr>
            <w:r>
              <w:t xml:space="preserve">102.6 (95% UI: 86.1–122.6)</w:t>
            </w:r>
          </w:p>
        </w:tc>
      </w:tr>
      <w:tr>
        <w:tc>
          <w:tcPr/>
          <w:p>
            <w:pPr>
              <w:pStyle w:val="Compact"/>
            </w:pPr>
            <w:r>
              <w:t xml:space="preserve">J + 8,000/year, F 50%</w:t>
            </w:r>
          </w:p>
        </w:tc>
        <w:tc>
          <w:tcPr/>
          <w:p>
            <w:pPr>
              <w:pStyle w:val="Compact"/>
            </w:pPr>
            <w:r>
              <w:t xml:space="preserve">98.6% (95% UI: 85.6%–99.8%)</w:t>
            </w:r>
          </w:p>
        </w:tc>
        <w:tc>
          <w:tcPr/>
          <w:p>
            <w:pPr>
              <w:pStyle w:val="Compact"/>
            </w:pPr>
            <w:r>
              <w:t xml:space="preserve">69.7% (95% UI: 67.7%–71.7%)</w:t>
            </w:r>
          </w:p>
        </w:tc>
        <w:tc>
          <w:tcPr/>
          <w:p>
            <w:pPr>
              <w:pStyle w:val="Compact"/>
            </w:pPr>
            <w:r>
              <w:t xml:space="preserve">100%</w:t>
            </w:r>
          </w:p>
        </w:tc>
        <w:tc>
          <w:tcPr/>
          <w:p>
            <w:pPr>
              <w:pStyle w:val="Compact"/>
            </w:pPr>
            <w:r>
              <w:t xml:space="preserve">1,720 (95% UI: 1,453–2,035)</w:t>
            </w:r>
          </w:p>
        </w:tc>
        <w:tc>
          <w:tcPr/>
          <w:p>
            <w:pPr>
              <w:pStyle w:val="Compact"/>
            </w:pPr>
            <w:r>
              <w:t xml:space="preserve">82.9 (95% UI: 69.1–102.0)</w:t>
            </w:r>
          </w:p>
        </w:tc>
      </w:tr>
      <w:tr>
        <w:tc>
          <w:tcPr/>
          <w:p>
            <w:pPr>
              <w:pStyle w:val="Compact"/>
            </w:pPr>
            <w:r>
              <w:t xml:space="preserve">J + 8,000/year, F 75%</w:t>
            </w:r>
          </w:p>
        </w:tc>
        <w:tc>
          <w:tcPr/>
          <w:p>
            <w:pPr>
              <w:pStyle w:val="Compact"/>
            </w:pPr>
            <w:r>
              <w:t xml:space="preserve">99.1% (95% UI: 86.7%–100.0%)</w:t>
            </w:r>
          </w:p>
        </w:tc>
        <w:tc>
          <w:tcPr/>
          <w:p>
            <w:pPr>
              <w:pStyle w:val="Compact"/>
            </w:pPr>
            <w:r>
              <w:t xml:space="preserve">63.8% (95% UI: 61.4%–66.2%)</w:t>
            </w:r>
          </w:p>
        </w:tc>
        <w:tc>
          <w:tcPr/>
          <w:p>
            <w:pPr>
              <w:pStyle w:val="Compact"/>
            </w:pPr>
            <w:r>
              <w:t xml:space="preserve">17%</w:t>
            </w:r>
          </w:p>
        </w:tc>
        <w:tc>
          <w:tcPr/>
          <w:p>
            <w:pPr>
              <w:pStyle w:val="Compact"/>
            </w:pPr>
            <w:r>
              <w:t xml:space="preserve">1,162 (95% UI: 980–1,374)</w:t>
            </w:r>
          </w:p>
        </w:tc>
        <w:tc>
          <w:tcPr/>
          <w:p>
            <w:pPr>
              <w:pStyle w:val="Compact"/>
            </w:pPr>
            <w:r>
              <w:t xml:space="preserve">59.0 (95% UI: 48.8–76.7)</w:t>
            </w:r>
          </w:p>
        </w:tc>
      </w:tr>
      <w:tr>
        <w:tc>
          <w:tcPr/>
          <w:p>
            <w:pPr>
              <w:pStyle w:val="Compact"/>
            </w:pPr>
            <w:r>
              <w:t xml:space="preserve">J + no screening cap</w:t>
            </w:r>
          </w:p>
        </w:tc>
        <w:tc>
          <w:tcPr/>
          <w:p>
            <w:pPr>
              <w:pStyle w:val="Compact"/>
            </w:pPr>
            <w:r>
              <w:t xml:space="preserve">99.1% (95% UI: 86.7%–100.0%)</w:t>
            </w:r>
          </w:p>
        </w:tc>
        <w:tc>
          <w:tcPr/>
          <w:p>
            <w:pPr>
              <w:pStyle w:val="Compact"/>
            </w:pPr>
            <w:r>
              <w:t xml:space="preserve">87.1% (95% UI: 85.7%–88.0%)</w:t>
            </w:r>
          </w:p>
        </w:tc>
        <w:tc>
          <w:tcPr/>
          <w:p>
            <w:pPr>
              <w:pStyle w:val="Compact"/>
            </w:pPr>
            <w:r>
              <w:t xml:space="preserve">100%</w:t>
            </w:r>
          </w:p>
        </w:tc>
        <w:tc>
          <w:tcPr/>
          <w:p>
            <w:pPr>
              <w:pStyle w:val="Compact"/>
            </w:pPr>
            <w:r>
              <w:t xml:space="preserve">3,749 (95% UI: 3,164–4,395)</w:t>
            </w:r>
          </w:p>
        </w:tc>
        <w:tc>
          <w:tcPr/>
          <w:p>
            <w:pPr>
              <w:pStyle w:val="Compact"/>
            </w:pPr>
            <w:r>
              <w:t xml:space="preserve">178.0 (95% UI: 152.1–206.7)</w:t>
            </w:r>
          </w:p>
        </w:tc>
      </w:tr>
    </w:tbl>
    <w:p>
      <w:pPr>
        <w:pStyle w:val="BodyText"/>
      </w:pPr>
      <w:r>
        <w:t xml:space="preserve">Reductions compare 2030 with 2015. Values are medians (95% UI) across 2,000 posterior draws. Targets are at least 80% for incidence and at least 65% for mortality. Every scenario met the incidence target at the median; the mortality target was met at 5,000 or 8,000 tests a year with 25% or 50% to F.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86% and HCV deaths by 55% by 2030. This met the incidence target but not the mortality target. By 2026, nearly all chronic infections and HCV deaths among released people were in those who had stopped injecting. Community screening of 5,000 tests a year or more met the mortality target, but only when most tests went to released people who had stopped injecting.</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In this model people who inject are first arrested at about the rate at which released people are re-arrested, so prison reaches most of the network; even with screening of everyone eligible after release, 26% of the remaining infections in 2030 occurred in people never imprisoned. The first arrest rate is the weakest part of this result. Seroprevalence barely informs it, and its posterior follows its prior. A slower first arrest would leave more infections out of reach of prison. Deaths follow a different path. They arise from cirrhosis and liver cancer that built up over many years. Most of this burden sits in people who stopped injecting long ago. They do not transmit and are not reached by prison treatment after release.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In this model it improved incidence, which was already on target, at the cost of deaths, which were not. People in X held most chronic infection, so tests given to them found more people to treat. Planners should therefore direct most community screening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cheapest robust scenario, 5,000 tests a year, is 8 times the planned capacity of the current community programme</w:t>
      </w:r>
      <w:r>
        <w:t xml:space="preserve"> </w:t>
      </w:r>
      <w:r>
        <w:t xml:space="preserve">[11]</w:t>
      </w:r>
      <w:r>
        <w:t xml:space="preserve">.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modelled screening capacity explicitly, so treatment depends on how many people are found. We separated released people by injecting status, which earlier work did not do</w:t>
      </w:r>
      <w:r>
        <w:t xml:space="preserve"> </w:t>
      </w:r>
      <w:r>
        <w:t xml:space="preserve">[5]</w:t>
      </w:r>
      <w:r>
        <w:t xml:space="preserve">. Mortality outside the liver depended on each person’s infection status, using mortality ratios for people who use drugs</w:t>
      </w:r>
      <w:r>
        <w:t xml:space="preserve"> </w:t>
      </w:r>
      <w:r>
        <w:t xml:space="preserve">[22]</w:t>
      </w:r>
      <w:r>
        <w:t xml:space="preserve">, so the share of deaths from viraemic people changed as treatment progressed.</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only to one year of prison seroprevalence. We did not fit the size of the prison population, and the model’s 2015 prison population (8,451 (8,283–8,520)) was much larger than the 3,367 people with a known screening result in prison records. Absolute numbers of infections, deaths and treatments are therefore uncertain beyond what the UIs show; the reductions relative to 2015 are less affected. We did not fit observed treatment numbers after 2019. Third, we assumed perfect linkage from screening to treatment and no loss to follow up. Fourth, people in X cannot be reinfected or return to injecting. Some do relapse, which would add transmission. Fifth, the first arrest rate is set largely by its prior. Entry into injecting uses counts of new drug users from law enforcement, without scaling, as a proxy. Sixth, the mortality ratios come from an Amsterdam cohort grouped by antibody status rather than viraemia</w:t>
      </w:r>
      <w:r>
        <w:t xml:space="preserve"> </w:t>
      </w:r>
      <w:r>
        <w:t xml:space="preserve">[22]</w:t>
      </w:r>
      <w:r>
        <w:t xml:space="preserve">. HCV deaths include the excess non-liver deaths of viraemic people, which cure removes in the model; if part of that excess reflects other risks of people who use drugs, the mortality benefit of treatment is overstated. Seventh, costs use list prices and an older drug price. Actual payer costs are not public. Eighth, our uncertainty intervals cover model parameters only.</w:t>
      </w:r>
    </w:p>
    <w:p>
      <w:pPr>
        <w:pStyle w:val="BodyText"/>
      </w:pPr>
      <w:r>
        <w:t xml:space="preserve">In conclusion, prison treatment has done much to reduce HCV among people who inject drugs in Singapore. In this model it meets the WHO incidence target by 2030 but not the mortality target. Community screening after release can meet both targets at about 5,000 tests a year, if most tests go to people who have stopped injecting, but that is far larger than current plans.</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liver deaths and the excess non-liver deaths of viraemic people. Lines show medians and shaded bands show 95% UIs across 2,000 posterior draws. Dashed horizontal lines show the WHO targets of 20% and 35% of the 2015 level. Dotted vertical lines mark 2019 and 2026.</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vansanten2014"/>
    <w:p>
      <w:pPr>
        <w:pStyle w:val="Bibliography"/>
      </w:pPr>
      <w:r>
        <w:t xml:space="preserve">22.</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88">
        <w:r>
          <w:rPr>
            <w:rStyle w:val="Hyperlink"/>
          </w:rPr>
          <w:t xml:space="preserve">10.1097/QAD.0000000000000450</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2026-10-22T09:07:40Z</dcterms:created>
  <dcterms:modified xsi:type="dcterms:W3CDTF">2026-10-22T09:07:40Z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