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43.png" ContentType="image/png"/>
  <Override PartName="/word/media/rId46.png" ContentType="image/png"/>
  <Override PartName="/word/media/rId33.png" ContentType="image/png"/>
  <Override PartName="/word/media/rId30.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Prison treatment and community screening to reduce hepatitis C infections and deaths among people who inject drugs in Singapore: A modelling study</w:t>
      </w:r>
    </w:p>
    <w:p>
      <w:pPr>
        <w:pStyle w:val="FirstParagraph"/>
      </w:pPr>
      <w:r>
        <w:t xml:space="preserve">This document is S1 Text. It gives the technical details behind the main text. Section 1 describes the model. Section 2 covers data and calibration. Section 3 defines the scenarios and costs. Section 4 reports full results. Section 5 describes the uncertainty analysis and software. Section 6 lists further limitations. Section 7 is the CHEERS 2022 checklist.</w:t>
      </w:r>
    </w:p>
    <w:bookmarkStart w:id="14" w:name="model-structure"/>
    <w:p>
      <w:pPr>
        <w:pStyle w:val="Heading1"/>
      </w:pPr>
      <w:r>
        <w:t xml:space="preserve">1. Model structure</w:t>
      </w:r>
    </w:p>
    <w:bookmarkStart w:id="9" w:name="population-groups-and-states"/>
    <w:p>
      <w:pPr>
        <w:pStyle w:val="Heading2"/>
      </w:pPr>
      <w:r>
        <w:t xml:space="preserve">1.1 Population groups and states</w:t>
      </w:r>
    </w:p>
    <w:p>
      <w:pPr>
        <w:pStyle w:val="FirstParagraph"/>
      </w:pPr>
      <w:r>
        <w:t xml:space="preserve">The model is a deterministic system of ordinary differential equations. It has 480 compartments. These come from 4 population groups, 4 liver stages, 5 HCV states and 6 age groups.</w:t>
      </w:r>
    </w:p>
    <w:p>
      <w:pPr>
        <w:pStyle w:val="Compact"/>
        <w:numPr>
          <w:ilvl w:val="0"/>
          <w:numId w:val="1001"/>
        </w:numPr>
      </w:pPr>
      <w:r>
        <w:rPr>
          <w:b/>
          <w:bCs/>
        </w:rPr>
        <w:t xml:space="preserve">Population groups.</w:t>
      </w:r>
      <w:r>
        <w:t xml:space="preserve"> </w:t>
      </w:r>
      <w:r>
        <w:t xml:space="preserve">D: active PWID never imprisoned. J: people in prison. F: people released from prison who still inject. X: people released from prison who have stopped injecting.</w:t>
      </w:r>
    </w:p>
    <w:p>
      <w:pPr>
        <w:pStyle w:val="Compact"/>
        <w:numPr>
          <w:ilvl w:val="0"/>
          <w:numId w:val="1001"/>
        </w:numPr>
      </w:pPr>
      <w:r>
        <w:rPr>
          <w:b/>
          <w:bCs/>
        </w:rPr>
        <w:t xml:space="preserve">Liver stages.</w:t>
      </w:r>
      <w:r>
        <w:t xml:space="preserve"> </w:t>
      </w:r>
      <w:r>
        <w:t xml:space="preserve">Stage 1: no cirrhosis. Stage 2: compensated cirrhosis. Stage 3: decompensated cirrhosis. Stage 4: hepatocellular carcinoma.</w:t>
      </w:r>
    </w:p>
    <w:p>
      <w:pPr>
        <w:pStyle w:val="Compact"/>
        <w:numPr>
          <w:ilvl w:val="0"/>
          <w:numId w:val="1001"/>
        </w:numPr>
      </w:pPr>
      <w:r>
        <w:rPr>
          <w:b/>
          <w:bCs/>
        </w:rPr>
        <w:t xml:space="preserve">HCV states.</w:t>
      </w:r>
      <w:r>
        <w:t xml:space="preserve"> </w:t>
      </w:r>
      <w:r>
        <w:t xml:space="preserve">u: susceptible. a: acute infection. c: chronic infection. t: on treatment. r: recovered after spontaneous clearance or cure.</w:t>
      </w:r>
    </w:p>
    <w:p>
      <w:pPr>
        <w:pStyle w:val="Compact"/>
        <w:numPr>
          <w:ilvl w:val="0"/>
          <w:numId w:val="1001"/>
        </w:numPr>
      </w:pPr>
      <w:r>
        <w:rPr>
          <w:b/>
          <w:bCs/>
        </w:rPr>
        <w:t xml:space="preserve">Age groups.</w:t>
      </w:r>
      <w:r>
        <w:t xml:space="preserve"> </w:t>
      </w:r>
      <w:r>
        <w:t xml:space="preserve">&lt;20, 20–29, 30–39, 40–49, 50–59 and 60+ years.</w:t>
      </w:r>
    </w:p>
    <w:p>
      <w:pPr>
        <w:pStyle w:val="FirstParagraph"/>
      </w:pPr>
      <w:r>
        <w:t xml:space="preserve">People enter D in the susceptible state and stage 1 at an age specific rate</w:t>
      </w:r>
      <w:r>
        <w:t xml:space="preserve"> </w:t>
      </w:r>
      <m:oMath>
        <m:sSub>
          <m:e>
            <m:r>
              <m:t>β</m:t>
            </m:r>
          </m:e>
          <m:sub>
            <m:r>
              <m:t>i</m:t>
            </m:r>
          </m:sub>
        </m:sSub>
        <m:r>
          <m:rPr>
            <m:sty m:val="p"/>
          </m:rPr>
          <m:t>(</m:t>
        </m:r>
        <m:r>
          <m:t>t</m:t>
        </m:r>
        <m:r>
          <m:rPr>
            <m:sty m:val="p"/>
          </m:rPr>
          <m:t>)</m:t>
        </m:r>
      </m:oMath>
      <w:r>
        <w:t xml:space="preserve">. People in D move to J at the first arrest rate</w:t>
      </w:r>
      <w:r>
        <w:t xml:space="preserve"> </w:t>
      </w:r>
      <m:oMath>
        <m:sSubSup>
          <m:e>
            <m:r>
              <m:t>λ</m:t>
            </m:r>
          </m:e>
          <m:sub>
            <m:r>
              <m:t>i</m:t>
            </m:r>
          </m:sub>
          <m:sup>
            <m:r>
              <m:rPr>
                <m:sty m:val="p"/>
              </m:rPr>
              <m:t>(</m:t>
            </m:r>
            <m:r>
              <m:t>1</m:t>
            </m:r>
            <m:r>
              <m:rPr>
                <m:sty m:val="p"/>
              </m:rPr>
              <m:t>)</m:t>
            </m:r>
          </m:sup>
        </m:sSubSup>
      </m:oMath>
      <w:r>
        <w:t xml:space="preserve">. People in J are released at rate</w:t>
      </w:r>
      <w:r>
        <w:t xml:space="preserve"> </w:t>
      </w:r>
      <m:oMath>
        <m:sSubSup>
          <m:e>
            <m:r>
              <m:t>λ</m:t>
            </m:r>
          </m:e>
          <m:sub>
            <m:r>
              <m:t>i</m:t>
            </m:r>
          </m:sub>
          <m:sup>
            <m:r>
              <m:rPr>
                <m:sty m:val="p"/>
              </m:rPr>
              <m:t>(</m:t>
            </m:r>
            <m:r>
              <m:t>2</m:t>
            </m:r>
            <m:r>
              <m:rPr>
                <m:sty m:val="p"/>
              </m:rPr>
              <m:t>)</m:t>
            </m:r>
          </m:sup>
        </m:sSubSup>
      </m:oMath>
      <w:r>
        <w:t xml:space="preserve">. A share</w:t>
      </w:r>
      <w:r>
        <w:t xml:space="preserve"> </w:t>
      </w:r>
      <m:oMath>
        <m:r>
          <m:t>π</m:t>
        </m:r>
        <m:r>
          <m:rPr>
            <m:sty m:val="p"/>
          </m:rPr>
          <m:t>=</m:t>
        </m:r>
        <m:r>
          <m:t>0.59</m:t>
        </m:r>
      </m:oMath>
      <w:r>
        <w:t xml:space="preserve"> </w:t>
      </w:r>
      <w:r>
        <w:t xml:space="preserve">return to injecting and enter F. The rest enter X. People in F return to J at the re-arrest rate</w:t>
      </w:r>
      <w:r>
        <w:t xml:space="preserve"> </w:t>
      </w:r>
      <m:oMath>
        <m:sSubSup>
          <m:e>
            <m:r>
              <m:t>λ</m:t>
            </m:r>
          </m:e>
          <m:sub>
            <m:r>
              <m:t>i</m:t>
            </m:r>
          </m:sub>
          <m:sup>
            <m:r>
              <m:rPr>
                <m:sty m:val="p"/>
              </m:rPr>
              <m:t>(</m:t>
            </m:r>
            <m:r>
              <m:t>3</m:t>
            </m:r>
            <m:r>
              <m:rPr>
                <m:sty m:val="p"/>
              </m:rPr>
              <m:t>)</m:t>
            </m:r>
          </m:sup>
        </m:sSubSup>
      </m:oMath>
      <w:r>
        <w:t xml:space="preserve">. Arrest and release rates are fixed inputs based on Singapore Prison Service records. People in X stay in X.</w:t>
      </w:r>
    </w:p>
    <w:bookmarkEnd w:id="9"/>
    <w:bookmarkStart w:id="10" w:name="transmission"/>
    <w:p>
      <w:pPr>
        <w:pStyle w:val="Heading2"/>
      </w:pPr>
      <w:r>
        <w:t xml:space="preserve">1.2 Transmission</w:t>
      </w:r>
    </w:p>
    <w:p>
      <w:pPr>
        <w:pStyle w:val="FirstParagraph"/>
      </w:pPr>
      <w:r>
        <w:t xml:space="preserve">Transmission occurs only in D and F. The force of infection on age group</w:t>
      </w:r>
      <w:r>
        <w:t xml:space="preserve"> </w:t>
      </w:r>
      <m:oMath>
        <m:r>
          <m:t>i</m:t>
        </m:r>
      </m:oMath>
      <w:r>
        <w:t xml:space="preserve"> </w:t>
      </w:r>
      <w:r>
        <w:t xml:space="preserve">is</w:t>
      </w:r>
    </w:p>
    <w:p>
      <w:pPr>
        <w:pStyle w:val="BodyText"/>
      </w:pPr>
      <m:oMathPara>
        <m:oMathParaPr>
          <m:jc m:val="center"/>
        </m:oMathParaPr>
        <m:oMath>
          <m:sSub>
            <m:e>
              <m:r>
                <m:t>γ</m:t>
              </m:r>
            </m:e>
            <m:sub>
              <m:r>
                <m:t>i</m:t>
              </m:r>
            </m:sub>
          </m:sSub>
          <m:r>
            <m:rPr>
              <m:sty m:val="p"/>
            </m:rPr>
            <m:t>(</m:t>
          </m:r>
          <m:r>
            <m:t>t</m:t>
          </m:r>
          <m:r>
            <m:rPr>
              <m:sty m:val="p"/>
            </m:rPr>
            <m:t>)</m:t>
          </m:r>
          <m:r>
            <m:rPr>
              <m:sty m:val="p"/>
            </m:rPr>
            <m:t>=</m:t>
          </m:r>
          <m:r>
            <m:t>q</m:t>
          </m:r>
          <m:r>
            <m:t> </m:t>
          </m:r>
          <m:r>
            <m:t>m</m:t>
          </m:r>
          <m:r>
            <m:rPr>
              <m:sty m:val="p"/>
            </m:rPr>
            <m:t>(</m:t>
          </m:r>
          <m:r>
            <m:t>t</m:t>
          </m:r>
          <m:r>
            <m:rPr>
              <m:sty m:val="p"/>
            </m:rPr>
            <m:t>)</m:t>
          </m:r>
          <m:nary>
            <m:naryPr>
              <m:chr m:val="∑"/>
              <m:limLoc m:val="undOvr"/>
              <m:subHide m:val="off"/>
              <m:supHide m:val="on"/>
            </m:naryPr>
            <m:sub>
              <m:r>
                <m:t>j</m:t>
              </m:r>
            </m:sub>
            <m:sup>
              <m:r>
                <m:t>​</m:t>
              </m:r>
            </m:sup>
            <m:e>
              <m:sSub>
                <m:e>
                  <m:r>
                    <m:t>C</m:t>
                  </m:r>
                </m:e>
                <m:sub>
                  <m:r>
                    <m:t>i</m:t>
                  </m:r>
                  <m:r>
                    <m:t>j</m:t>
                  </m:r>
                </m:sub>
              </m:sSub>
            </m:e>
          </m:nary>
          <m:f>
            <m:fPr>
              <m:type m:val="bar"/>
            </m:fPr>
            <m:num>
              <m:sSub>
                <m:e>
                  <m:r>
                    <m:t>I</m:t>
                  </m:r>
                </m:e>
                <m:sub>
                  <m:r>
                    <m:t>j</m:t>
                  </m:r>
                </m:sub>
              </m:sSub>
              <m:r>
                <m:rPr>
                  <m:sty m:val="p"/>
                </m:rPr>
                <m:t>(</m:t>
              </m:r>
              <m:r>
                <m:t>t</m:t>
              </m:r>
              <m:r>
                <m:rPr>
                  <m:sty m:val="p"/>
                </m:rPr>
                <m:t>)</m:t>
              </m:r>
            </m:num>
            <m:den>
              <m:sSub>
                <m:e>
                  <m:r>
                    <m:t>N</m:t>
                  </m:r>
                </m:e>
                <m:sub>
                  <m:r>
                    <m:t>j</m:t>
                  </m:r>
                </m:sub>
              </m:sSub>
              <m:r>
                <m:rPr>
                  <m:sty m:val="p"/>
                </m:rPr>
                <m:t>(</m:t>
              </m:r>
              <m:r>
                <m:t>t</m:t>
              </m:r>
              <m:r>
                <m:rPr>
                  <m:sty m:val="p"/>
                </m:rPr>
                <m:t>)</m:t>
              </m:r>
            </m:den>
          </m:f>
        </m:oMath>
      </m:oMathPara>
    </w:p>
    <w:p>
      <w:pPr>
        <w:pStyle w:val="FirstParagraph"/>
      </w:pPr>
      <w:r>
        <w:t xml:space="preserve">where</w:t>
      </w:r>
      <w:r>
        <w:t xml:space="preserve"> </w:t>
      </w:r>
      <m:oMath>
        <m:r>
          <m:t>q</m:t>
        </m:r>
      </m:oMath>
      <w:r>
        <w:t xml:space="preserve"> </w:t>
      </w:r>
      <w:r>
        <w:t xml:space="preserve">is the per event transmission probability</w:t>
      </w:r>
      <w:r>
        <w:t xml:space="preserve"> </w:t>
      </w:r>
      <w:r>
        <w:t xml:space="preserve">[1]</w:t>
      </w:r>
      <w:r>
        <w:t xml:space="preserve">,</w:t>
      </w:r>
      <w:r>
        <w:t xml:space="preserve"> </w:t>
      </w:r>
      <m:oMath>
        <m:sSub>
          <m:e>
            <m:r>
              <m:t>C</m:t>
            </m:r>
          </m:e>
          <m:sub>
            <m:r>
              <m:t>i</m:t>
            </m:r>
            <m:r>
              <m:t>j</m:t>
            </m:r>
          </m:sub>
        </m:sSub>
      </m:oMath>
      <w:r>
        <w:t xml:space="preserve"> </w:t>
      </w:r>
      <w:r>
        <w:t xml:space="preserve">is the calibrated contact matrix,</w:t>
      </w:r>
      <w:r>
        <w:t xml:space="preserve"> </w:t>
      </w:r>
      <m:oMath>
        <m:sSub>
          <m:e>
            <m:r>
              <m:t>I</m:t>
            </m:r>
          </m:e>
          <m:sub>
            <m:r>
              <m:t>j</m:t>
            </m:r>
          </m:sub>
        </m:sSub>
      </m:oMath>
      <w:r>
        <w:t xml:space="preserve"> </w:t>
      </w:r>
      <w:r>
        <w:t xml:space="preserve">is the number of people in states a and c in D and F of age</w:t>
      </w:r>
      <w:r>
        <w:t xml:space="preserve"> </w:t>
      </w:r>
      <m:oMath>
        <m:r>
          <m:t>j</m:t>
        </m:r>
      </m:oMath>
      <w:r>
        <w:t xml:space="preserve">, and</w:t>
      </w:r>
      <w:r>
        <w:t xml:space="preserve"> </w:t>
      </w:r>
      <m:oMath>
        <m:sSub>
          <m:e>
            <m:r>
              <m:t>N</m:t>
            </m:r>
          </m:e>
          <m:sub>
            <m:r>
              <m:t>j</m:t>
            </m:r>
          </m:sub>
        </m:sSub>
      </m:oMath>
      <w:r>
        <w:t xml:space="preserve"> </w:t>
      </w:r>
      <w:r>
        <w:t xml:space="preserve">is the number of people in D and F of age</w:t>
      </w:r>
      <w:r>
        <w:t xml:space="preserve"> </w:t>
      </w:r>
      <m:oMath>
        <m:r>
          <m:t>j</m:t>
        </m:r>
      </m:oMath>
      <w:r>
        <w:t xml:space="preserve">. The time multiplier</w:t>
      </w:r>
      <w:r>
        <w:t xml:space="preserve"> </w:t>
      </w:r>
      <m:oMath>
        <m:r>
          <m:t>m</m:t>
        </m:r>
        <m:r>
          <m:rPr>
            <m:sty m:val="p"/>
          </m:rPr>
          <m:t>(</m:t>
        </m:r>
        <m:r>
          <m:t>t</m:t>
        </m:r>
        <m:r>
          <m:rPr>
            <m:sty m:val="p"/>
          </m:rPr>
          <m:t>)</m:t>
        </m:r>
      </m:oMath>
      <w:r>
        <w:t xml:space="preserve"> </w:t>
      </w:r>
      <w:r>
        <w:t xml:space="preserve">was fixed at 1. People on treatment are not infectious. Susceptible and recovered people in D and F are infected at rate</w:t>
      </w:r>
      <w:r>
        <w:t xml:space="preserve"> </w:t>
      </w:r>
      <m:oMath>
        <m:sSub>
          <m:e>
            <m:r>
              <m:t>γ</m:t>
            </m:r>
          </m:e>
          <m:sub>
            <m:r>
              <m:t>i</m:t>
            </m:r>
          </m:sub>
        </m:sSub>
        <m:r>
          <m:rPr>
            <m:sty m:val="p"/>
          </m:rPr>
          <m:t>(</m:t>
        </m:r>
        <m:r>
          <m:t>t</m:t>
        </m:r>
        <m:r>
          <m:rPr>
            <m:sty m:val="p"/>
          </m:rPr>
          <m:t>)</m:t>
        </m:r>
      </m:oMath>
      <w:r>
        <w:t xml:space="preserve">. People in J and X are not exposed.</w:t>
      </w:r>
    </w:p>
    <w:bookmarkEnd w:id="10"/>
    <w:bookmarkStart w:id="11" w:name="natural-history-and-treatment"/>
    <w:p>
      <w:pPr>
        <w:pStyle w:val="Heading2"/>
      </w:pPr>
      <w:r>
        <w:t xml:space="preserve">1.3 Natural history and treatment</w:t>
      </w:r>
    </w:p>
    <w:p>
      <w:pPr>
        <w:pStyle w:val="FirstParagraph"/>
      </w:pPr>
      <w:r>
        <w:t xml:space="preserve">Acute infection lasts on average</w:t>
      </w:r>
      <w:r>
        <w:t xml:space="preserve"> </w:t>
      </w:r>
      <m:oMath>
        <m:sSub>
          <m:e>
            <m:r>
              <m:t>ι</m:t>
            </m:r>
          </m:e>
          <m:sub>
            <m:r>
              <m:t>1</m:t>
            </m:r>
          </m:sub>
        </m:sSub>
        <m:r>
          <m:rPr>
            <m:sty m:val="p"/>
          </m:rPr>
          <m:t>=</m:t>
        </m:r>
        <m:r>
          <m:t>180</m:t>
        </m:r>
      </m:oMath>
      <w:r>
        <w:t xml:space="preserve"> </w:t>
      </w:r>
      <w:r>
        <w:t xml:space="preserve">days</w:t>
      </w:r>
      <w:r>
        <w:t xml:space="preserve"> </w:t>
      </w:r>
      <w:r>
        <w:t xml:space="preserve">[2,3]</w:t>
      </w:r>
      <w:r>
        <w:t xml:space="preserve">. A share</w:t>
      </w:r>
      <w:r>
        <w:t xml:space="preserve"> </w:t>
      </w:r>
      <m:oMath>
        <m:r>
          <m:t>κ</m:t>
        </m:r>
        <m:r>
          <m:rPr>
            <m:sty m:val="p"/>
          </m:rPr>
          <m:t>=</m:t>
        </m:r>
        <m:r>
          <m:t>0.26</m:t>
        </m:r>
      </m:oMath>
      <w:r>
        <w:t xml:space="preserve"> </w:t>
      </w:r>
      <w:r>
        <w:t xml:space="preserve">clears infection spontaneously</w:t>
      </w:r>
      <w:r>
        <w:t xml:space="preserve"> </w:t>
      </w:r>
      <w:r>
        <w:t xml:space="preserve">[4]</w:t>
      </w:r>
      <w:r>
        <w:t xml:space="preserve">. The rest become chronically infected. Chronic infection progresses through the four liver stages. Progression rates are weighted by genotype, with 78% genotype 3</w:t>
      </w:r>
      <w:r>
        <w:t xml:space="preserve"> </w:t>
      </w:r>
      <w:r>
        <w:t xml:space="preserve">[5]</w:t>
      </w:r>
      <w:r>
        <w:t xml:space="preserve">. Genotype 3 has higher progression rates</w:t>
      </w:r>
      <w:r>
        <w:t xml:space="preserve"> </w:t>
      </w:r>
      <w:r>
        <w:t xml:space="preserve">[6]</w:t>
      </w:r>
      <w:r>
        <w:t xml:space="preserve">. The effective rate for transition</w:t>
      </w:r>
      <w:r>
        <w:t xml:space="preserve"> </w:t>
      </w:r>
      <m:oMath>
        <m:r>
          <m:t>A</m:t>
        </m:r>
        <m:r>
          <m:rPr>
            <m:sty m:val="p"/>
          </m:rPr>
          <m:t>→</m:t>
        </m:r>
        <m:r>
          <m:t>B</m:t>
        </m:r>
      </m:oMath>
      <w:r>
        <w:t xml:space="preserve"> </w:t>
      </w:r>
      <w:r>
        <w:t xml:space="preserve">is</w:t>
      </w:r>
    </w:p>
    <w:p>
      <w:pPr>
        <w:pStyle w:val="BodyText"/>
      </w:pPr>
      <m:oMathPara>
        <m:oMathParaPr>
          <m:jc m:val="center"/>
        </m:oMathParaPr>
        <m:oMath>
          <m:sSub>
            <m:e>
              <m:acc>
                <m:accPr>
                  <m:chr m:val="̃"/>
                </m:accPr>
                <m:e>
                  <m:r>
                    <m:t>p</m:t>
                  </m:r>
                </m:e>
              </m:acc>
            </m:e>
            <m:sub>
              <m:r>
                <m:t>A</m:t>
              </m:r>
              <m:r>
                <m:rPr>
                  <m:sty m:val="p"/>
                </m:rPr>
                <m:t>→</m:t>
              </m:r>
              <m:r>
                <m:t>B</m:t>
              </m:r>
            </m:sub>
          </m:sSub>
          <m:r>
            <m:rPr>
              <m:sty m:val="p"/>
            </m:rPr>
            <m:t>=</m:t>
          </m:r>
          <m:r>
            <m:t>ρ</m:t>
          </m:r>
          <m:r>
            <m:t> </m:t>
          </m:r>
          <m:sSubSup>
            <m:e>
              <m:r>
                <m:t>r</m:t>
              </m:r>
            </m:e>
            <m:sub>
              <m:r>
                <m:t>3</m:t>
              </m:r>
            </m:sub>
            <m:sup>
              <m:r>
                <m:t>A</m:t>
              </m:r>
              <m:r>
                <m:rPr>
                  <m:sty m:val="p"/>
                </m:rPr>
                <m:t>→</m:t>
              </m:r>
              <m:r>
                <m:t>B</m:t>
              </m:r>
            </m:sup>
          </m:sSubSup>
          <m:sSup>
            <m:e>
              <m:r>
                <m:t>p</m:t>
              </m:r>
            </m:e>
            <m:sup>
              <m:r>
                <m:t>A</m:t>
              </m:r>
              <m:r>
                <m:rPr>
                  <m:sty m:val="p"/>
                </m:rPr>
                <m:t>→</m:t>
              </m:r>
              <m:r>
                <m:t>B</m:t>
              </m:r>
            </m:sup>
          </m:sSup>
          <m:r>
            <m:rPr>
              <m:sty m:val="p"/>
            </m:rPr>
            <m:t>+</m:t>
          </m:r>
          <m:r>
            <m:rPr>
              <m:sty m:val="p"/>
            </m:rPr>
            <m:t>(</m:t>
          </m:r>
          <m:r>
            <m:t>1</m:t>
          </m:r>
          <m:r>
            <m:rPr>
              <m:sty m:val="p"/>
            </m:rPr>
            <m:t>−</m:t>
          </m:r>
          <m:r>
            <m:t>ρ</m:t>
          </m:r>
          <m:r>
            <m:rPr>
              <m:sty m:val="p"/>
            </m:rPr>
            <m:t>)</m:t>
          </m:r>
          <m:r>
            <m:t> </m:t>
          </m:r>
          <m:sSup>
            <m:e>
              <m:r>
                <m:t>p</m:t>
              </m:r>
            </m:e>
            <m:sup>
              <m:r>
                <m:t>A</m:t>
              </m:r>
              <m:r>
                <m:rPr>
                  <m:sty m:val="p"/>
                </m:rPr>
                <m:t>→</m:t>
              </m:r>
              <m:r>
                <m:t>B</m:t>
              </m:r>
            </m:sup>
          </m:sSup>
          <m:r>
            <m:rPr>
              <m:sty m:val="p"/>
            </m:rPr>
            <m:t>.</m:t>
          </m:r>
        </m:oMath>
      </m:oMathPara>
    </w:p>
    <w:p>
      <w:pPr>
        <w:pStyle w:val="FirstParagraph"/>
      </w:pPr>
      <w:r>
        <w:t xml:space="preserve">Treatment is sofosbuvir and velpatasvir for</w:t>
      </w:r>
      <w:r>
        <w:t xml:space="preserve"> </w:t>
      </w:r>
      <m:oMath>
        <m:sSub>
          <m:e>
            <m:r>
              <m:t>ι</m:t>
            </m:r>
          </m:e>
          <m:sub>
            <m:r>
              <m:t>2</m:t>
            </m:r>
          </m:sub>
        </m:sSub>
        <m:r>
          <m:rPr>
            <m:sty m:val="p"/>
          </m:rPr>
          <m:t>=</m:t>
        </m:r>
        <m:r>
          <m:t>84</m:t>
        </m:r>
      </m:oMath>
      <w:r>
        <w:t xml:space="preserve"> </w:t>
      </w:r>
      <w:r>
        <w:t xml:space="preserve">days. People on treatment are cured with probability</w:t>
      </w:r>
      <w:r>
        <w:t xml:space="preserve"> </w:t>
      </w:r>
      <m:oMath>
        <m:sSub>
          <m:e>
            <m:acc>
              <m:accPr>
                <m:chr m:val="‾"/>
              </m:accPr>
              <m:e>
                <m:r>
                  <m:t>α</m:t>
                </m:r>
              </m:e>
            </m:acc>
          </m:e>
          <m:sub>
            <m:r>
              <m:t>k</m:t>
            </m:r>
          </m:sub>
        </m:sSub>
      </m:oMath>
      <w:r>
        <w:t xml:space="preserve"> </w:t>
      </w:r>
      <w:r>
        <w:t xml:space="preserve">and return to state c otherwise. In the scenarios, decompensated cirrhosis used the cure rate without ribavirin, to match the costed regimen. After cure, people in stage 1 do not progress. People in stage 2 progress at reduced rates</w:t>
      </w:r>
      <w:r>
        <w:t xml:space="preserve"> </w:t>
      </w:r>
      <w:r>
        <w:t xml:space="preserve">[7,8]</w:t>
      </w:r>
      <w:r>
        <w:t xml:space="preserve">. People in stage 3 keep the same risk of liver cancer. Treatment lowers excess mortality in stages 3 and 4 by factors</w:t>
      </w:r>
      <w:r>
        <w:t xml:space="preserve"> </w:t>
      </w:r>
      <m:oMath>
        <m:sSup>
          <m:e>
            <m:r>
              <m:t>ψ</m:t>
            </m:r>
          </m:e>
          <m:sup>
            <m:r>
              <m:t>D</m:t>
            </m:r>
            <m:r>
              <m:t>C</m:t>
            </m:r>
          </m:sup>
        </m:sSup>
      </m:oMath>
      <w:r>
        <w:t xml:space="preserve"> </w:t>
      </w:r>
      <w:r>
        <w:t xml:space="preserve">and</w:t>
      </w:r>
      <w:r>
        <w:t xml:space="preserve"> </w:t>
      </w:r>
      <m:oMath>
        <m:sSup>
          <m:e>
            <m:r>
              <m:t>ψ</m:t>
            </m:r>
          </m:e>
          <m:sup>
            <m:r>
              <m:t>H</m:t>
            </m:r>
            <m:r>
              <m:t>C</m:t>
            </m:r>
            <m:r>
              <m:t>C</m:t>
            </m:r>
          </m:sup>
        </m:sSup>
      </m:oMath>
      <w:r>
        <w:t xml:space="preserve"> </w:t>
      </w:r>
      <w:r>
        <w:t xml:space="preserve">[9,10]</w:t>
      </w:r>
      <w:r>
        <w:t xml:space="preserve">. Background mortality varies by age and is multiplied by a standardised mortality ratio for PWID</w:t>
      </w:r>
      <w:r>
        <w:t xml:space="preserve"> </w:t>
      </w:r>
      <w:r>
        <w:t xml:space="preserve">[11]</w:t>
      </w:r>
      <w:r>
        <w:t xml:space="preserve">. Excess mortality applies in stages 3 and 4</w:t>
      </w:r>
      <w:r>
        <w:t xml:space="preserve"> </w:t>
      </w:r>
      <w:r>
        <w:t xml:space="preserve">[12]</w:t>
      </w:r>
      <w:r>
        <w:t xml:space="preserve">.</w:t>
      </w:r>
    </w:p>
    <w:p>
      <w:pPr>
        <w:pStyle w:val="BodyText"/>
      </w:pPr>
      <w:r>
        <w:t xml:space="preserve">The state transitions within each group, stage and age are</w:t>
      </w:r>
    </w:p>
    <w:p>
      <w:pPr>
        <w:pStyle w:val="BodyText"/>
      </w:pPr>
      <m:oMathPara>
        <m:oMathParaPr>
          <m:jc m:val="center"/>
        </m:oMathParaPr>
        <m:oMath>
          <m:r>
            <m:t>a</m:t>
          </m:r>
          <m:limUpp>
            <m:e>
              <m:r>
                <m:rPr>
                  <m:sty m:val="p"/>
                </m:rPr>
                <m:t>→</m:t>
              </m:r>
            </m:e>
            <m:lim>
              <m:r>
                <m:t>κ</m:t>
              </m:r>
              <m:r>
                <m:rPr>
                  <m:sty m:val="p"/>
                </m:rPr>
                <m:t>/</m:t>
              </m:r>
              <m:sSub>
                <m:e>
                  <m:r>
                    <m:t>ι</m:t>
                  </m:r>
                </m:e>
                <m:sub>
                  <m:r>
                    <m:t>1</m:t>
                  </m:r>
                </m:sub>
              </m:sSub>
            </m:lim>
          </m:limUpp>
          <m:r>
            <m:t>r</m:t>
          </m:r>
          <m:r>
            <m:rPr>
              <m:sty m:val="p"/>
            </m:rPr>
            <m:t>,</m:t>
          </m:r>
          <m:r>
            <m:t> </m:t>
          </m:r>
          <m:r>
            <m:t>a</m:t>
          </m:r>
          <m:limUpp>
            <m:e>
              <m:r>
                <m:rPr>
                  <m:sty m:val="p"/>
                </m:rPr>
                <m:t>→</m:t>
              </m:r>
            </m:e>
            <m:lim>
              <m:r>
                <m:rPr>
                  <m:sty m:val="p"/>
                </m:rPr>
                <m:t>(</m:t>
              </m:r>
              <m:r>
                <m:t>1</m:t>
              </m:r>
              <m:r>
                <m:rPr>
                  <m:sty m:val="p"/>
                </m:rPr>
                <m:t>−</m:t>
              </m:r>
              <m:r>
                <m:t>κ</m:t>
              </m:r>
              <m:r>
                <m:rPr>
                  <m:sty m:val="p"/>
                </m:rPr>
                <m:t>)</m:t>
              </m:r>
              <m:r>
                <m:rPr>
                  <m:sty m:val="p"/>
                </m:rPr>
                <m:t>/</m:t>
              </m:r>
              <m:sSub>
                <m:e>
                  <m:r>
                    <m:t>ι</m:t>
                  </m:r>
                </m:e>
                <m:sub>
                  <m:r>
                    <m:t>1</m:t>
                  </m:r>
                </m:sub>
              </m:sSub>
            </m:lim>
          </m:limUpp>
          <m:r>
            <m:t>c</m:t>
          </m:r>
          <m:r>
            <m:rPr>
              <m:sty m:val="p"/>
            </m:rPr>
            <m:t>,</m:t>
          </m:r>
          <m:r>
            <m:t> </m:t>
          </m:r>
          <m:r>
            <m:t>c</m:t>
          </m:r>
          <m:limUpp>
            <m:e>
              <m:r>
                <m:rPr>
                  <m:sty m:val="p"/>
                </m:rPr>
                <m:t>→</m:t>
              </m:r>
            </m:e>
            <m:lim>
              <m:r>
                <m:t>τ</m:t>
              </m:r>
            </m:lim>
          </m:limUpp>
          <m:r>
            <m:t>t</m:t>
          </m:r>
          <m:r>
            <m:rPr>
              <m:sty m:val="p"/>
            </m:rPr>
            <m:t>,</m:t>
          </m:r>
          <m:r>
            <m:t> </m:t>
          </m:r>
          <m:r>
            <m:t>t</m:t>
          </m:r>
          <m:limUpp>
            <m:e>
              <m:r>
                <m:rPr>
                  <m:sty m:val="p"/>
                </m:rPr>
                <m:t>→</m:t>
              </m:r>
            </m:e>
            <m:lim>
              <m:acc>
                <m:accPr>
                  <m:chr m:val="‾"/>
                </m:accPr>
                <m:e>
                  <m:r>
                    <m:t>α</m:t>
                  </m:r>
                </m:e>
              </m:acc>
              <m:r>
                <m:rPr>
                  <m:sty m:val="p"/>
                </m:rPr>
                <m:t>/</m:t>
              </m:r>
              <m:sSub>
                <m:e>
                  <m:r>
                    <m:t>ι</m:t>
                  </m:r>
                </m:e>
                <m:sub>
                  <m:r>
                    <m:t>2</m:t>
                  </m:r>
                </m:sub>
              </m:sSub>
            </m:lim>
          </m:limUpp>
          <m:r>
            <m:t>r</m:t>
          </m:r>
          <m:r>
            <m:rPr>
              <m:sty m:val="p"/>
            </m:rPr>
            <m:t>,</m:t>
          </m:r>
          <m:r>
            <m:t> </m:t>
          </m:r>
          <m:r>
            <m:t>t</m:t>
          </m:r>
          <m:limUpp>
            <m:e>
              <m:r>
                <m:rPr>
                  <m:sty m:val="p"/>
                </m:rPr>
                <m:t>→</m:t>
              </m:r>
            </m:e>
            <m:lim>
              <m:r>
                <m:rPr>
                  <m:sty m:val="p"/>
                </m:rPr>
                <m:t>(</m:t>
              </m:r>
              <m:r>
                <m:t>1</m:t>
              </m:r>
              <m:r>
                <m:rPr>
                  <m:sty m:val="p"/>
                </m:rPr>
                <m:t>−</m:t>
              </m:r>
              <m:acc>
                <m:accPr>
                  <m:chr m:val="‾"/>
                </m:accPr>
                <m:e>
                  <m:r>
                    <m:t>α</m:t>
                  </m:r>
                </m:e>
              </m:acc>
              <m:r>
                <m:rPr>
                  <m:sty m:val="p"/>
                </m:rPr>
                <m:t>)</m:t>
              </m:r>
              <m:r>
                <m:rPr>
                  <m:sty m:val="p"/>
                </m:rPr>
                <m:t>/</m:t>
              </m:r>
              <m:sSub>
                <m:e>
                  <m:r>
                    <m:t>ι</m:t>
                  </m:r>
                </m:e>
                <m:sub>
                  <m:r>
                    <m:t>2</m:t>
                  </m:r>
                </m:sub>
              </m:sSub>
            </m:lim>
          </m:limUpp>
          <m:r>
            <m:t>c</m:t>
          </m:r>
          <m:r>
            <m:rPr>
              <m:sty m:val="p"/>
            </m:rPr>
            <m:t>,</m:t>
          </m:r>
          <m:r>
            <m:t> </m:t>
          </m:r>
          <m:r>
            <m:t>u</m:t>
          </m:r>
          <m:r>
            <m:rPr>
              <m:sty m:val="p"/>
            </m:rPr>
            <m:t>,</m:t>
          </m:r>
          <m:r>
            <m:t>r</m:t>
          </m:r>
          <m:limUpp>
            <m:e>
              <m:r>
                <m:rPr>
                  <m:sty m:val="p"/>
                </m:rPr>
                <m:t>→</m:t>
              </m:r>
            </m:e>
            <m:lim>
              <m:sSub>
                <m:e>
                  <m:r>
                    <m:t>γ</m:t>
                  </m:r>
                </m:e>
                <m:sub>
                  <m:r>
                    <m:t>i</m:t>
                  </m:r>
                </m:sub>
              </m:sSub>
              <m:r>
                <m:rPr>
                  <m:sty m:val="p"/>
                </m:rPr>
                <m:t>(</m:t>
              </m:r>
              <m:r>
                <m:t>t</m:t>
              </m:r>
              <m:r>
                <m:rPr>
                  <m:sty m:val="p"/>
                </m:rPr>
                <m:t>)</m:t>
              </m:r>
            </m:lim>
          </m:limUpp>
          <m:r>
            <m:t>a</m:t>
          </m:r>
        </m:oMath>
      </m:oMathPara>
    </w:p>
    <w:p>
      <w:pPr>
        <w:pStyle w:val="FirstParagraph"/>
      </w:pPr>
      <w:r>
        <w:t xml:space="preserve">As an example, the equation for chronic infection in group F, stage 1, age</w:t>
      </w:r>
      <w:r>
        <w:t xml:space="preserve"> </w:t>
      </w:r>
      <m:oMath>
        <m:r>
          <m:t>i</m:t>
        </m:r>
      </m:oMath>
      <w:r>
        <w:t xml:space="preserve"> </w:t>
      </w:r>
      <w:r>
        <w:t xml:space="preserve">is</w:t>
      </w:r>
    </w:p>
    <w:p>
      <w:pPr>
        <w:pStyle w:val="BodyText"/>
      </w:pPr>
      <m:oMathPara>
        <m:oMathParaPr>
          <m:jc m:val="center"/>
        </m:oMathParaPr>
        <m:oMath>
          <m:f>
            <m:fPr>
              <m:type m:val="bar"/>
            </m:fPr>
            <m:num>
              <m:r>
                <m:t>d</m:t>
              </m:r>
              <m:sSub>
                <m:e>
                  <m:r>
                    <m:t>F</m:t>
                  </m:r>
                </m:e>
                <m:sub>
                  <m:r>
                    <m:t>c</m:t>
                  </m:r>
                  <m:r>
                    <m:rPr>
                      <m:sty m:val="p"/>
                    </m:rPr>
                    <m:t>,</m:t>
                  </m:r>
                  <m:r>
                    <m:t>1</m:t>
                  </m:r>
                  <m:r>
                    <m:rPr>
                      <m:sty m:val="p"/>
                    </m:rPr>
                    <m:t>,</m:t>
                  </m:r>
                  <m:r>
                    <m:t>i</m:t>
                  </m:r>
                </m:sub>
              </m:sSub>
            </m:num>
            <m:den>
              <m:r>
                <m:t>d</m:t>
              </m:r>
              <m:r>
                <m:t>t</m:t>
              </m:r>
            </m:den>
          </m:f>
          <m:r>
            <m:rPr>
              <m:sty m:val="p"/>
            </m:rPr>
            <m:t>=</m:t>
          </m:r>
          <m:r>
            <m:t>π</m:t>
          </m:r>
          <m:sSubSup>
            <m:e>
              <m:r>
                <m:t>λ</m:t>
              </m:r>
            </m:e>
            <m:sub>
              <m:r>
                <m:t>i</m:t>
              </m:r>
            </m:sub>
            <m:sup>
              <m:r>
                <m:rPr>
                  <m:sty m:val="p"/>
                </m:rPr>
                <m:t>(</m:t>
              </m:r>
              <m:r>
                <m:t>2</m:t>
              </m:r>
              <m:r>
                <m:rPr>
                  <m:sty m:val="p"/>
                </m:rPr>
                <m:t>)</m:t>
              </m:r>
            </m:sup>
          </m:sSubSup>
          <m:sSub>
            <m:e>
              <m:r>
                <m:t>J</m:t>
              </m:r>
            </m:e>
            <m:sub>
              <m:r>
                <m:t>c</m:t>
              </m:r>
              <m:r>
                <m:rPr>
                  <m:sty m:val="p"/>
                </m:rPr>
                <m:t>,</m:t>
              </m:r>
              <m:r>
                <m:t>1</m:t>
              </m:r>
              <m:r>
                <m:rPr>
                  <m:sty m:val="p"/>
                </m:rPr>
                <m:t>,</m:t>
              </m:r>
              <m:r>
                <m:t>i</m:t>
              </m:r>
            </m:sub>
          </m:sSub>
          <m:r>
            <m:rPr>
              <m:sty m:val="p"/>
            </m:rPr>
            <m:t>+</m:t>
          </m:r>
          <m:f>
            <m:fPr>
              <m:type m:val="bar"/>
            </m:fPr>
            <m:num>
              <m:r>
                <m:t>1</m:t>
              </m:r>
              <m:r>
                <m:rPr>
                  <m:sty m:val="p"/>
                </m:rPr>
                <m:t>−</m:t>
              </m:r>
              <m:r>
                <m:t>κ</m:t>
              </m:r>
            </m:num>
            <m:den>
              <m:sSub>
                <m:e>
                  <m:r>
                    <m:t>ι</m:t>
                  </m:r>
                </m:e>
                <m:sub>
                  <m:r>
                    <m:t>1</m:t>
                  </m:r>
                </m:sub>
              </m:sSub>
            </m:den>
          </m:f>
          <m:sSub>
            <m:e>
              <m:r>
                <m:t>F</m:t>
              </m:r>
            </m:e>
            <m:sub>
              <m:r>
                <m:t>a</m:t>
              </m:r>
              <m:r>
                <m:rPr>
                  <m:sty m:val="p"/>
                </m:rPr>
                <m:t>,</m:t>
              </m:r>
              <m:r>
                <m:t>1</m:t>
              </m:r>
              <m:r>
                <m:rPr>
                  <m:sty m:val="p"/>
                </m:rPr>
                <m:t>,</m:t>
              </m:r>
              <m:r>
                <m:t>i</m:t>
              </m:r>
            </m:sub>
          </m:sSub>
          <m:r>
            <m:rPr>
              <m:sty m:val="p"/>
            </m:rPr>
            <m:t>+</m:t>
          </m:r>
          <m:f>
            <m:fPr>
              <m:type m:val="bar"/>
            </m:fPr>
            <m:num>
              <m:r>
                <m:t>1</m:t>
              </m:r>
              <m:r>
                <m:rPr>
                  <m:sty m:val="p"/>
                </m:rPr>
                <m:t>−</m:t>
              </m:r>
              <m:sSub>
                <m:e>
                  <m:acc>
                    <m:accPr>
                      <m:chr m:val="‾"/>
                    </m:accPr>
                    <m:e>
                      <m:r>
                        <m:t>α</m:t>
                      </m:r>
                    </m:e>
                  </m:acc>
                </m:e>
                <m:sub>
                  <m:r>
                    <m:t>1</m:t>
                  </m:r>
                </m:sub>
              </m:sSub>
            </m:num>
            <m:den>
              <m:sSub>
                <m:e>
                  <m:r>
                    <m:t>ι</m:t>
                  </m:r>
                </m:e>
                <m:sub>
                  <m:r>
                    <m:t>2</m:t>
                  </m:r>
                </m:sub>
              </m:sSub>
            </m:den>
          </m:f>
          <m:sSub>
            <m:e>
              <m:r>
                <m:t>F</m:t>
              </m:r>
            </m:e>
            <m:sub>
              <m:r>
                <m:t>t</m:t>
              </m:r>
              <m:r>
                <m:rPr>
                  <m:sty m:val="p"/>
                </m:rPr>
                <m:t>,</m:t>
              </m:r>
              <m:r>
                <m:t>1</m:t>
              </m:r>
              <m:r>
                <m:rPr>
                  <m:sty m:val="p"/>
                </m:rPr>
                <m:t>,</m:t>
              </m:r>
              <m:r>
                <m:t>i</m:t>
              </m:r>
            </m:sub>
          </m:sSub>
          <m:r>
            <m:rPr>
              <m:sty m:val="p"/>
            </m:rPr>
            <m:t>−</m:t>
          </m:r>
          <m:d>
            <m:dPr>
              <m:begChr m:val="("/>
              <m:sepChr m:val=""/>
              <m:endChr m:val=")"/>
              <m:grow/>
            </m:dPr>
            <m:e>
              <m:sSub>
                <m:e>
                  <m:r>
                    <m:t>τ</m:t>
                  </m:r>
                </m:e>
                <m:sub>
                  <m:r>
                    <m:t>F</m:t>
                  </m:r>
                </m:sub>
              </m:sSub>
              <m:r>
                <m:rPr>
                  <m:sty m:val="p"/>
                </m:rPr>
                <m:t>+</m:t>
              </m:r>
              <m:sSubSup>
                <m:e>
                  <m:r>
                    <m:t>λ</m:t>
                  </m:r>
                </m:e>
                <m:sub>
                  <m:r>
                    <m:t>i</m:t>
                  </m:r>
                </m:sub>
                <m:sup>
                  <m:r>
                    <m:rPr>
                      <m:sty m:val="p"/>
                    </m:rPr>
                    <m:t>(</m:t>
                  </m:r>
                  <m:r>
                    <m:t>3</m:t>
                  </m:r>
                  <m:r>
                    <m:rPr>
                      <m:sty m:val="p"/>
                    </m:rPr>
                    <m:t>)</m:t>
                  </m:r>
                </m:sup>
              </m:sSubSup>
              <m:r>
                <m:rPr>
                  <m:sty m:val="p"/>
                </m:rPr>
                <m:t>+</m:t>
              </m:r>
              <m:r>
                <m:t>ω</m:t>
              </m:r>
              <m:sSub>
                <m:e>
                  <m:r>
                    <m:t>μ</m:t>
                  </m:r>
                </m:e>
                <m:sub>
                  <m:r>
                    <m:t>i</m:t>
                  </m:r>
                </m:sub>
              </m:sSub>
              <m:r>
                <m:rPr>
                  <m:sty m:val="p"/>
                </m:rPr>
                <m:t>+</m:t>
              </m:r>
              <m:sSub>
                <m:e>
                  <m:acc>
                    <m:accPr>
                      <m:chr m:val="̃"/>
                    </m:accPr>
                    <m:e>
                      <m:r>
                        <m:t>p</m:t>
                      </m:r>
                    </m:e>
                  </m:acc>
                </m:e>
                <m:sub>
                  <m:r>
                    <m:t>1</m:t>
                  </m:r>
                  <m:r>
                    <m:rPr>
                      <m:sty m:val="p"/>
                    </m:rPr>
                    <m:t>→</m:t>
                  </m:r>
                  <m:r>
                    <m:t>2</m:t>
                  </m:r>
                </m:sub>
              </m:sSub>
            </m:e>
          </m:d>
          <m:sSub>
            <m:e>
              <m:r>
                <m:t>F</m:t>
              </m:r>
            </m:e>
            <m:sub>
              <m:r>
                <m:t>c</m:t>
              </m:r>
              <m:r>
                <m:rPr>
                  <m:sty m:val="p"/>
                </m:rPr>
                <m:t>,</m:t>
              </m:r>
              <m:r>
                <m:t>1</m:t>
              </m:r>
              <m:r>
                <m:rPr>
                  <m:sty m:val="p"/>
                </m:rPr>
                <m:t>,</m:t>
              </m:r>
              <m:r>
                <m:t>i</m:t>
              </m:r>
            </m:sub>
          </m:sSub>
        </m:oMath>
      </m:oMathPara>
    </w:p>
    <w:p>
      <w:pPr>
        <w:pStyle w:val="FirstParagraph"/>
      </w:pPr>
      <w:r>
        <w:t xml:space="preserve">The other 479 equations follow the same pattern. The full set is in the project file</w:t>
      </w:r>
      <w:r>
        <w:t xml:space="preserve"> </w:t>
      </w:r>
      <w:r>
        <w:rPr>
          <w:rStyle w:val="VerbatimChar"/>
        </w:rPr>
        <w:t xml:space="preserve">docs/equations.tex</w:t>
      </w:r>
      <w:r>
        <w:t xml:space="preserve"> </w:t>
      </w:r>
      <w:r>
        <w:t xml:space="preserve">and is implemented in</w:t>
      </w:r>
      <w:r>
        <w:t xml:space="preserve"> </w:t>
      </w:r>
      <w:r>
        <w:rPr>
          <w:rStyle w:val="VerbatimChar"/>
        </w:rPr>
        <w:t xml:space="preserve">scripts/model/sim.cpp</w:t>
      </w:r>
      <w:r>
        <w:t xml:space="preserve">.</w:t>
      </w:r>
    </w:p>
    <w:bookmarkEnd w:id="11"/>
    <w:bookmarkStart w:id="12" w:name="parameters"/>
    <w:p>
      <w:pPr>
        <w:pStyle w:val="Heading2"/>
      </w:pPr>
      <w:r>
        <w:t xml:space="preserve">1.4 Parameters</w:t>
      </w:r>
    </w:p>
    <w:p>
      <w:pPr>
        <w:pStyle w:val="FirstParagraph"/>
      </w:pPr>
      <w:r>
        <w:rPr>
          <w:b/>
          <w:bCs/>
        </w:rPr>
        <w:t xml:space="preserve">Table S1. Natural history and treatment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Value</w:t>
            </w:r>
          </w:p>
        </w:tc>
        <w:tc>
          <w:tcPr/>
          <w:p>
            <w:pPr>
              <w:pStyle w:val="Compact"/>
            </w:pPr>
            <w:r>
              <w:t xml:space="preserve">Source</w:t>
            </w:r>
          </w:p>
        </w:tc>
      </w:tr>
      <w:tr>
        <w:tc>
          <w:tcPr/>
          <w:p>
            <w:pPr>
              <w:pStyle w:val="Compact"/>
            </w:pPr>
            <m:oMath>
              <m:r>
                <m:t>q</m:t>
              </m:r>
            </m:oMath>
          </w:p>
        </w:tc>
        <w:tc>
          <w:tcPr/>
          <w:p>
            <w:pPr>
              <w:pStyle w:val="Compact"/>
            </w:pPr>
            <w:r>
              <w:t xml:space="preserve">Transmission probability per sharing event</w:t>
            </w:r>
          </w:p>
        </w:tc>
        <w:tc>
          <w:tcPr/>
          <w:p>
            <w:pPr>
              <w:pStyle w:val="Compact"/>
            </w:pPr>
            <w:r>
              <w:t xml:space="preserve">0.0057</w:t>
            </w:r>
          </w:p>
        </w:tc>
        <w:tc>
          <w:tcPr/>
          <w:p>
            <w:pPr>
              <w:pStyle w:val="Compact"/>
            </w:pPr>
            <w:r>
              <w:t xml:space="preserve">[1]</w:t>
            </w:r>
          </w:p>
        </w:tc>
      </w:tr>
      <w:tr>
        <w:tc>
          <w:tcPr/>
          <w:p>
            <w:pPr>
              <w:pStyle w:val="Compact"/>
            </w:pPr>
            <m:oMath>
              <m:r>
                <m:t>κ</m:t>
              </m:r>
            </m:oMath>
          </w:p>
        </w:tc>
        <w:tc>
          <w:tcPr/>
          <w:p>
            <w:pPr>
              <w:pStyle w:val="Compact"/>
            </w:pPr>
            <w:r>
              <w:t xml:space="preserve">Probability of spontaneous clearance</w:t>
            </w:r>
          </w:p>
        </w:tc>
        <w:tc>
          <w:tcPr/>
          <w:p>
            <w:pPr>
              <w:pStyle w:val="Compact"/>
            </w:pPr>
            <w:r>
              <w:t xml:space="preserve">0.26</w:t>
            </w:r>
          </w:p>
        </w:tc>
        <w:tc>
          <w:tcPr/>
          <w:p>
            <w:pPr>
              <w:pStyle w:val="Compact"/>
            </w:pPr>
            <w:r>
              <w:t xml:space="preserve">[4]</w:t>
            </w:r>
          </w:p>
        </w:tc>
      </w:tr>
      <w:tr>
        <w:tc>
          <w:tcPr/>
          <w:p>
            <w:pPr>
              <w:pStyle w:val="Compact"/>
            </w:pPr>
            <m:oMath>
              <m:sSub>
                <m:e>
                  <m:r>
                    <m:t>ι</m:t>
                  </m:r>
                </m:e>
                <m:sub>
                  <m:r>
                    <m:t>1</m:t>
                  </m:r>
                </m:sub>
              </m:sSub>
            </m:oMath>
          </w:p>
        </w:tc>
        <w:tc>
          <w:tcPr/>
          <w:p>
            <w:pPr>
              <w:pStyle w:val="Compact"/>
            </w:pPr>
            <w:r>
              <w:t xml:space="preserve">Mean duration of acute infection</w:t>
            </w:r>
          </w:p>
        </w:tc>
        <w:tc>
          <w:tcPr/>
          <w:p>
            <w:pPr>
              <w:pStyle w:val="Compact"/>
            </w:pPr>
            <w:r>
              <w:t xml:space="preserve">180 days</w:t>
            </w:r>
          </w:p>
        </w:tc>
        <w:tc>
          <w:tcPr/>
          <w:p>
            <w:pPr>
              <w:pStyle w:val="Compact"/>
            </w:pPr>
            <w:r>
              <w:t xml:space="preserve">[2]</w:t>
            </w:r>
          </w:p>
        </w:tc>
      </w:tr>
      <w:tr>
        <w:tc>
          <w:tcPr/>
          <w:p>
            <w:pPr>
              <w:pStyle w:val="Compact"/>
            </w:pPr>
            <m:oMath>
              <m:sSub>
                <m:e>
                  <m:r>
                    <m:t>ι</m:t>
                  </m:r>
                </m:e>
                <m:sub>
                  <m:r>
                    <m:t>2</m:t>
                  </m:r>
                </m:sub>
              </m:sSub>
            </m:oMath>
          </w:p>
        </w:tc>
        <w:tc>
          <w:tcPr/>
          <w:p>
            <w:pPr>
              <w:pStyle w:val="Compact"/>
            </w:pPr>
            <w:r>
              <w:t xml:space="preserve">Duration of treatment</w:t>
            </w:r>
          </w:p>
        </w:tc>
        <w:tc>
          <w:tcPr/>
          <w:p>
            <w:pPr>
              <w:pStyle w:val="Compact"/>
            </w:pPr>
            <w:r>
              <w:t xml:space="preserve">84 days</w:t>
            </w:r>
          </w:p>
        </w:tc>
        <w:tc>
          <w:tcPr/>
          <w:p>
            <w:pPr>
              <w:pStyle w:val="Compact"/>
            </w:pPr>
            <w:r>
              <w:t xml:space="preserve">[13]</w:t>
            </w:r>
          </w:p>
        </w:tc>
      </w:tr>
      <w:tr>
        <w:tc>
          <w:tcPr/>
          <w:p>
            <w:pPr>
              <w:pStyle w:val="Compact"/>
            </w:pPr>
            <m:oMath>
              <m:r>
                <m:t>ρ</m:t>
              </m:r>
            </m:oMath>
          </w:p>
        </w:tc>
        <w:tc>
          <w:tcPr/>
          <w:p>
            <w:pPr>
              <w:pStyle w:val="Compact"/>
            </w:pPr>
            <w:r>
              <w:t xml:space="preserve">Proportion with genotype 3</w:t>
            </w:r>
          </w:p>
        </w:tc>
        <w:tc>
          <w:tcPr/>
          <w:p>
            <w:pPr>
              <w:pStyle w:val="Compact"/>
            </w:pPr>
            <w:r>
              <w:t xml:space="preserve">0.78</w:t>
            </w:r>
          </w:p>
        </w:tc>
        <w:tc>
          <w:tcPr/>
          <w:p>
            <w:pPr>
              <w:pStyle w:val="Compact"/>
            </w:pPr>
            <w:r>
              <w:t xml:space="preserve">[5]</w:t>
            </w:r>
          </w:p>
        </w:tc>
      </w:tr>
      <w:tr>
        <w:tc>
          <w:tcPr/>
          <w:p>
            <w:pPr>
              <w:pStyle w:val="Compact"/>
            </w:pPr>
            <m:oMath>
              <m:sSub>
                <m:e>
                  <m:acc>
                    <m:accPr>
                      <m:chr m:val="‾"/>
                    </m:accPr>
                    <m:e>
                      <m:r>
                        <m:t>α</m:t>
                      </m:r>
                    </m:e>
                  </m:acc>
                </m:e>
                <m:sub>
                  <m:r>
                    <m:t>1</m:t>
                  </m:r>
                </m:sub>
              </m:sSub>
            </m:oMath>
          </w:p>
        </w:tc>
        <w:tc>
          <w:tcPr/>
          <w:p>
            <w:pPr>
              <w:pStyle w:val="Compact"/>
            </w:pPr>
            <w:r>
              <w:t xml:space="preserve">Cure rate, stages 1 and 2</w:t>
            </w:r>
          </w:p>
        </w:tc>
        <w:tc>
          <w:tcPr/>
          <w:p>
            <w:pPr>
              <w:pStyle w:val="Compact"/>
            </w:pPr>
            <w:r>
              <w:t xml:space="preserve">0.979</w:t>
            </w:r>
          </w:p>
        </w:tc>
        <w:tc>
          <w:tcPr/>
          <w:p>
            <w:pPr>
              <w:pStyle w:val="Compact"/>
            </w:pPr>
            <w:r>
              <w:t xml:space="preserve">[13]</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no ribavirin</w:t>
            </w:r>
          </w:p>
        </w:tc>
        <w:tc>
          <w:tcPr/>
          <w:p>
            <w:pPr>
              <w:pStyle w:val="Compact"/>
            </w:pPr>
            <w:r>
              <w:t xml:space="preserve">0.549</w:t>
            </w:r>
          </w:p>
        </w:tc>
        <w:tc>
          <w:tcPr/>
          <w:p>
            <w:pPr>
              <w:pStyle w:val="Compact"/>
            </w:pPr>
            <w:r>
              <w:t xml:space="preserve">[13,14]</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with ribavirin</w:t>
            </w:r>
          </w:p>
        </w:tc>
        <w:tc>
          <w:tcPr/>
          <w:p>
            <w:pPr>
              <w:pStyle w:val="Compact"/>
            </w:pPr>
            <w:r>
              <w:t xml:space="preserve">0.882</w:t>
            </w:r>
          </w:p>
        </w:tc>
        <w:tc>
          <w:tcPr/>
          <w:p>
            <w:pPr>
              <w:pStyle w:val="Compact"/>
            </w:pPr>
            <w:r>
              <w:t xml:space="preserve">[13,14]</w:t>
            </w:r>
          </w:p>
        </w:tc>
      </w:tr>
      <w:tr>
        <w:tc>
          <w:tcPr/>
          <w:p>
            <w:pPr>
              <w:pStyle w:val="Compact"/>
            </w:pPr>
            <m:oMath>
              <m:sSup>
                <m:e>
                  <m:r>
                    <m:t>p</m:t>
                  </m:r>
                </m:e>
                <m:sup>
                  <m:r>
                    <m:t>N</m:t>
                  </m:r>
                  <m:r>
                    <m:t>C</m:t>
                  </m:r>
                  <m:r>
                    <m:rPr>
                      <m:sty m:val="p"/>
                    </m:rPr>
                    <m:t>→</m:t>
                  </m:r>
                  <m:r>
                    <m:t>C</m:t>
                  </m:r>
                  <m:r>
                    <m:t>C</m:t>
                  </m:r>
                </m:sup>
              </m:sSup>
            </m:oMath>
          </w:p>
        </w:tc>
        <w:tc>
          <w:tcPr/>
          <w:p>
            <w:pPr>
              <w:pStyle w:val="Compact"/>
            </w:pPr>
            <w:r>
              <w:t xml:space="preserve">Progression, no cirrhosis to compensated cirrhosis (per year)</w:t>
            </w:r>
          </w:p>
        </w:tc>
        <w:tc>
          <w:tcPr/>
          <w:p>
            <w:pPr>
              <w:pStyle w:val="Compact"/>
            </w:pPr>
            <w:r>
              <w:t xml:space="preserve">0.027</w:t>
            </w:r>
          </w:p>
        </w:tc>
        <w:tc>
          <w:tcPr/>
          <w:p>
            <w:pPr>
              <w:pStyle w:val="Compact"/>
            </w:pPr>
            <w:r>
              <w:t xml:space="preserve">[15]</w:t>
            </w:r>
          </w:p>
        </w:tc>
      </w:tr>
      <w:tr>
        <w:tc>
          <w:tcPr/>
          <w:p>
            <w:pPr>
              <w:pStyle w:val="Compact"/>
            </w:pPr>
            <m:oMath>
              <m:sSup>
                <m:e>
                  <m:r>
                    <m:t>p</m:t>
                  </m:r>
                </m:e>
                <m:sup>
                  <m:r>
                    <m:t>C</m:t>
                  </m:r>
                  <m:r>
                    <m:t>C</m:t>
                  </m:r>
                  <m:r>
                    <m:rPr>
                      <m:sty m:val="p"/>
                    </m:rPr>
                    <m:t>→</m:t>
                  </m:r>
                  <m:r>
                    <m:t>D</m:t>
                  </m:r>
                  <m:r>
                    <m:t>C</m:t>
                  </m:r>
                </m:sup>
              </m:sSup>
            </m:oMath>
          </w:p>
        </w:tc>
        <w:tc>
          <w:tcPr/>
          <w:p>
            <w:pPr>
              <w:pStyle w:val="Compact"/>
            </w:pPr>
            <w:r>
              <w:t xml:space="preserve">Progression, compensated to decompensated cirrhosis</w:t>
            </w:r>
          </w:p>
        </w:tc>
        <w:tc>
          <w:tcPr/>
          <w:p>
            <w:pPr>
              <w:pStyle w:val="Compact"/>
            </w:pPr>
            <w:r>
              <w:t xml:space="preserve">0.039</w:t>
            </w:r>
          </w:p>
        </w:tc>
        <w:tc>
          <w:tcPr/>
          <w:p>
            <w:pPr>
              <w:pStyle w:val="Compact"/>
            </w:pPr>
            <w:r>
              <w:t xml:space="preserve">[12]</w:t>
            </w:r>
          </w:p>
        </w:tc>
      </w:tr>
      <w:tr>
        <w:tc>
          <w:tcPr/>
          <w:p>
            <w:pPr>
              <w:pStyle w:val="Compact"/>
            </w:pPr>
            <m:oMath>
              <m:sSup>
                <m:e>
                  <m:r>
                    <m:t>p</m:t>
                  </m:r>
                </m:e>
                <m:sup>
                  <m:r>
                    <m:t>C</m:t>
                  </m:r>
                  <m:r>
                    <m:t>C</m:t>
                  </m:r>
                  <m:r>
                    <m:rPr>
                      <m:sty m:val="p"/>
                    </m:rPr>
                    <m:t>→</m:t>
                  </m:r>
                  <m:r>
                    <m:t>H</m:t>
                  </m:r>
                  <m:r>
                    <m:t>C</m:t>
                  </m:r>
                  <m:r>
                    <m:t>C</m:t>
                  </m:r>
                </m:sup>
              </m:sSup>
            </m:oMath>
          </w:p>
        </w:tc>
        <w:tc>
          <w:tcPr/>
          <w:p>
            <w:pPr>
              <w:pStyle w:val="Compact"/>
            </w:pPr>
            <w:r>
              <w:t xml:space="preserve">Progression, compensated cirrhosis to liver cancer</w:t>
            </w:r>
          </w:p>
        </w:tc>
        <w:tc>
          <w:tcPr/>
          <w:p>
            <w:pPr>
              <w:pStyle w:val="Compact"/>
            </w:pPr>
            <w:r>
              <w:t xml:space="preserve">0.014</w:t>
            </w:r>
          </w:p>
        </w:tc>
        <w:tc>
          <w:tcPr/>
          <w:p>
            <w:pPr>
              <w:pStyle w:val="Compact"/>
            </w:pPr>
            <w:r>
              <w:t xml:space="preserve">[12]</w:t>
            </w:r>
          </w:p>
        </w:tc>
      </w:tr>
      <w:tr>
        <w:tc>
          <w:tcPr/>
          <w:p>
            <w:pPr>
              <w:pStyle w:val="Compact"/>
            </w:pPr>
            <m:oMath>
              <m:sSup>
                <m:e>
                  <m:r>
                    <m:t>p</m:t>
                  </m:r>
                </m:e>
                <m:sup>
                  <m:r>
                    <m:t>D</m:t>
                  </m:r>
                  <m:r>
                    <m:t>C</m:t>
                  </m:r>
                  <m:r>
                    <m:rPr>
                      <m:sty m:val="p"/>
                    </m:rPr>
                    <m:t>→</m:t>
                  </m:r>
                  <m:r>
                    <m:t>H</m:t>
                  </m:r>
                  <m:r>
                    <m:t>C</m:t>
                  </m:r>
                  <m:r>
                    <m:t>C</m:t>
                  </m:r>
                </m:sup>
              </m:sSup>
            </m:oMath>
          </w:p>
        </w:tc>
        <w:tc>
          <w:tcPr/>
          <w:p>
            <w:pPr>
              <w:pStyle w:val="Compact"/>
            </w:pPr>
            <w:r>
              <w:t xml:space="preserve">Progression, decompensated cirrhosis to liver cancer</w:t>
            </w:r>
          </w:p>
        </w:tc>
        <w:tc>
          <w:tcPr/>
          <w:p>
            <w:pPr>
              <w:pStyle w:val="Compact"/>
            </w:pPr>
            <w:r>
              <w:t xml:space="preserve">0.014</w:t>
            </w:r>
          </w:p>
        </w:tc>
        <w:tc>
          <w:tcPr/>
          <w:p>
            <w:pPr>
              <w:pStyle w:val="Compact"/>
            </w:pPr>
            <w:r>
              <w:t xml:space="preserve">[12]</w:t>
            </w:r>
          </w:p>
        </w:tc>
      </w:tr>
      <w:tr>
        <w:tc>
          <w:tcPr/>
          <w:p>
            <w:pPr>
              <w:pStyle w:val="Compact"/>
            </w:pPr>
            <m:oMath>
              <m:sSubSup>
                <m:e>
                  <m:r>
                    <m:t>r</m:t>
                  </m:r>
                </m:e>
                <m:sub>
                  <m:r>
                    <m:t>3</m:t>
                  </m:r>
                </m:sub>
                <m:sup>
                  <m:r>
                    <m:t>N</m:t>
                  </m:r>
                  <m:r>
                    <m:t>C</m:t>
                  </m:r>
                  <m:r>
                    <m:rPr>
                      <m:sty m:val="p"/>
                    </m:rPr>
                    <m:t>→</m:t>
                  </m:r>
                  <m:r>
                    <m:t>C</m:t>
                  </m:r>
                  <m:r>
                    <m:t>C</m:t>
                  </m:r>
                </m:sup>
              </m:sSubSup>
              <m:r>
                <m:rPr>
                  <m:sty m:val="p"/>
                </m:rPr>
                <m:t>,</m:t>
              </m:r>
              <m:sSubSup>
                <m:e>
                  <m:r>
                    <m:t>r</m:t>
                  </m:r>
                </m:e>
                <m:sub>
                  <m:r>
                    <m:t>3</m:t>
                  </m:r>
                </m:sub>
                <m:sup>
                  <m:r>
                    <m:t>C</m:t>
                  </m:r>
                  <m:r>
                    <m:t>C</m:t>
                  </m:r>
                  <m:r>
                    <m:rPr>
                      <m:sty m:val="p"/>
                    </m:rPr>
                    <m:t>→</m:t>
                  </m:r>
                  <m:r>
                    <m:t>D</m:t>
                  </m:r>
                  <m:r>
                    <m:t>C</m:t>
                  </m:r>
                </m:sup>
              </m:sSubSup>
            </m:oMath>
          </w:p>
        </w:tc>
        <w:tc>
          <w:tcPr/>
          <w:p>
            <w:pPr>
              <w:pStyle w:val="Compact"/>
            </w:pPr>
            <w:r>
              <w:t xml:space="preserve">Relative risk for genotype 3, fibrosis</w:t>
            </w:r>
          </w:p>
        </w:tc>
        <w:tc>
          <w:tcPr/>
          <w:p>
            <w:pPr>
              <w:pStyle w:val="Compact"/>
            </w:pPr>
            <w:r>
              <w:t xml:space="preserve">1.36</w:t>
            </w:r>
          </w:p>
        </w:tc>
        <w:tc>
          <w:tcPr/>
          <w:p>
            <w:pPr>
              <w:pStyle w:val="Compact"/>
            </w:pPr>
            <w:r>
              <w:t xml:space="preserve">[6]</w:t>
            </w:r>
          </w:p>
        </w:tc>
      </w:tr>
      <w:tr>
        <w:tc>
          <w:tcPr/>
          <w:p>
            <w:pPr>
              <w:pStyle w:val="Compact"/>
            </w:pPr>
            <m:oMath>
              <m:sSubSup>
                <m:e>
                  <m:r>
                    <m:t>r</m:t>
                  </m:r>
                </m:e>
                <m:sub>
                  <m:r>
                    <m:t>3</m:t>
                  </m:r>
                </m:sub>
                <m:sup>
                  <m:r>
                    <m:t>C</m:t>
                  </m:r>
                  <m:r>
                    <m:t>C</m:t>
                  </m:r>
                  <m:r>
                    <m:rPr>
                      <m:sty m:val="p"/>
                    </m:rPr>
                    <m:t>→</m:t>
                  </m:r>
                  <m:r>
                    <m:t>H</m:t>
                  </m:r>
                  <m:r>
                    <m:t>C</m:t>
                  </m:r>
                  <m:r>
                    <m:t>C</m:t>
                  </m:r>
                </m:sup>
              </m:sSubSup>
              <m:r>
                <m:rPr>
                  <m:sty m:val="p"/>
                </m:rPr>
                <m:t>,</m:t>
              </m:r>
              <m:sSubSup>
                <m:e>
                  <m:r>
                    <m:t>r</m:t>
                  </m:r>
                </m:e>
                <m:sub>
                  <m:r>
                    <m:t>3</m:t>
                  </m:r>
                </m:sub>
                <m:sup>
                  <m:r>
                    <m:t>D</m:t>
                  </m:r>
                  <m:r>
                    <m:t>C</m:t>
                  </m:r>
                  <m:r>
                    <m:rPr>
                      <m:sty m:val="p"/>
                    </m:rPr>
                    <m:t>→</m:t>
                  </m:r>
                  <m:r>
                    <m:t>H</m:t>
                  </m:r>
                  <m:r>
                    <m:t>C</m:t>
                  </m:r>
                  <m:r>
                    <m:t>C</m:t>
                  </m:r>
                </m:sup>
              </m:sSubSup>
            </m:oMath>
          </w:p>
        </w:tc>
        <w:tc>
          <w:tcPr/>
          <w:p>
            <w:pPr>
              <w:pStyle w:val="Compact"/>
            </w:pPr>
            <w:r>
              <w:t xml:space="preserve">Relative risk for genotype 3, liver cancer</w:t>
            </w:r>
          </w:p>
        </w:tc>
        <w:tc>
          <w:tcPr/>
          <w:p>
            <w:pPr>
              <w:pStyle w:val="Compact"/>
            </w:pPr>
            <w:r>
              <w:t xml:space="preserve">1.93</w:t>
            </w:r>
          </w:p>
        </w:tc>
        <w:tc>
          <w:tcPr/>
          <w:p>
            <w:pPr>
              <w:pStyle w:val="Compact"/>
            </w:pPr>
            <w:r>
              <w:t xml:space="preserve">[6]</w:t>
            </w:r>
          </w:p>
        </w:tc>
      </w:tr>
      <w:tr>
        <w:tc>
          <w:tcPr/>
          <w:p>
            <w:pPr>
              <w:pStyle w:val="Compact"/>
            </w:pPr>
            <m:oMath>
              <m:sSup>
                <m:e>
                  <m:r>
                    <m:t>ϕ</m:t>
                  </m:r>
                </m:e>
                <m:sup>
                  <m:r>
                    <m:t>C</m:t>
                  </m:r>
                  <m:r>
                    <m:t>C</m:t>
                  </m:r>
                  <m:r>
                    <m:rPr>
                      <m:sty m:val="p"/>
                    </m:rPr>
                    <m:t>→</m:t>
                  </m:r>
                  <m:r>
                    <m:t>D</m:t>
                  </m:r>
                  <m:r>
                    <m:t>C</m:t>
                  </m:r>
                </m:sup>
              </m:sSup>
            </m:oMath>
          </w:p>
        </w:tc>
        <w:tc>
          <w:tcPr/>
          <w:p>
            <w:pPr>
              <w:pStyle w:val="Compact"/>
            </w:pPr>
            <w:r>
              <w:t xml:space="preserve">Relative progression after cure, compensated to decompensated</w:t>
            </w:r>
          </w:p>
        </w:tc>
        <w:tc>
          <w:tcPr/>
          <w:p>
            <w:pPr>
              <w:pStyle w:val="Compact"/>
            </w:pPr>
            <w:r>
              <w:t xml:space="preserve">0.07</w:t>
            </w:r>
          </w:p>
        </w:tc>
        <w:tc>
          <w:tcPr/>
          <w:p>
            <w:pPr>
              <w:pStyle w:val="Compact"/>
            </w:pPr>
            <w:r>
              <w:t xml:space="preserve">[7]</w:t>
            </w:r>
          </w:p>
        </w:tc>
      </w:tr>
      <w:tr>
        <w:tc>
          <w:tcPr/>
          <w:p>
            <w:pPr>
              <w:pStyle w:val="Compact"/>
            </w:pPr>
            <m:oMath>
              <m:sSup>
                <m:e>
                  <m:r>
                    <m:t>ϕ</m:t>
                  </m:r>
                </m:e>
                <m:sup>
                  <m:r>
                    <m:t>C</m:t>
                  </m:r>
                  <m:r>
                    <m:t>C</m:t>
                  </m:r>
                  <m:r>
                    <m:rPr>
                      <m:sty m:val="p"/>
                    </m:rPr>
                    <m:t>→</m:t>
                  </m:r>
                  <m:r>
                    <m:t>H</m:t>
                  </m:r>
                  <m:r>
                    <m:t>C</m:t>
                  </m:r>
                  <m:r>
                    <m:t>C</m:t>
                  </m:r>
                </m:sup>
              </m:sSup>
            </m:oMath>
          </w:p>
        </w:tc>
        <w:tc>
          <w:tcPr/>
          <w:p>
            <w:pPr>
              <w:pStyle w:val="Compact"/>
            </w:pPr>
            <w:r>
              <w:t xml:space="preserve">Relative progression after cure, compensated cirrhosis to liver cancer</w:t>
            </w:r>
          </w:p>
        </w:tc>
        <w:tc>
          <w:tcPr/>
          <w:p>
            <w:pPr>
              <w:pStyle w:val="Compact"/>
            </w:pPr>
            <w:r>
              <w:t xml:space="preserve">0.23</w:t>
            </w:r>
          </w:p>
        </w:tc>
        <w:tc>
          <w:tcPr/>
          <w:p>
            <w:pPr>
              <w:pStyle w:val="Compact"/>
            </w:pPr>
            <w:r>
              <w:t xml:space="preserve">[8]</w:t>
            </w:r>
          </w:p>
        </w:tc>
      </w:tr>
      <w:tr>
        <w:tc>
          <w:tcPr/>
          <w:p>
            <w:pPr>
              <w:pStyle w:val="Compact"/>
            </w:pPr>
            <m:oMath>
              <m:sSup>
                <m:e>
                  <m:r>
                    <m:t>ϕ</m:t>
                  </m:r>
                </m:e>
                <m:sup>
                  <m:r>
                    <m:t>D</m:t>
                  </m:r>
                  <m:r>
                    <m:t>C</m:t>
                  </m:r>
                  <m:r>
                    <m:rPr>
                      <m:sty m:val="p"/>
                    </m:rPr>
                    <m:t>→</m:t>
                  </m:r>
                  <m:r>
                    <m:t>H</m:t>
                  </m:r>
                  <m:r>
                    <m:t>C</m:t>
                  </m:r>
                  <m:r>
                    <m:t>C</m:t>
                  </m:r>
                </m:sup>
              </m:sSup>
            </m:oMath>
          </w:p>
        </w:tc>
        <w:tc>
          <w:tcPr/>
          <w:p>
            <w:pPr>
              <w:pStyle w:val="Compact"/>
            </w:pPr>
            <w:r>
              <w:t xml:space="preserve">Relative progression after cure, decompensated cirrhosis to liver cancer</w:t>
            </w:r>
          </w:p>
        </w:tc>
        <w:tc>
          <w:tcPr/>
          <w:p>
            <w:pPr>
              <w:pStyle w:val="Compact"/>
            </w:pPr>
            <w:r>
              <w:t xml:space="preserve">1.00</w:t>
            </w:r>
          </w:p>
        </w:tc>
        <w:tc>
          <w:tcPr/>
          <w:p>
            <w:pPr>
              <w:pStyle w:val="Compact"/>
            </w:pPr>
            <w:r>
              <w:t xml:space="preserve">Assumed</w:t>
            </w:r>
          </w:p>
        </w:tc>
      </w:tr>
      <w:tr>
        <w:tc>
          <w:tcPr/>
          <w:p>
            <w:pPr>
              <w:pStyle w:val="Compact"/>
            </w:pPr>
            <m:oMath>
              <m:r>
                <m:t>ω</m:t>
              </m:r>
            </m:oMath>
          </w:p>
        </w:tc>
        <w:tc>
          <w:tcPr/>
          <w:p>
            <w:pPr>
              <w:pStyle w:val="Compact"/>
            </w:pPr>
            <w:r>
              <w:t xml:space="preserve">Standardised mortality ratio for PWID</w:t>
            </w:r>
          </w:p>
        </w:tc>
        <w:tc>
          <w:tcPr/>
          <w:p>
            <w:pPr>
              <w:pStyle w:val="Compact"/>
            </w:pPr>
            <w:r>
              <w:t xml:space="preserve">14.68</w:t>
            </w:r>
          </w:p>
        </w:tc>
        <w:tc>
          <w:tcPr/>
          <w:p>
            <w:pPr>
              <w:pStyle w:val="Compact"/>
            </w:pPr>
            <w:r>
              <w:t xml:space="preserve">[11]</w:t>
            </w:r>
          </w:p>
        </w:tc>
      </w:tr>
      <w:tr>
        <w:tc>
          <w:tcPr/>
          <w:p>
            <w:pPr>
              <w:pStyle w:val="Compact"/>
            </w:pPr>
            <m:oMath>
              <m:sSup>
                <m:e>
                  <m:r>
                    <m:t>μ</m:t>
                  </m:r>
                </m:e>
                <m:sup>
                  <m:r>
                    <m:t>D</m:t>
                  </m:r>
                  <m:r>
                    <m:t>C</m:t>
                  </m:r>
                </m:sup>
              </m:sSup>
            </m:oMath>
          </w:p>
        </w:tc>
        <w:tc>
          <w:tcPr/>
          <w:p>
            <w:pPr>
              <w:pStyle w:val="Compact"/>
            </w:pPr>
            <w:r>
              <w:t xml:space="preserve">Excess mortality, decompensated cirrhosis (per year)</w:t>
            </w:r>
          </w:p>
        </w:tc>
        <w:tc>
          <w:tcPr/>
          <w:p>
            <w:pPr>
              <w:pStyle w:val="Compact"/>
            </w:pPr>
            <w:r>
              <w:t xml:space="preserve">0.13</w:t>
            </w:r>
          </w:p>
        </w:tc>
        <w:tc>
          <w:tcPr/>
          <w:p>
            <w:pPr>
              <w:pStyle w:val="Compact"/>
            </w:pPr>
            <w:r>
              <w:t xml:space="preserve">[12]</w:t>
            </w:r>
          </w:p>
        </w:tc>
      </w:tr>
      <w:tr>
        <w:tc>
          <w:tcPr/>
          <w:p>
            <w:pPr>
              <w:pStyle w:val="Compact"/>
            </w:pPr>
            <m:oMath>
              <m:sSup>
                <m:e>
                  <m:r>
                    <m:t>μ</m:t>
                  </m:r>
                </m:e>
                <m:sup>
                  <m:r>
                    <m:t>H</m:t>
                  </m:r>
                  <m:r>
                    <m:t>C</m:t>
                  </m:r>
                  <m:r>
                    <m:t>C</m:t>
                  </m:r>
                </m:sup>
              </m:sSup>
            </m:oMath>
          </w:p>
        </w:tc>
        <w:tc>
          <w:tcPr/>
          <w:p>
            <w:pPr>
              <w:pStyle w:val="Compact"/>
            </w:pPr>
            <w:r>
              <w:t xml:space="preserve">Excess mortality, liver cancer (per year)</w:t>
            </w:r>
          </w:p>
        </w:tc>
        <w:tc>
          <w:tcPr/>
          <w:p>
            <w:pPr>
              <w:pStyle w:val="Compact"/>
            </w:pPr>
            <w:r>
              <w:t xml:space="preserve">0.43</w:t>
            </w:r>
          </w:p>
        </w:tc>
        <w:tc>
          <w:tcPr/>
          <w:p>
            <w:pPr>
              <w:pStyle w:val="Compact"/>
            </w:pPr>
            <w:r>
              <w:t xml:space="preserve">[12]</w:t>
            </w:r>
          </w:p>
        </w:tc>
      </w:tr>
      <w:tr>
        <w:tc>
          <w:tcPr/>
          <w:p>
            <w:pPr>
              <w:pStyle w:val="Compact"/>
            </w:pPr>
            <m:oMath>
              <m:sSup>
                <m:e>
                  <m:r>
                    <m:t>ψ</m:t>
                  </m:r>
                </m:e>
                <m:sup>
                  <m:r>
                    <m:t>D</m:t>
                  </m:r>
                  <m:r>
                    <m:t>C</m:t>
                  </m:r>
                </m:sup>
              </m:sSup>
            </m:oMath>
          </w:p>
        </w:tc>
        <w:tc>
          <w:tcPr/>
          <w:p>
            <w:pPr>
              <w:pStyle w:val="Compact"/>
            </w:pPr>
            <w:r>
              <w:t xml:space="preserve">Relative excess mortality after treatment, stage 3</w:t>
            </w:r>
          </w:p>
        </w:tc>
        <w:tc>
          <w:tcPr/>
          <w:p>
            <w:pPr>
              <w:pStyle w:val="Compact"/>
            </w:pPr>
            <w:r>
              <w:t xml:space="preserve">0.45</w:t>
            </w:r>
          </w:p>
        </w:tc>
        <w:tc>
          <w:tcPr/>
          <w:p>
            <w:pPr>
              <w:pStyle w:val="Compact"/>
            </w:pPr>
            <w:r>
              <w:t xml:space="preserve">[9]</w:t>
            </w:r>
          </w:p>
        </w:tc>
      </w:tr>
      <w:tr>
        <w:tc>
          <w:tcPr/>
          <w:p>
            <w:pPr>
              <w:pStyle w:val="Compact"/>
            </w:pPr>
            <m:oMath>
              <m:sSup>
                <m:e>
                  <m:r>
                    <m:t>ψ</m:t>
                  </m:r>
                </m:e>
                <m:sup>
                  <m:r>
                    <m:t>H</m:t>
                  </m:r>
                  <m:r>
                    <m:t>C</m:t>
                  </m:r>
                  <m:r>
                    <m:t>C</m:t>
                  </m:r>
                </m:sup>
              </m:sSup>
            </m:oMath>
          </w:p>
        </w:tc>
        <w:tc>
          <w:tcPr/>
          <w:p>
            <w:pPr>
              <w:pStyle w:val="Compact"/>
            </w:pPr>
            <w:r>
              <w:t xml:space="preserve">Relative excess mortality after treatment, stage 4</w:t>
            </w:r>
          </w:p>
        </w:tc>
        <w:tc>
          <w:tcPr/>
          <w:p>
            <w:pPr>
              <w:pStyle w:val="Compact"/>
            </w:pPr>
            <w:r>
              <w:t xml:space="preserve">0.37</w:t>
            </w:r>
          </w:p>
        </w:tc>
        <w:tc>
          <w:tcPr/>
          <w:p>
            <w:pPr>
              <w:pStyle w:val="Compact"/>
            </w:pPr>
            <w:r>
              <w:t xml:space="preserve">[10]</w:t>
            </w:r>
          </w:p>
        </w:tc>
      </w:tr>
      <w:tr>
        <w:tc>
          <w:tcPr/>
          <w:p>
            <w:pPr>
              <w:pStyle w:val="Compact"/>
            </w:pPr>
            <m:oMath>
              <m:r>
                <m:t>π</m:t>
              </m:r>
            </m:oMath>
          </w:p>
        </w:tc>
        <w:tc>
          <w:tcPr/>
          <w:p>
            <w:pPr>
              <w:pStyle w:val="Compact"/>
            </w:pPr>
            <w:r>
              <w:t xml:space="preserve">Share returning to injecting after release</w:t>
            </w:r>
          </w:p>
        </w:tc>
        <w:tc>
          <w:tcPr/>
          <w:p>
            <w:pPr>
              <w:pStyle w:val="Compact"/>
            </w:pPr>
            <w:r>
              <w:t xml:space="preserve">0.59</w:t>
            </w:r>
          </w:p>
        </w:tc>
        <w:tc>
          <w:tcPr/>
          <w:p>
            <w:pPr>
              <w:pStyle w:val="Compact"/>
            </w:pPr>
            <w:r>
              <w:t xml:space="preserve">Based on prison records</w:t>
            </w:r>
          </w:p>
        </w:tc>
      </w:tr>
    </w:tbl>
    <w:p>
      <w:pPr>
        <w:pStyle w:val="BodyText"/>
      </w:pPr>
      <w:r>
        <w:t xml:space="preserve">Genotype specific cure rates were 0.976 (genotype 3) and 0.988 (other) in stages 1 and 2. In stage 3 they were 0.45 and 0.90 without ribavirin and 0.87 and 0.92 with ribavirin</w:t>
      </w:r>
      <w:r>
        <w:t xml:space="preserve"> </w:t>
      </w:r>
      <w:r>
        <w:t xml:space="preserve">[13,14]</w:t>
      </w:r>
      <w:r>
        <w:t xml:space="preserve">. Liver cancer used the stage 3 cure rate because no specific trial data exist.</w:t>
      </w:r>
    </w:p>
    <w:bookmarkEnd w:id="12"/>
    <w:bookmarkStart w:id="13" w:name="main-assumptions"/>
    <w:p>
      <w:pPr>
        <w:pStyle w:val="Heading2"/>
      </w:pPr>
      <w:r>
        <w:t xml:space="preserve">1.5 Main assumptions</w:t>
      </w:r>
    </w:p>
    <w:p>
      <w:pPr>
        <w:pStyle w:val="Compact"/>
        <w:numPr>
          <w:ilvl w:val="0"/>
          <w:numId w:val="1002"/>
        </w:numPr>
      </w:pPr>
      <w:r>
        <w:t xml:space="preserve">There is no lasting immunity after clearance or cure. Reinfection follows the same force of infection as first infection</w:t>
      </w:r>
      <w:r>
        <w:t xml:space="preserve"> </w:t>
      </w:r>
      <w:r>
        <w:t xml:space="preserve">[13]</w:t>
      </w:r>
      <w:r>
        <w:t xml:space="preserve">.</w:t>
      </w:r>
    </w:p>
    <w:p>
      <w:pPr>
        <w:pStyle w:val="Compact"/>
        <w:numPr>
          <w:ilvl w:val="0"/>
          <w:numId w:val="1002"/>
        </w:numPr>
      </w:pPr>
      <w:r>
        <w:t xml:space="preserve">Liver disease does not progress during acute infection.</w:t>
      </w:r>
    </w:p>
    <w:p>
      <w:pPr>
        <w:pStyle w:val="Compact"/>
        <w:numPr>
          <w:ilvl w:val="0"/>
          <w:numId w:val="1002"/>
        </w:numPr>
      </w:pPr>
      <w:r>
        <w:t xml:space="preserve">Fibrosis does not regress after cure.</w:t>
      </w:r>
    </w:p>
    <w:p>
      <w:pPr>
        <w:pStyle w:val="Compact"/>
        <w:numPr>
          <w:ilvl w:val="0"/>
          <w:numId w:val="1002"/>
        </w:numPr>
      </w:pPr>
      <w:r>
        <w:t xml:space="preserve">People in X do not relapse to injecting and cannot be reinfected.</w:t>
      </w:r>
    </w:p>
    <w:p>
      <w:pPr>
        <w:pStyle w:val="Compact"/>
        <w:numPr>
          <w:ilvl w:val="0"/>
          <w:numId w:val="1002"/>
        </w:numPr>
      </w:pPr>
      <w:r>
        <w:t xml:space="preserve">People on treatment are not infectious.</w:t>
      </w:r>
    </w:p>
    <w:p>
      <w:pPr>
        <w:pStyle w:val="Compact"/>
        <w:numPr>
          <w:ilvl w:val="0"/>
          <w:numId w:val="1002"/>
        </w:numPr>
      </w:pPr>
      <w:r>
        <w:t xml:space="preserve">The genotype mix is fixed over time.</w:t>
      </w:r>
    </w:p>
    <w:bookmarkEnd w:id="13"/>
    <w:bookmarkEnd w:id="14"/>
    <w:bookmarkStart w:id="24" w:name="data-and-calibration"/>
    <w:p>
      <w:pPr>
        <w:pStyle w:val="Heading1"/>
      </w:pPr>
      <w:r>
        <w:t xml:space="preserve">2. Data and calibration</w:t>
      </w:r>
    </w:p>
    <w:bookmarkStart w:id="15" w:name="targets"/>
    <w:p>
      <w:pPr>
        <w:pStyle w:val="Heading2"/>
      </w:pPr>
      <w:r>
        <w:t xml:space="preserve">2.1 Targets</w:t>
      </w:r>
    </w:p>
    <w:p>
      <w:pPr>
        <w:pStyle w:val="FirstParagraph"/>
      </w:pPr>
      <w:r>
        <w:t xml:space="preserve">The calibration targets were 2015 Singapore Prison Service data on HCV seroprevalence and the number of people in prison with a history of drug use, in six age groups. Seroprevalence in the model is the share of people in states a, c, t and r among all people in J. The prevalence terms used a binomial likelihood. The population terms used a log normal likelihood with standard deviation 0.10 on the log scale.</w:t>
      </w:r>
    </w:p>
    <w:bookmarkEnd w:id="15"/>
    <w:bookmarkStart w:id="16" w:name="entry-into-injecting"/>
    <w:p>
      <w:pPr>
        <w:pStyle w:val="Heading2"/>
      </w:pPr>
      <w:r>
        <w:t xml:space="preserve">2.2 Entry into injecting</w:t>
      </w:r>
    </w:p>
    <w:p>
      <w:pPr>
        <w:pStyle w:val="FirstParagraph"/>
      </w:pPr>
      <w:r>
        <w:t xml:space="preserve">From 2016 to 2025, entry into D followed the annual number of new drug users by age published by the Singapore Department of Statistics</w:t>
      </w:r>
      <w:r>
        <w:t xml:space="preserve"> </w:t>
      </w:r>
      <w:r>
        <w:t xml:space="preserve">[16]</w:t>
      </w:r>
      <w:r>
        <w:t xml:space="preserve"> </w:t>
      </w:r>
      <w:r>
        <w:t xml:space="preserve">(Table S2). Each age specific series was multiplied by a calibrated scale. The 2025 value was held constant to 2030. These counts come from law enforcement records and are a proxy for entry into injecting.</w:t>
      </w:r>
    </w:p>
    <w:p>
      <w:pPr>
        <w:pStyle w:val="BodyText"/>
      </w:pPr>
      <w:r>
        <w:rPr>
          <w:b/>
          <w:bCs/>
        </w:rPr>
        <w:t xml:space="preserve">Table S2. New drug users by age group, Singapore, 2015 to 2025.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&lt;20</w:t>
            </w:r>
          </w:p>
        </w:tc>
        <w:tc>
          <w:tcPr/>
          <w:p>
            <w:pPr>
              <w:pStyle w:val="Compact"/>
            </w:pPr>
            <w:r>
              <w:t xml:space="preserve">20–29</w:t>
            </w:r>
          </w:p>
        </w:tc>
        <w:tc>
          <w:tcPr/>
          <w:p>
            <w:pPr>
              <w:pStyle w:val="Compact"/>
            </w:pPr>
            <w:r>
              <w:t xml:space="preserve">30–39</w:t>
            </w:r>
          </w:p>
        </w:tc>
        <w:tc>
          <w:tcPr/>
          <w:p>
            <w:pPr>
              <w:pStyle w:val="Compact"/>
            </w:pPr>
            <w:r>
              <w:t xml:space="preserve">40–49</w:t>
            </w:r>
          </w:p>
        </w:tc>
        <w:tc>
          <w:tcPr/>
          <w:p>
            <w:pPr>
              <w:pStyle w:val="Compact"/>
            </w:pPr>
            <w:r>
              <w:t xml:space="preserve">50–59</w:t>
            </w:r>
          </w:p>
        </w:tc>
        <w:tc>
          <w:tcPr/>
          <w:p>
            <w:pPr>
              <w:pStyle w:val="Compact"/>
            </w:pPr>
            <w:r>
              <w:t xml:space="preserve">60+</w:t>
            </w:r>
          </w:p>
        </w:tc>
      </w:tr>
      <w:tr>
        <w:tc>
          <w:tcPr/>
          <w:p>
            <w:pPr>
              <w:pStyle w:val="Compact"/>
            </w:pPr>
            <w:r>
              <w:t xml:space="preserve">2015</w:t>
            </w:r>
          </w:p>
        </w:tc>
        <w:tc>
          <w:tcPr/>
          <w:p>
            <w:pPr>
              <w:pStyle w:val="Compact"/>
            </w:pPr>
            <w:r>
              <w:t xml:space="preserve">257</w:t>
            </w:r>
          </w:p>
        </w:tc>
        <w:tc>
          <w:tcPr/>
          <w:p>
            <w:pPr>
              <w:pStyle w:val="Compact"/>
            </w:pPr>
            <w:r>
              <w:t xml:space="preserve">644</w:t>
            </w:r>
          </w:p>
        </w:tc>
        <w:tc>
          <w:tcPr/>
          <w:p>
            <w:pPr>
              <w:pStyle w:val="Compact"/>
            </w:pPr>
            <w:r>
              <w:t xml:space="preserve">292</w:t>
            </w:r>
          </w:p>
        </w:tc>
        <w:tc>
          <w:tcPr/>
          <w:p>
            <w:pPr>
              <w:pStyle w:val="Compact"/>
            </w:pPr>
            <w:r>
              <w:t xml:space="preserve">94</w:t>
            </w:r>
          </w:p>
        </w:tc>
        <w:tc>
          <w:tcPr/>
          <w:p>
            <w:pPr>
              <w:pStyle w:val="Compact"/>
            </w:pPr>
            <w:r>
              <w:t xml:space="preserve">21</w:t>
            </w:r>
          </w:p>
        </w:tc>
        <w:tc>
          <w:tcPr/>
          <w:p>
            <w:pPr>
              <w:pStyle w:val="Compact"/>
            </w:pPr>
            <w:r>
              <w:t xml:space="preserve">1</w:t>
            </w:r>
          </w:p>
        </w:tc>
      </w:tr>
      <w:tr>
        <w:tc>
          <w:tcPr/>
          <w:p>
            <w:pPr>
              <w:pStyle w:val="Compact"/>
            </w:pPr>
            <w:r>
              <w:t xml:space="preserve">2016</w:t>
            </w:r>
          </w:p>
        </w:tc>
        <w:tc>
          <w:tcPr/>
          <w:p>
            <w:pPr>
              <w:pStyle w:val="Compact"/>
            </w:pPr>
            <w:r>
              <w:t xml:space="preserve">244</w:t>
            </w:r>
          </w:p>
        </w:tc>
        <w:tc>
          <w:tcPr/>
          <w:p>
            <w:pPr>
              <w:pStyle w:val="Compact"/>
            </w:pPr>
            <w:r>
              <w:t xml:space="preserve">650</w:t>
            </w:r>
          </w:p>
        </w:tc>
        <w:tc>
          <w:tcPr/>
          <w:p>
            <w:pPr>
              <w:pStyle w:val="Compact"/>
            </w:pPr>
            <w:r>
              <w:t xml:space="preserve">313</w:t>
            </w:r>
          </w:p>
        </w:tc>
        <w:tc>
          <w:tcPr/>
          <w:p>
            <w:pPr>
              <w:pStyle w:val="Compact"/>
            </w:pPr>
            <w:r>
              <w:t xml:space="preserve">110</w:t>
            </w:r>
          </w:p>
        </w:tc>
        <w:tc>
          <w:tcPr/>
          <w:p>
            <w:pPr>
              <w:pStyle w:val="Compact"/>
            </w:pPr>
            <w:r>
              <w:t xml:space="preserve">27</w:t>
            </w:r>
          </w:p>
        </w:tc>
        <w:tc>
          <w:tcPr/>
          <w:p>
            <w:pPr>
              <w:pStyle w:val="Compact"/>
            </w:pPr>
            <w:r>
              <w:t xml:space="preserve">4</w:t>
            </w:r>
          </w:p>
        </w:tc>
      </w:tr>
      <w:tr>
        <w:tc>
          <w:tcPr/>
          <w:p>
            <w:pPr>
              <w:pStyle w:val="Compact"/>
            </w:pPr>
            <w:r>
              <w:t xml:space="preserve">2017</w:t>
            </w:r>
          </w:p>
        </w:tc>
        <w:tc>
          <w:tcPr/>
          <w:p>
            <w:pPr>
              <w:pStyle w:val="Compact"/>
            </w:pPr>
            <w:r>
              <w:t xml:space="preserve">235</w:t>
            </w:r>
          </w:p>
        </w:tc>
        <w:tc>
          <w:tcPr/>
          <w:p>
            <w:pPr>
              <w:pStyle w:val="Compact"/>
            </w:pPr>
            <w:r>
              <w:t xml:space="preserve">565</w:t>
            </w:r>
          </w:p>
        </w:tc>
        <w:tc>
          <w:tcPr/>
          <w:p>
            <w:pPr>
              <w:pStyle w:val="Compact"/>
            </w:pPr>
            <w:r>
              <w:t xml:space="preserve">301</w:t>
            </w:r>
          </w:p>
        </w:tc>
        <w:tc>
          <w:tcPr/>
          <w:p>
            <w:pPr>
              <w:pStyle w:val="Compact"/>
            </w:pPr>
            <w:r>
              <w:t xml:space="preserve">111</w:t>
            </w:r>
          </w:p>
        </w:tc>
        <w:tc>
          <w:tcPr/>
          <w:p>
            <w:pPr>
              <w:pStyle w:val="Compact"/>
            </w:pPr>
            <w:r>
              <w:t xml:space="preserve">33</w:t>
            </w:r>
          </w:p>
        </w:tc>
        <w:tc>
          <w:tcPr/>
          <w:p>
            <w:pPr>
              <w:pStyle w:val="Compact"/>
            </w:pPr>
            <w:r>
              <w:t xml:space="preserve">4</w:t>
            </w:r>
          </w:p>
        </w:tc>
      </w:tr>
      <w:tr>
        <w:tc>
          <w:tcPr/>
          <w:p>
            <w:pPr>
              <w:pStyle w:val="Compact"/>
            </w:pPr>
            <w:r>
              <w:t xml:space="preserve">2018</w:t>
            </w:r>
          </w:p>
        </w:tc>
        <w:tc>
          <w:tcPr/>
          <w:p>
            <w:pPr>
              <w:pStyle w:val="Compact"/>
            </w:pPr>
            <w:r>
              <w:t xml:space="preserve">305</w:t>
            </w:r>
          </w:p>
        </w:tc>
        <w:tc>
          <w:tcPr/>
          <w:p>
            <w:pPr>
              <w:pStyle w:val="Compact"/>
            </w:pPr>
            <w:r>
              <w:t xml:space="preserve">570</w:t>
            </w:r>
          </w:p>
        </w:tc>
        <w:tc>
          <w:tcPr/>
          <w:p>
            <w:pPr>
              <w:pStyle w:val="Compact"/>
            </w:pPr>
            <w:r>
              <w:t xml:space="preserve">303</w:t>
            </w:r>
          </w:p>
        </w:tc>
        <w:tc>
          <w:tcPr/>
          <w:p>
            <w:pPr>
              <w:pStyle w:val="Compact"/>
            </w:pPr>
            <w:r>
              <w:t xml:space="preserve">138</w:t>
            </w:r>
          </w:p>
        </w:tc>
        <w:tc>
          <w:tcPr/>
          <w:p>
            <w:pPr>
              <w:pStyle w:val="Compact"/>
            </w:pPr>
            <w:r>
              <w:t xml:space="preserve">36</w:t>
            </w:r>
          </w:p>
        </w:tc>
        <w:tc>
          <w:tcPr/>
          <w:p>
            <w:pPr>
              <w:pStyle w:val="Compact"/>
            </w:pPr>
            <w:r>
              <w:t xml:space="preserve">12</w:t>
            </w:r>
          </w:p>
        </w:tc>
      </w:tr>
      <w:tr>
        <w:tc>
          <w:tcPr/>
          <w:p>
            <w:pPr>
              <w:pStyle w:val="Compact"/>
            </w:pPr>
            <w:r>
              <w:t xml:space="preserve">2019</w:t>
            </w:r>
          </w:p>
        </w:tc>
        <w:tc>
          <w:tcPr/>
          <w:p>
            <w:pPr>
              <w:pStyle w:val="Compact"/>
            </w:pPr>
            <w:r>
              <w:t xml:space="preserve">309</w:t>
            </w:r>
          </w:p>
        </w:tc>
        <w:tc>
          <w:tcPr/>
          <w:p>
            <w:pPr>
              <w:pStyle w:val="Compact"/>
            </w:pPr>
            <w:r>
              <w:t xml:space="preserve">594</w:t>
            </w:r>
          </w:p>
        </w:tc>
        <w:tc>
          <w:tcPr/>
          <w:p>
            <w:pPr>
              <w:pStyle w:val="Compact"/>
            </w:pPr>
            <w:r>
              <w:t xml:space="preserve">341</w:t>
            </w:r>
          </w:p>
        </w:tc>
        <w:tc>
          <w:tcPr/>
          <w:p>
            <w:pPr>
              <w:pStyle w:val="Compact"/>
            </w:pPr>
            <w:r>
              <w:t xml:space="preserve">130</w:t>
            </w:r>
          </w:p>
        </w:tc>
        <w:tc>
          <w:tcPr/>
          <w:p>
            <w:pPr>
              <w:pStyle w:val="Compact"/>
            </w:pPr>
            <w:r>
              <w:t xml:space="preserve">70</w:t>
            </w:r>
          </w:p>
        </w:tc>
        <w:tc>
          <w:tcPr/>
          <w:p>
            <w:pPr>
              <w:pStyle w:val="Compact"/>
            </w:pPr>
            <w:r>
              <w:t xml:space="preserve">16</w:t>
            </w:r>
          </w:p>
        </w:tc>
      </w:tr>
      <w:tr>
        <w:tc>
          <w:tcPr/>
          <w:p>
            <w:pPr>
              <w:pStyle w:val="Compact"/>
            </w:pPr>
            <w:r>
              <w:t xml:space="preserve">2020</w:t>
            </w:r>
          </w:p>
        </w:tc>
        <w:tc>
          <w:tcPr/>
          <w:p>
            <w:pPr>
              <w:pStyle w:val="Compact"/>
            </w:pPr>
            <w:r>
              <w:t xml:space="preserve">228</w:t>
            </w:r>
          </w:p>
        </w:tc>
        <w:tc>
          <w:tcPr/>
          <w:p>
            <w:pPr>
              <w:pStyle w:val="Compact"/>
            </w:pPr>
            <w:r>
              <w:t xml:space="preserve">488</w:t>
            </w:r>
          </w:p>
        </w:tc>
        <w:tc>
          <w:tcPr/>
          <w:p>
            <w:pPr>
              <w:pStyle w:val="Compact"/>
            </w:pPr>
            <w:r>
              <w:t xml:space="preserve">252</w:t>
            </w:r>
          </w:p>
        </w:tc>
        <w:tc>
          <w:tcPr/>
          <w:p>
            <w:pPr>
              <w:pStyle w:val="Compact"/>
            </w:pPr>
            <w:r>
              <w:t xml:space="preserve">112</w:t>
            </w:r>
          </w:p>
        </w:tc>
        <w:tc>
          <w:tcPr/>
          <w:p>
            <w:pPr>
              <w:pStyle w:val="Compact"/>
            </w:pPr>
            <w:r>
              <w:t xml:space="preserve">58</w:t>
            </w:r>
          </w:p>
        </w:tc>
        <w:tc>
          <w:tcPr/>
          <w:p>
            <w:pPr>
              <w:pStyle w:val="Compact"/>
            </w:pPr>
            <w:r>
              <w:t xml:space="preserve">13</w:t>
            </w:r>
          </w:p>
        </w:tc>
      </w:tr>
      <w:tr>
        <w:tc>
          <w:tcPr/>
          <w:p>
            <w:pPr>
              <w:pStyle w:val="Compact"/>
            </w:pPr>
            <w:r>
              <w:t xml:space="preserve">2021</w:t>
            </w:r>
          </w:p>
        </w:tc>
        <w:tc>
          <w:tcPr/>
          <w:p>
            <w:pPr>
              <w:pStyle w:val="Compact"/>
            </w:pPr>
            <w:r>
              <w:t xml:space="preserve">152</w:t>
            </w:r>
          </w:p>
        </w:tc>
        <w:tc>
          <w:tcPr/>
          <w:p>
            <w:pPr>
              <w:pStyle w:val="Compact"/>
            </w:pPr>
            <w:r>
              <w:t xml:space="preserve">408</w:t>
            </w:r>
          </w:p>
        </w:tc>
        <w:tc>
          <w:tcPr/>
          <w:p>
            <w:pPr>
              <w:pStyle w:val="Compact"/>
            </w:pPr>
            <w:r>
              <w:t xml:space="preserve">226</w:t>
            </w:r>
          </w:p>
        </w:tc>
        <w:tc>
          <w:tcPr/>
          <w:p>
            <w:pPr>
              <w:pStyle w:val="Compact"/>
            </w:pPr>
            <w:r>
              <w:t xml:space="preserve">97</w:t>
            </w:r>
          </w:p>
        </w:tc>
        <w:tc>
          <w:tcPr/>
          <w:p>
            <w:pPr>
              <w:pStyle w:val="Compact"/>
            </w:pPr>
            <w:r>
              <w:t xml:space="preserve">40</w:t>
            </w:r>
          </w:p>
        </w:tc>
        <w:tc>
          <w:tcPr/>
          <w:p>
            <w:pPr>
              <w:pStyle w:val="Compact"/>
            </w:pPr>
            <w:r>
              <w:t xml:space="preserve">13</w:t>
            </w:r>
          </w:p>
        </w:tc>
      </w:tr>
      <w:tr>
        <w:tc>
          <w:tcPr/>
          <w:p>
            <w:pPr>
              <w:pStyle w:val="Compact"/>
            </w:pPr>
            <w:r>
              <w:t xml:space="preserve">2022</w:t>
            </w:r>
          </w:p>
        </w:tc>
        <w:tc>
          <w:tcPr/>
          <w:p>
            <w:pPr>
              <w:pStyle w:val="Compact"/>
            </w:pPr>
            <w:r>
              <w:t xml:space="preserve">83</w:t>
            </w:r>
          </w:p>
        </w:tc>
        <w:tc>
          <w:tcPr/>
          <w:p>
            <w:pPr>
              <w:pStyle w:val="Compact"/>
            </w:pPr>
            <w:r>
              <w:t xml:space="preserve">317</w:t>
            </w:r>
          </w:p>
        </w:tc>
        <w:tc>
          <w:tcPr/>
          <w:p>
            <w:pPr>
              <w:pStyle w:val="Compact"/>
            </w:pPr>
            <w:r>
              <w:t xml:space="preserve">250</w:t>
            </w:r>
          </w:p>
        </w:tc>
        <w:tc>
          <w:tcPr/>
          <w:p>
            <w:pPr>
              <w:pStyle w:val="Compact"/>
            </w:pPr>
            <w:r>
              <w:t xml:space="preserve">101</w:t>
            </w:r>
          </w:p>
        </w:tc>
        <w:tc>
          <w:tcPr/>
          <w:p>
            <w:pPr>
              <w:pStyle w:val="Compact"/>
            </w:pPr>
            <w:r>
              <w:t xml:space="preserve">33</w:t>
            </w:r>
          </w:p>
        </w:tc>
        <w:tc>
          <w:tcPr/>
          <w:p>
            <w:pPr>
              <w:pStyle w:val="Compact"/>
            </w:pPr>
            <w:r>
              <w:t xml:space="preserve">18</w:t>
            </w:r>
          </w:p>
        </w:tc>
      </w:tr>
      <w:tr>
        <w:tc>
          <w:tcPr/>
          <w:p>
            <w:pPr>
              <w:pStyle w:val="Compact"/>
            </w:pPr>
            <w:r>
              <w:t xml:space="preserve">2023</w:t>
            </w:r>
          </w:p>
        </w:tc>
        <w:tc>
          <w:tcPr/>
          <w:p>
            <w:pPr>
              <w:pStyle w:val="Compact"/>
            </w:pPr>
            <w:r>
              <w:t xml:space="preserve">97</w:t>
            </w:r>
          </w:p>
        </w:tc>
        <w:tc>
          <w:tcPr/>
          <w:p>
            <w:pPr>
              <w:pStyle w:val="Compact"/>
            </w:pPr>
            <w:r>
              <w:t xml:space="preserve">391</w:t>
            </w:r>
          </w:p>
        </w:tc>
        <w:tc>
          <w:tcPr/>
          <w:p>
            <w:pPr>
              <w:pStyle w:val="Compact"/>
            </w:pPr>
            <w:r>
              <w:t xml:space="preserve">281</w:t>
            </w:r>
          </w:p>
        </w:tc>
        <w:tc>
          <w:tcPr/>
          <w:p>
            <w:pPr>
              <w:pStyle w:val="Compact"/>
            </w:pPr>
            <w:r>
              <w:t xml:space="preserve">123</w:t>
            </w:r>
          </w:p>
        </w:tc>
        <w:tc>
          <w:tcPr/>
          <w:p>
            <w:pPr>
              <w:pStyle w:val="Compact"/>
            </w:pPr>
            <w:r>
              <w:t xml:space="preserve">52</w:t>
            </w:r>
          </w:p>
        </w:tc>
        <w:tc>
          <w:tcPr/>
          <w:p>
            <w:pPr>
              <w:pStyle w:val="Compact"/>
            </w:pPr>
            <w:r>
              <w:t xml:space="preserve">8</w:t>
            </w:r>
          </w:p>
        </w:tc>
      </w:tr>
      <w:tr>
        <w:tc>
          <w:tcPr/>
          <w:p>
            <w:pPr>
              <w:pStyle w:val="Compact"/>
            </w:pPr>
            <w:r>
              <w:t xml:space="preserve">2024</w:t>
            </w:r>
          </w:p>
        </w:tc>
        <w:tc>
          <w:tcPr/>
          <w:p>
            <w:pPr>
              <w:pStyle w:val="Compact"/>
            </w:pPr>
            <w:r>
              <w:t xml:space="preserve">134</w:t>
            </w:r>
          </w:p>
        </w:tc>
        <w:tc>
          <w:tcPr/>
          <w:p>
            <w:pPr>
              <w:pStyle w:val="Compact"/>
            </w:pPr>
            <w:r>
              <w:t xml:space="preserve">401</w:t>
            </w:r>
          </w:p>
        </w:tc>
        <w:tc>
          <w:tcPr/>
          <w:p>
            <w:pPr>
              <w:pStyle w:val="Compact"/>
            </w:pPr>
            <w:r>
              <w:t xml:space="preserve">286</w:t>
            </w:r>
          </w:p>
        </w:tc>
        <w:tc>
          <w:tcPr/>
          <w:p>
            <w:pPr>
              <w:pStyle w:val="Compact"/>
            </w:pPr>
            <w:r>
              <w:t xml:space="preserve">116</w:t>
            </w:r>
          </w:p>
        </w:tc>
        <w:tc>
          <w:tcPr/>
          <w:p>
            <w:pPr>
              <w:pStyle w:val="Compact"/>
            </w:pPr>
            <w:r>
              <w:t xml:space="preserve">48</w:t>
            </w:r>
          </w:p>
        </w:tc>
        <w:tc>
          <w:tcPr/>
          <w:p>
            <w:pPr>
              <w:pStyle w:val="Compact"/>
            </w:pPr>
            <w:r>
              <w:t xml:space="preserve">11</w:t>
            </w:r>
          </w:p>
        </w:tc>
      </w:tr>
      <w:tr>
        <w:tc>
          <w:tcPr/>
          <w:p>
            <w:pPr>
              <w:pStyle w:val="Compact"/>
            </w:pPr>
            <w:r>
              <w:t xml:space="preserve">2025</w:t>
            </w:r>
          </w:p>
        </w:tc>
        <w:tc>
          <w:tcPr/>
          <w:p>
            <w:pPr>
              <w:pStyle w:val="Compact"/>
            </w:pPr>
            <w:r>
              <w:t xml:space="preserve">163</w:t>
            </w:r>
          </w:p>
        </w:tc>
        <w:tc>
          <w:tcPr/>
          <w:p>
            <w:pPr>
              <w:pStyle w:val="Compact"/>
            </w:pPr>
            <w:r>
              <w:t xml:space="preserve">420</w:t>
            </w:r>
          </w:p>
        </w:tc>
        <w:tc>
          <w:tcPr/>
          <w:p>
            <w:pPr>
              <w:pStyle w:val="Compact"/>
            </w:pPr>
            <w:r>
              <w:t xml:space="preserve">367</w:t>
            </w:r>
          </w:p>
        </w:tc>
        <w:tc>
          <w:tcPr/>
          <w:p>
            <w:pPr>
              <w:pStyle w:val="Compact"/>
            </w:pPr>
            <w:r>
              <w:t xml:space="preserve">140</w:t>
            </w:r>
          </w:p>
        </w:tc>
        <w:tc>
          <w:tcPr/>
          <w:p>
            <w:pPr>
              <w:pStyle w:val="Compact"/>
            </w:pPr>
            <w:r>
              <w:t xml:space="preserve">60</w:t>
            </w:r>
          </w:p>
        </w:tc>
        <w:tc>
          <w:tcPr/>
          <w:p>
            <w:pPr>
              <w:pStyle w:val="Compact"/>
            </w:pPr>
            <w:r>
              <w:t xml:space="preserve">15</w:t>
            </w:r>
          </w:p>
        </w:tc>
      </w:tr>
    </w:tbl>
    <w:bookmarkEnd w:id="16"/>
    <w:bookmarkStart w:id="17" w:name="calibrated-parameters-and-priors"/>
    <w:p>
      <w:pPr>
        <w:pStyle w:val="Heading2"/>
      </w:pPr>
      <w:r>
        <w:t xml:space="preserve">2.3 Calibrated parameters and priors</w:t>
      </w:r>
    </w:p>
    <w:p>
      <w:pPr>
        <w:pStyle w:val="FirstParagraph"/>
      </w:pPr>
      <w:r>
        <w:t xml:space="preserve">We estimated 12 parameters on the log scale. Parameters θ1 to θ6 multiply the contact rates of the six age groups. Parameters θ7 to θ12 multiply the entry rates of the six age groups. A deterministic Nelder Mead fit with 8 starts gave the centre of the prior. The starts were an earlier anchor, 6 random perturbations of it (standard deviation 0.9 on the log scale) and a population informed start. Each start ran for up to 3,000 iterations. The best fit had an objective of 22.58, a prevalence root mean square error of 0.0332 and a population mean absolute percentage error of 5.3%. Every model evaluation ran from model year 0 to 150. The last ten years had to be at equilibrium. The prior for each parameter was normal on the log scale with standard deviation 0.20. Its centre was the best fit, except that any value closer than five prior standard deviations (1.0 on the log scale) to a parameter bound was moved inward to that distance. This changed only θ6, which the best fit placed at its lower bound, where the likelihood is flat (Table S5). Without this step about half of the prior mass for that parameter would lie outside the bounds. Contact scales were bounded to 0.01 to 1,000 and entry scales to 0.01 to 10⁶.</w:t>
      </w:r>
    </w:p>
    <w:bookmarkEnd w:id="17"/>
    <w:bookmarkStart w:id="18" w:name="posterior-sampling"/>
    <w:p>
      <w:pPr>
        <w:pStyle w:val="Heading2"/>
      </w:pPr>
      <w:r>
        <w:t xml:space="preserve">2.4 Posterior sampling</w:t>
      </w:r>
    </w:p>
    <w:p>
      <w:pPr>
        <w:pStyle w:val="FirstParagraph"/>
      </w:pPr>
      <w:r>
        <w:t xml:space="preserve">The posterior combined the prior, a binomial likelihood for the six prevalence counts and a log normal likelihood (standard deviation 0.10) for the six population counts. Parameter sets outside the bounds or whose simulation failed the equilibrium check had zero posterior density. We sampled it with adaptive random walk Metropolis</w:t>
      </w:r>
      <w:r>
        <w:t xml:space="preserve"> </w:t>
      </w:r>
      <w:r>
        <w:t xml:space="preserve">[17]</w:t>
      </w:r>
      <w:r>
        <w:t xml:space="preserve">. Four chains started from independent prior draws. The initial proposal covariance was 0.01 times the prior variance. Adaptation began after 5,000 proposals, was refreshed every 50 proposals and was frozen after warmup. A 5% share of proposals always used the initial covariance. Each chain ran 50,000 model evaluations, of which 10,000 were warmup, giving 159,996 retained iterations. Every 10th iteration was stored (16,000 draws), and diagnostics used all retained iterations. Acceptance was 0.26 to 0.30. All parameters met the convergence checks (Table S3)</w:t>
      </w:r>
      <w:r>
        <w:t xml:space="preserve"> </w:t>
      </w:r>
      <w:r>
        <w:t xml:space="preserve">[18]</w:t>
      </w:r>
      <w:r>
        <w:t xml:space="preserve">.</w:t>
      </w:r>
    </w:p>
    <w:p>
      <w:pPr>
        <w:pStyle w:val="BodyText"/>
      </w:pPr>
      <w:r>
        <w:rPr>
          <w:b/>
          <w:bCs/>
        </w:rPr>
        <w:t xml:space="preserve">Table S3. Convergence diagnostics of the MCMC posterior.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Rank normalised R-hat</w:t>
            </w:r>
          </w:p>
        </w:tc>
        <w:tc>
          <w:tcPr/>
          <w:p>
            <w:pPr>
              <w:pStyle w:val="Compact"/>
            </w:pPr>
            <w:r>
              <w:t xml:space="preserve">Bulk ESS</w:t>
            </w:r>
          </w:p>
        </w:tc>
        <w:tc>
          <w:tcPr/>
          <w:p>
            <w:pPr>
              <w:pStyle w:val="Compact"/>
            </w:pPr>
            <w:r>
              <w:t xml:space="preserve">Tail ESS</w:t>
            </w:r>
          </w:p>
        </w:tc>
        <w:tc>
          <w:tcPr/>
          <w:p>
            <w:pPr>
              <w:pStyle w:val="Compact"/>
            </w:pPr>
            <w:r>
              <w:t xml:space="preserve">MCSE of mean / posterior SD</w:t>
            </w:r>
          </w:p>
        </w:tc>
      </w:tr>
      <w:tr>
        <w:tc>
          <w:tcPr/>
          <w:p>
            <w:pPr>
              <w:pStyle w:val="Compact"/>
            </w:pPr>
            <w:r>
              <w:t xml:space="preserve">θ1</w:t>
            </w:r>
          </w:p>
        </w:tc>
        <w:tc>
          <w:tcPr/>
          <w:p>
            <w:pPr>
              <w:pStyle w:val="Compact"/>
            </w:pPr>
            <w:r>
              <w:t xml:space="preserve">1.0007</w:t>
            </w:r>
          </w:p>
        </w:tc>
        <w:tc>
          <w:tcPr/>
          <w:p>
            <w:pPr>
              <w:pStyle w:val="Compact"/>
            </w:pPr>
            <w:r>
              <w:t xml:space="preserve">3,778</w:t>
            </w:r>
          </w:p>
        </w:tc>
        <w:tc>
          <w:tcPr/>
          <w:p>
            <w:pPr>
              <w:pStyle w:val="Compact"/>
            </w:pPr>
            <w:r>
              <w:t xml:space="preserve">7,576</w:t>
            </w:r>
          </w:p>
        </w:tc>
        <w:tc>
          <w:tcPr/>
          <w:p>
            <w:pPr>
              <w:pStyle w:val="Compact"/>
            </w:pPr>
            <w:r>
              <w:t xml:space="preserve">0.016</w:t>
            </w:r>
          </w:p>
        </w:tc>
      </w:tr>
      <w:tr>
        <w:tc>
          <w:tcPr/>
          <w:p>
            <w:pPr>
              <w:pStyle w:val="Compact"/>
            </w:pPr>
            <w:r>
              <w:t xml:space="preserve">θ2</w:t>
            </w:r>
          </w:p>
        </w:tc>
        <w:tc>
          <w:tcPr/>
          <w:p>
            <w:pPr>
              <w:pStyle w:val="Compact"/>
            </w:pPr>
            <w:r>
              <w:t xml:space="preserve">1.0009</w:t>
            </w:r>
          </w:p>
        </w:tc>
        <w:tc>
          <w:tcPr/>
          <w:p>
            <w:pPr>
              <w:pStyle w:val="Compact"/>
            </w:pPr>
            <w:r>
              <w:t xml:space="preserve">4,037</w:t>
            </w:r>
          </w:p>
        </w:tc>
        <w:tc>
          <w:tcPr/>
          <w:p>
            <w:pPr>
              <w:pStyle w:val="Compact"/>
            </w:pPr>
            <w:r>
              <w:t xml:space="preserve">6,827</w:t>
            </w:r>
          </w:p>
        </w:tc>
        <w:tc>
          <w:tcPr/>
          <w:p>
            <w:pPr>
              <w:pStyle w:val="Compact"/>
            </w:pPr>
            <w:r>
              <w:t xml:space="preserve">0.016</w:t>
            </w:r>
          </w:p>
        </w:tc>
      </w:tr>
      <w:tr>
        <w:tc>
          <w:tcPr/>
          <w:p>
            <w:pPr>
              <w:pStyle w:val="Compact"/>
            </w:pPr>
            <w:r>
              <w:t xml:space="preserve">θ3</w:t>
            </w:r>
          </w:p>
        </w:tc>
        <w:tc>
          <w:tcPr/>
          <w:p>
            <w:pPr>
              <w:pStyle w:val="Compact"/>
            </w:pPr>
            <w:r>
              <w:t xml:space="preserve">1.0012</w:t>
            </w:r>
          </w:p>
        </w:tc>
        <w:tc>
          <w:tcPr/>
          <w:p>
            <w:pPr>
              <w:pStyle w:val="Compact"/>
            </w:pPr>
            <w:r>
              <w:t xml:space="preserve">3,392</w:t>
            </w:r>
          </w:p>
        </w:tc>
        <w:tc>
          <w:tcPr/>
          <w:p>
            <w:pPr>
              <w:pStyle w:val="Compact"/>
            </w:pPr>
            <w:r>
              <w:t xml:space="preserve">5,119</w:t>
            </w:r>
          </w:p>
        </w:tc>
        <w:tc>
          <w:tcPr/>
          <w:p>
            <w:pPr>
              <w:pStyle w:val="Compact"/>
            </w:pPr>
            <w:r>
              <w:t xml:space="preserve">0.017</w:t>
            </w:r>
          </w:p>
        </w:tc>
      </w:tr>
      <w:tr>
        <w:tc>
          <w:tcPr/>
          <w:p>
            <w:pPr>
              <w:pStyle w:val="Compact"/>
            </w:pPr>
            <w:r>
              <w:t xml:space="preserve">θ4</w:t>
            </w:r>
          </w:p>
        </w:tc>
        <w:tc>
          <w:tcPr/>
          <w:p>
            <w:pPr>
              <w:pStyle w:val="Compact"/>
            </w:pPr>
            <w:r>
              <w:t xml:space="preserve">1.0006</w:t>
            </w:r>
          </w:p>
        </w:tc>
        <w:tc>
          <w:tcPr/>
          <w:p>
            <w:pPr>
              <w:pStyle w:val="Compact"/>
            </w:pPr>
            <w:r>
              <w:t xml:space="preserve">3,360</w:t>
            </w:r>
          </w:p>
        </w:tc>
        <w:tc>
          <w:tcPr/>
          <w:p>
            <w:pPr>
              <w:pStyle w:val="Compact"/>
            </w:pPr>
            <w:r>
              <w:t xml:space="preserve">7,397</w:t>
            </w:r>
          </w:p>
        </w:tc>
        <w:tc>
          <w:tcPr/>
          <w:p>
            <w:pPr>
              <w:pStyle w:val="Compact"/>
            </w:pPr>
            <w:r>
              <w:t xml:space="preserve">0.017</w:t>
            </w:r>
          </w:p>
        </w:tc>
      </w:tr>
      <w:tr>
        <w:tc>
          <w:tcPr/>
          <w:p>
            <w:pPr>
              <w:pStyle w:val="Compact"/>
            </w:pPr>
            <w:r>
              <w:t xml:space="preserve">θ5</w:t>
            </w:r>
          </w:p>
        </w:tc>
        <w:tc>
          <w:tcPr/>
          <w:p>
            <w:pPr>
              <w:pStyle w:val="Compact"/>
            </w:pPr>
            <w:r>
              <w:t xml:space="preserve">1.0008</w:t>
            </w:r>
          </w:p>
        </w:tc>
        <w:tc>
          <w:tcPr/>
          <w:p>
            <w:pPr>
              <w:pStyle w:val="Compact"/>
            </w:pPr>
            <w:r>
              <w:t xml:space="preserve">4,259</w:t>
            </w:r>
          </w:p>
        </w:tc>
        <w:tc>
          <w:tcPr/>
          <w:p>
            <w:pPr>
              <w:pStyle w:val="Compact"/>
            </w:pPr>
            <w:r>
              <w:t xml:space="preserve">8,515</w:t>
            </w:r>
          </w:p>
        </w:tc>
        <w:tc>
          <w:tcPr/>
          <w:p>
            <w:pPr>
              <w:pStyle w:val="Compact"/>
            </w:pPr>
            <w:r>
              <w:t xml:space="preserve">0.015</w:t>
            </w:r>
          </w:p>
        </w:tc>
      </w:tr>
      <w:tr>
        <w:tc>
          <w:tcPr/>
          <w:p>
            <w:pPr>
              <w:pStyle w:val="Compact"/>
            </w:pPr>
            <w:r>
              <w:t xml:space="preserve">θ6</w:t>
            </w:r>
          </w:p>
        </w:tc>
        <w:tc>
          <w:tcPr/>
          <w:p>
            <w:pPr>
              <w:pStyle w:val="Compact"/>
            </w:pPr>
            <w:r>
              <w:t xml:space="preserve">1.0016</w:t>
            </w:r>
          </w:p>
        </w:tc>
        <w:tc>
          <w:tcPr/>
          <w:p>
            <w:pPr>
              <w:pStyle w:val="Compact"/>
            </w:pPr>
            <w:r>
              <w:t xml:space="preserve">3,873</w:t>
            </w:r>
          </w:p>
        </w:tc>
        <w:tc>
          <w:tcPr/>
          <w:p>
            <w:pPr>
              <w:pStyle w:val="Compact"/>
            </w:pPr>
            <w:r>
              <w:t xml:space="preserve">6,733</w:t>
            </w:r>
          </w:p>
        </w:tc>
        <w:tc>
          <w:tcPr/>
          <w:p>
            <w:pPr>
              <w:pStyle w:val="Compact"/>
            </w:pPr>
            <w:r>
              <w:t xml:space="preserve">0.016</w:t>
            </w:r>
          </w:p>
        </w:tc>
      </w:tr>
      <w:tr>
        <w:tc>
          <w:tcPr/>
          <w:p>
            <w:pPr>
              <w:pStyle w:val="Compact"/>
            </w:pPr>
            <w:r>
              <w:t xml:space="preserve">θ7</w:t>
            </w:r>
          </w:p>
        </w:tc>
        <w:tc>
          <w:tcPr/>
          <w:p>
            <w:pPr>
              <w:pStyle w:val="Compact"/>
            </w:pPr>
            <w:r>
              <w:t xml:space="preserve">1.0019</w:t>
            </w:r>
          </w:p>
        </w:tc>
        <w:tc>
          <w:tcPr/>
          <w:p>
            <w:pPr>
              <w:pStyle w:val="Compact"/>
            </w:pPr>
            <w:r>
              <w:t xml:space="preserve">3,702</w:t>
            </w:r>
          </w:p>
        </w:tc>
        <w:tc>
          <w:tcPr/>
          <w:p>
            <w:pPr>
              <w:pStyle w:val="Compact"/>
            </w:pPr>
            <w:r>
              <w:t xml:space="preserve">7,530</w:t>
            </w:r>
          </w:p>
        </w:tc>
        <w:tc>
          <w:tcPr/>
          <w:p>
            <w:pPr>
              <w:pStyle w:val="Compact"/>
            </w:pPr>
            <w:r>
              <w:t xml:space="preserve">0.016</w:t>
            </w:r>
          </w:p>
        </w:tc>
      </w:tr>
      <w:tr>
        <w:tc>
          <w:tcPr/>
          <w:p>
            <w:pPr>
              <w:pStyle w:val="Compact"/>
            </w:pPr>
            <w:r>
              <w:t xml:space="preserve">θ8</w:t>
            </w:r>
          </w:p>
        </w:tc>
        <w:tc>
          <w:tcPr/>
          <w:p>
            <w:pPr>
              <w:pStyle w:val="Compact"/>
            </w:pPr>
            <w:r>
              <w:t xml:space="preserve">1.0015</w:t>
            </w:r>
          </w:p>
        </w:tc>
        <w:tc>
          <w:tcPr/>
          <w:p>
            <w:pPr>
              <w:pStyle w:val="Compact"/>
            </w:pPr>
            <w:r>
              <w:t xml:space="preserve">4,011</w:t>
            </w:r>
          </w:p>
        </w:tc>
        <w:tc>
          <w:tcPr/>
          <w:p>
            <w:pPr>
              <w:pStyle w:val="Compact"/>
            </w:pPr>
            <w:r>
              <w:t xml:space="preserve">7,858</w:t>
            </w:r>
          </w:p>
        </w:tc>
        <w:tc>
          <w:tcPr/>
          <w:p>
            <w:pPr>
              <w:pStyle w:val="Compact"/>
            </w:pPr>
            <w:r>
              <w:t xml:space="preserve">0.016</w:t>
            </w:r>
          </w:p>
        </w:tc>
      </w:tr>
      <w:tr>
        <w:tc>
          <w:tcPr/>
          <w:p>
            <w:pPr>
              <w:pStyle w:val="Compact"/>
            </w:pPr>
            <w:r>
              <w:t xml:space="preserve">θ9</w:t>
            </w:r>
          </w:p>
        </w:tc>
        <w:tc>
          <w:tcPr/>
          <w:p>
            <w:pPr>
              <w:pStyle w:val="Compact"/>
            </w:pPr>
            <w:r>
              <w:t xml:space="preserve">1.0013</w:t>
            </w:r>
          </w:p>
        </w:tc>
        <w:tc>
          <w:tcPr/>
          <w:p>
            <w:pPr>
              <w:pStyle w:val="Compact"/>
            </w:pPr>
            <w:r>
              <w:t xml:space="preserve">2,824</w:t>
            </w:r>
          </w:p>
        </w:tc>
        <w:tc>
          <w:tcPr/>
          <w:p>
            <w:pPr>
              <w:pStyle w:val="Compact"/>
            </w:pPr>
            <w:r>
              <w:t xml:space="preserve">5,527</w:t>
            </w:r>
          </w:p>
        </w:tc>
        <w:tc>
          <w:tcPr/>
          <w:p>
            <w:pPr>
              <w:pStyle w:val="Compact"/>
            </w:pPr>
            <w:r>
              <w:t xml:space="preserve">0.019</w:t>
            </w:r>
          </w:p>
        </w:tc>
      </w:tr>
      <w:tr>
        <w:tc>
          <w:tcPr/>
          <w:p>
            <w:pPr>
              <w:pStyle w:val="Compact"/>
            </w:pPr>
            <w:r>
              <w:t xml:space="preserve">θ10</w:t>
            </w:r>
          </w:p>
        </w:tc>
        <w:tc>
          <w:tcPr/>
          <w:p>
            <w:pPr>
              <w:pStyle w:val="Compact"/>
            </w:pPr>
            <w:r>
              <w:t xml:space="preserve">1.0020</w:t>
            </w:r>
          </w:p>
        </w:tc>
        <w:tc>
          <w:tcPr/>
          <w:p>
            <w:pPr>
              <w:pStyle w:val="Compact"/>
            </w:pPr>
            <w:r>
              <w:t xml:space="preserve">3,113</w:t>
            </w:r>
          </w:p>
        </w:tc>
        <w:tc>
          <w:tcPr/>
          <w:p>
            <w:pPr>
              <w:pStyle w:val="Compact"/>
            </w:pPr>
            <w:r>
              <w:t xml:space="preserve">5,577</w:t>
            </w:r>
          </w:p>
        </w:tc>
        <w:tc>
          <w:tcPr/>
          <w:p>
            <w:pPr>
              <w:pStyle w:val="Compact"/>
            </w:pPr>
            <w:r>
              <w:t xml:space="preserve">0.018</w:t>
            </w:r>
          </w:p>
        </w:tc>
      </w:tr>
      <w:tr>
        <w:tc>
          <w:tcPr/>
          <w:p>
            <w:pPr>
              <w:pStyle w:val="Compact"/>
            </w:pPr>
            <w:r>
              <w:t xml:space="preserve">θ11</w:t>
            </w:r>
          </w:p>
        </w:tc>
        <w:tc>
          <w:tcPr/>
          <w:p>
            <w:pPr>
              <w:pStyle w:val="Compact"/>
            </w:pPr>
            <w:r>
              <w:t xml:space="preserve">1.0015</w:t>
            </w:r>
          </w:p>
        </w:tc>
        <w:tc>
          <w:tcPr/>
          <w:p>
            <w:pPr>
              <w:pStyle w:val="Compact"/>
            </w:pPr>
            <w:r>
              <w:t xml:space="preserve">3,596</w:t>
            </w:r>
          </w:p>
        </w:tc>
        <w:tc>
          <w:tcPr/>
          <w:p>
            <w:pPr>
              <w:pStyle w:val="Compact"/>
            </w:pPr>
            <w:r>
              <w:t xml:space="preserve">6,333</w:t>
            </w:r>
          </w:p>
        </w:tc>
        <w:tc>
          <w:tcPr/>
          <w:p>
            <w:pPr>
              <w:pStyle w:val="Compact"/>
            </w:pPr>
            <w:r>
              <w:t xml:space="preserve">0.017</w:t>
            </w:r>
          </w:p>
        </w:tc>
      </w:tr>
      <w:tr>
        <w:tc>
          <w:tcPr/>
          <w:p>
            <w:pPr>
              <w:pStyle w:val="Compact"/>
            </w:pPr>
            <w:r>
              <w:t xml:space="preserve">θ12</w:t>
            </w:r>
          </w:p>
        </w:tc>
        <w:tc>
          <w:tcPr/>
          <w:p>
            <w:pPr>
              <w:pStyle w:val="Compact"/>
            </w:pPr>
            <w:r>
              <w:t xml:space="preserve">1.0004</w:t>
            </w:r>
          </w:p>
        </w:tc>
        <w:tc>
          <w:tcPr/>
          <w:p>
            <w:pPr>
              <w:pStyle w:val="Compact"/>
            </w:pPr>
            <w:r>
              <w:t xml:space="preserve">4,041</w:t>
            </w:r>
          </w:p>
        </w:tc>
        <w:tc>
          <w:tcPr/>
          <w:p>
            <w:pPr>
              <w:pStyle w:val="Compact"/>
            </w:pPr>
            <w:r>
              <w:t xml:space="preserve">6,876</w:t>
            </w:r>
          </w:p>
        </w:tc>
        <w:tc>
          <w:tcPr/>
          <w:p>
            <w:pPr>
              <w:pStyle w:val="Compact"/>
            </w:pPr>
            <w:r>
              <w:t xml:space="preserve">0.016</w:t>
            </w:r>
          </w:p>
        </w:tc>
      </w:tr>
    </w:tbl>
    <w:bookmarkEnd w:id="18"/>
    <w:bookmarkStart w:id="19" w:name="X716270ea85265bdd2a06f5bb2cf57a20f754157"/>
    <w:p>
      <w:pPr>
        <w:pStyle w:val="Heading2"/>
      </w:pPr>
      <w:r>
        <w:t xml:space="preserve">2.5 Comparison with neural posterior estimation</w:t>
      </w:r>
    </w:p>
    <w:p>
      <w:pPr>
        <w:pStyle w:val="FirstParagraph"/>
      </w:pPr>
      <w:r>
        <w:t xml:space="preserve">We checked the MCMC posterior against single round neural posterior estimation (NPE)</w:t>
      </w:r>
      <w:r>
        <w:t xml:space="preserve"> </w:t>
      </w:r>
      <w:r>
        <w:t xml:space="preserve">[19]</w:t>
      </w:r>
      <w:r>
        <w:t xml:space="preserve">, implemented in the sbi package</w:t>
      </w:r>
      <w:r>
        <w:t xml:space="preserve"> </w:t>
      </w:r>
      <w:r>
        <w:t xml:space="preserve">[20]</w:t>
      </w:r>
      <w:r>
        <w:t xml:space="preserve">. Both methods used the same prior, likelihood, solver and equilibrium restriction. We drew 50,000 parameter sets from the prior by Latin hypercube sampling. The design had one point in each of 50,000 equal probability strata for every parameter, and each column was mapped through the normal inverse distribution function of that parameter’s prior. Of these, 50,000 simulations were valid. Exclusions were 0 draws outside the bounds, 0 equilibrium failures and 0 non-finite simulations; excluded draws are dropped, not replaced. The estimator was an equal weight ensemble of 5 masked autoregressive flows, each with 50 hidden features and 5 transforms</w:t>
      </w:r>
      <w:r>
        <w:t xml:space="preserve"> </w:t>
      </w:r>
      <w:r>
        <w:t xml:space="preserve">[21]</w:t>
      </w:r>
      <w:r>
        <w:t xml:space="preserve">, trained in one round with the standard loss from different random seeds. A single network gave a small seed dependent bias in one parameter, which the ensemble removed.</w:t>
      </w:r>
    </w:p>
    <w:p>
      <w:pPr>
        <w:pStyle w:val="BodyText"/>
      </w:pPr>
      <w:r>
        <w:t xml:space="preserve">We checked the neural posterior by simulation based calibration</w:t>
      </w:r>
      <w:r>
        <w:t xml:space="preserve"> </w:t>
      </w:r>
      <w:r>
        <w:t xml:space="preserve">[22]</w:t>
      </w:r>
      <w:r>
        <w:t xml:space="preserve"> </w:t>
      </w:r>
      <w:r>
        <w:t xml:space="preserve">on 1,000 datasets simulated from independent prior draws. For each parameter, 95% interval coverage was 0.931 to 0.958 and 90% coverage 0.873 to 0.910. No rank histogram showed systematic skew (U shape, central peak, shift or Bonferroni corrected chi-square departure). The predeclared gate required 95% coverage of at least 0.85 and 90% coverage of at least 0.75 for every parameter. As a smaller direct check, we reran the MCMC on 8 of these simulated datasets, with one chain of 30,000 evaluations each. Pooled 95% coverage was 1.00 and 90% coverage 0.95 over 96 ranks; this guards only against gross miscalibration.</w:t>
      </w:r>
    </w:p>
    <w:p>
      <w:pPr>
        <w:pStyle w:val="BodyText"/>
      </w:pPr>
      <w:r>
        <w:t xml:space="preserve">Table S4 compares the neural posterior with the MCMC posterior. The full comparison is in the project repository (</w:t>
      </w:r>
      <w:r>
        <w:rPr>
          <w:rStyle w:val="VerbatimChar"/>
        </w:rPr>
        <w:t xml:space="preserve">output/calibration/npe_vs_mcmc/report.md</w:t>
      </w:r>
      <w:r>
        <w:t xml:space="preserve">).</w:t>
      </w:r>
    </w:p>
    <w:p>
      <w:pPr>
        <w:pStyle w:val="BodyText"/>
      </w:pPr>
      <w:r>
        <w:rPr>
          <w:b/>
          <w:bCs/>
        </w:rPr>
        <w:t xml:space="preserve">Table S4. Single round NPE compared with the MCMC posterior.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Prior simulations (valid)</w:t>
            </w:r>
          </w:p>
        </w:tc>
        <w:tc>
          <w:tcPr/>
          <w:p>
            <w:pPr>
              <w:pStyle w:val="Compact"/>
            </w:pPr>
            <w:r>
              <w:t xml:space="preserve">Worst absolute mean difference (posterior SD)</w:t>
            </w:r>
          </w:p>
        </w:tc>
        <w:tc>
          <w:tcPr/>
          <w:p>
            <w:pPr>
              <w:pStyle w:val="Compact"/>
            </w:pPr>
            <w:r>
              <w:t xml:space="preserve">Worst 95% endpoint difference (posterior SD)</w:t>
            </w:r>
          </w:p>
        </w:tc>
        <w:tc>
          <w:tcPr/>
          <w:p>
            <w:pPr>
              <w:pStyle w:val="Compact"/>
            </w:pPr>
            <w:r>
              <w:t xml:space="preserve">95% interval width ratio, mean (range)</w:t>
            </w:r>
          </w:p>
        </w:tc>
        <w:tc>
          <w:tcPr/>
          <w:p>
            <w:pPr>
              <w:pStyle w:val="Compact"/>
            </w:pPr>
            <w:r>
              <w:t xml:space="preserve">Parameters passing all checks</w:t>
            </w:r>
          </w:p>
        </w:tc>
        <w:tc>
          <w:tcPr/>
          <w:p>
            <w:pPr>
              <w:pStyle w:val="Compact"/>
            </w:pPr>
            <w:r>
              <w:t xml:space="preserve">Worst policy median error</w:t>
            </w:r>
          </w:p>
        </w:tc>
        <w:tc>
          <w:tcPr/>
          <w:p>
            <w:pPr>
              <w:pStyle w:val="Compact"/>
            </w:pPr>
            <w:r>
              <w:t xml:space="preserve">Worst joint pass probability error (percentage points)</w:t>
            </w:r>
          </w:p>
        </w:tc>
      </w:tr>
      <w:tr>
        <w:tc>
          <w:tcPr/>
          <w:p>
            <w:pPr>
              <w:pStyle w:val="Compact"/>
            </w:pPr>
            <w:r>
              <w:t xml:space="preserve">Single round NPE, 5 network ensemble, Latin hypercube sampling</w:t>
            </w:r>
          </w:p>
        </w:tc>
        <w:tc>
          <w:tcPr/>
          <w:p>
            <w:pPr>
              <w:pStyle w:val="Compact"/>
            </w:pPr>
            <w:r>
              <w:t xml:space="preserve">50,000 (50,000)</w:t>
            </w:r>
          </w:p>
        </w:tc>
        <w:tc>
          <w:tcPr/>
          <w:p>
            <w:pPr>
              <w:pStyle w:val="Compact"/>
            </w:pPr>
            <w:r>
              <w:t xml:space="preserve">0.05</w:t>
            </w:r>
          </w:p>
        </w:tc>
        <w:tc>
          <w:tcPr/>
          <w:p>
            <w:pPr>
              <w:pStyle w:val="Compact"/>
            </w:pPr>
            <w:r>
              <w:t xml:space="preserve">0.20</w:t>
            </w:r>
          </w:p>
        </w:tc>
        <w:tc>
          <w:tcPr/>
          <w:p>
            <w:pPr>
              <w:pStyle w:val="Compact"/>
            </w:pPr>
            <w:r>
              <w:t xml:space="preserve">0.963 (0.93 to 1.01)</w:t>
            </w:r>
          </w:p>
        </w:tc>
        <w:tc>
          <w:tcPr/>
          <w:p>
            <w:pPr>
              <w:pStyle w:val="Compact"/>
            </w:pPr>
            <w:r>
              <w:t xml:space="preserve">100%</w:t>
            </w:r>
          </w:p>
        </w:tc>
        <w:tc>
          <w:tcPr/>
          <w:p>
            <w:pPr>
              <w:pStyle w:val="Compact"/>
            </w:pPr>
            <w:r>
              <w:t xml:space="preserve">0.6%</w:t>
            </w:r>
          </w:p>
        </w:tc>
        <w:tc>
          <w:tcPr/>
          <w:p>
            <w:pPr>
              <w:pStyle w:val="Compact"/>
            </w:pPr>
            <w:r>
              <w:t xml:space="preserve">2.5</w:t>
            </w:r>
          </w:p>
        </w:tc>
      </w:tr>
    </w:tbl>
    <w:p>
      <w:pPr>
        <w:pStyle w:val="BodyText"/>
      </w:pPr>
      <w:r>
        <w:t xml:space="preserve">Checks: absolute mean difference at most 0.1 SD, 95% interval endpoints within 0.2 SD and width ratio between 0.9 and 1.1. Policy errors compare 1,000 neural posterior states with the 2,000 MCMC states used for the scenarios.</w:t>
      </w:r>
    </w:p>
    <w:bookmarkEnd w:id="19"/>
    <w:bookmarkStart w:id="23" w:name="posterior-distribution-and-model-fit"/>
    <w:p>
      <w:pPr>
        <w:pStyle w:val="Heading2"/>
      </w:pPr>
      <w:r>
        <w:t xml:space="preserve">2.6 Posterior distribution and model fit</w:t>
      </w:r>
    </w:p>
    <w:p>
      <w:pPr>
        <w:pStyle w:val="FirstParagraph"/>
      </w:pPr>
      <w:r>
        <w:t xml:space="preserve">Table S5 gives the posterior of each parameter. For θ6, θ9 and θ12 the posterior standard deviation was more than 0.8 times the prior standard deviation, so these parameters remain mostly informed by the prior.</w:t>
      </w:r>
    </w:p>
    <w:p>
      <w:pPr>
        <w:pStyle w:val="BodyText"/>
      </w:pPr>
      <w:r>
        <w:rPr>
          <w:b/>
          <w:bCs/>
        </w:rPr>
        <w:t xml:space="preserve">Table S5. Nelder Mead best fit, prior centre and posterior median (95% interval) of the log scale parameters.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Nelder Mead best fit</w:t>
            </w:r>
          </w:p>
        </w:tc>
        <w:tc>
          <w:tcPr/>
          <w:p>
            <w:pPr>
              <w:pStyle w:val="Compact"/>
            </w:pPr>
            <w:r>
              <w:t xml:space="preserve">Prior centre</w:t>
            </w:r>
          </w:p>
        </w:tc>
        <w:tc>
          <w:tcPr/>
          <w:p>
            <w:pPr>
              <w:pStyle w:val="Compact"/>
            </w:pPr>
            <w:r>
              <w:t xml:space="preserve">Posterior median (95% interval)</w:t>
            </w:r>
          </w:p>
        </w:tc>
        <w:tc>
          <w:tcPr/>
          <w:p>
            <w:pPr>
              <w:pStyle w:val="Compact"/>
            </w:pPr>
            <w:r>
              <w:t xml:space="preserve">Posterior SD</w:t>
            </w:r>
          </w:p>
        </w:tc>
        <w:tc>
          <w:tcPr/>
          <w:p>
            <w:pPr>
              <w:pStyle w:val="Compact"/>
            </w:pPr>
            <w:r>
              <w:t xml:space="preserve">Posterior SD / prior SD</w:t>
            </w:r>
          </w:p>
        </w:tc>
      </w:tr>
      <w:tr>
        <w:tc>
          <w:tcPr/>
          <w:p>
            <w:pPr>
              <w:pStyle w:val="Compact"/>
            </w:pPr>
            <w:r>
              <w:t xml:space="preserve">θ1</w:t>
            </w:r>
          </w:p>
        </w:tc>
        <w:tc>
          <w:tcPr/>
          <w:p>
            <w:pPr>
              <w:pStyle w:val="Compact"/>
            </w:pPr>
            <w:r>
              <w:t xml:space="preserve">Contact scale, age &lt;20</w:t>
            </w:r>
          </w:p>
        </w:tc>
        <w:tc>
          <w:tcPr/>
          <w:p>
            <w:pPr>
              <w:pStyle w:val="Compact"/>
            </w:pPr>
            <w:r>
              <w:t xml:space="preserve">2.216</w:t>
            </w:r>
          </w:p>
        </w:tc>
        <w:tc>
          <w:tcPr/>
          <w:p>
            <w:pPr>
              <w:pStyle w:val="Compact"/>
            </w:pPr>
            <w:r>
              <w:t xml:space="preserve">2.216</w:t>
            </w:r>
          </w:p>
        </w:tc>
        <w:tc>
          <w:tcPr/>
          <w:p>
            <w:pPr>
              <w:pStyle w:val="Compact"/>
            </w:pPr>
            <w:r>
              <w:t xml:space="preserve">2.200 (1.892 to 2.490)</w:t>
            </w:r>
          </w:p>
        </w:tc>
        <w:tc>
          <w:tcPr/>
          <w:p>
            <w:pPr>
              <w:pStyle w:val="Compact"/>
            </w:pPr>
            <w:r>
              <w:t xml:space="preserve">0.153</w:t>
            </w:r>
          </w:p>
        </w:tc>
        <w:tc>
          <w:tcPr/>
          <w:p>
            <w:pPr>
              <w:pStyle w:val="Compact"/>
            </w:pPr>
            <w:r>
              <w:t xml:space="preserve">0.76</w:t>
            </w:r>
          </w:p>
        </w:tc>
      </w:tr>
      <w:tr>
        <w:tc>
          <w:tcPr/>
          <w:p>
            <w:pPr>
              <w:pStyle w:val="Compact"/>
            </w:pPr>
            <w:r>
              <w:t xml:space="preserve">θ2</w:t>
            </w:r>
          </w:p>
        </w:tc>
        <w:tc>
          <w:tcPr/>
          <w:p>
            <w:pPr>
              <w:pStyle w:val="Compact"/>
            </w:pPr>
            <w:r>
              <w:t xml:space="preserve">Contact scale, age 20–29</w:t>
            </w:r>
          </w:p>
        </w:tc>
        <w:tc>
          <w:tcPr/>
          <w:p>
            <w:pPr>
              <w:pStyle w:val="Compact"/>
            </w:pPr>
            <w:r>
              <w:t xml:space="preserve">-2.449</w:t>
            </w:r>
          </w:p>
        </w:tc>
        <w:tc>
          <w:tcPr/>
          <w:p>
            <w:pPr>
              <w:pStyle w:val="Compact"/>
            </w:pPr>
            <w:r>
              <w:t xml:space="preserve">-2.449</w:t>
            </w:r>
          </w:p>
        </w:tc>
        <w:tc>
          <w:tcPr/>
          <w:p>
            <w:pPr>
              <w:pStyle w:val="Compact"/>
            </w:pPr>
            <w:r>
              <w:t xml:space="preserve">-2.440 (-2.583 to -2.301)</w:t>
            </w:r>
          </w:p>
        </w:tc>
        <w:tc>
          <w:tcPr/>
          <w:p>
            <w:pPr>
              <w:pStyle w:val="Compact"/>
            </w:pPr>
            <w:r>
              <w:t xml:space="preserve">0.072</w:t>
            </w:r>
          </w:p>
        </w:tc>
        <w:tc>
          <w:tcPr/>
          <w:p>
            <w:pPr>
              <w:pStyle w:val="Compact"/>
            </w:pPr>
            <w:r>
              <w:t xml:space="preserve">0.36</w:t>
            </w:r>
          </w:p>
        </w:tc>
      </w:tr>
      <w:tr>
        <w:tc>
          <w:tcPr/>
          <w:p>
            <w:pPr>
              <w:pStyle w:val="Compact"/>
            </w:pPr>
            <w:r>
              <w:t xml:space="preserve">θ3</w:t>
            </w:r>
          </w:p>
        </w:tc>
        <w:tc>
          <w:tcPr/>
          <w:p>
            <w:pPr>
              <w:pStyle w:val="Compact"/>
            </w:pPr>
            <w:r>
              <w:t xml:space="preserve">Contact scale, age 30–39</w:t>
            </w:r>
          </w:p>
        </w:tc>
        <w:tc>
          <w:tcPr/>
          <w:p>
            <w:pPr>
              <w:pStyle w:val="Compact"/>
            </w:pPr>
            <w:r>
              <w:t xml:space="preserve">-2.797</w:t>
            </w:r>
          </w:p>
        </w:tc>
        <w:tc>
          <w:tcPr/>
          <w:p>
            <w:pPr>
              <w:pStyle w:val="Compact"/>
            </w:pPr>
            <w:r>
              <w:t xml:space="preserve">-2.797</w:t>
            </w:r>
          </w:p>
        </w:tc>
        <w:tc>
          <w:tcPr/>
          <w:p>
            <w:pPr>
              <w:pStyle w:val="Compact"/>
            </w:pPr>
            <w:r>
              <w:t xml:space="preserve">-2.801 (-3.027 to -2.611)</w:t>
            </w:r>
          </w:p>
        </w:tc>
        <w:tc>
          <w:tcPr/>
          <w:p>
            <w:pPr>
              <w:pStyle w:val="Compact"/>
            </w:pPr>
            <w:r>
              <w:t xml:space="preserve">0.106</w:t>
            </w:r>
          </w:p>
        </w:tc>
        <w:tc>
          <w:tcPr/>
          <w:p>
            <w:pPr>
              <w:pStyle w:val="Compact"/>
            </w:pPr>
            <w:r>
              <w:t xml:space="preserve">0.53</w:t>
            </w:r>
          </w:p>
        </w:tc>
      </w:tr>
      <w:tr>
        <w:tc>
          <w:tcPr/>
          <w:p>
            <w:pPr>
              <w:pStyle w:val="Compact"/>
            </w:pPr>
            <w:r>
              <w:t xml:space="preserve">θ4</w:t>
            </w:r>
          </w:p>
        </w:tc>
        <w:tc>
          <w:tcPr/>
          <w:p>
            <w:pPr>
              <w:pStyle w:val="Compact"/>
            </w:pPr>
            <w:r>
              <w:t xml:space="preserve">Contact scale, age 40–49</w:t>
            </w:r>
          </w:p>
        </w:tc>
        <w:tc>
          <w:tcPr/>
          <w:p>
            <w:pPr>
              <w:pStyle w:val="Compact"/>
            </w:pPr>
            <w:r>
              <w:t xml:space="preserve">-0.121</w:t>
            </w:r>
          </w:p>
        </w:tc>
        <w:tc>
          <w:tcPr/>
          <w:p>
            <w:pPr>
              <w:pStyle w:val="Compact"/>
            </w:pPr>
            <w:r>
              <w:t xml:space="preserve">-0.121</w:t>
            </w:r>
          </w:p>
        </w:tc>
        <w:tc>
          <w:tcPr/>
          <w:p>
            <w:pPr>
              <w:pStyle w:val="Compact"/>
            </w:pPr>
            <w:r>
              <w:t xml:space="preserve">-0.126 (-0.325 to 0.071)</w:t>
            </w:r>
          </w:p>
        </w:tc>
        <w:tc>
          <w:tcPr/>
          <w:p>
            <w:pPr>
              <w:pStyle w:val="Compact"/>
            </w:pPr>
            <w:r>
              <w:t xml:space="preserve">0.100</w:t>
            </w:r>
          </w:p>
        </w:tc>
        <w:tc>
          <w:tcPr/>
          <w:p>
            <w:pPr>
              <w:pStyle w:val="Compact"/>
            </w:pPr>
            <w:r>
              <w:t xml:space="preserve">0.50</w:t>
            </w:r>
          </w:p>
        </w:tc>
      </w:tr>
      <w:tr>
        <w:tc>
          <w:tcPr/>
          <w:p>
            <w:pPr>
              <w:pStyle w:val="Compact"/>
            </w:pPr>
            <w:r>
              <w:t xml:space="preserve">θ5</w:t>
            </w:r>
          </w:p>
        </w:tc>
        <w:tc>
          <w:tcPr/>
          <w:p>
            <w:pPr>
              <w:pStyle w:val="Compact"/>
            </w:pPr>
            <w:r>
              <w:t xml:space="preserve">Contact scale, age 50–59</w:t>
            </w:r>
          </w:p>
        </w:tc>
        <w:tc>
          <w:tcPr/>
          <w:p>
            <w:pPr>
              <w:pStyle w:val="Compact"/>
            </w:pPr>
            <w:r>
              <w:t xml:space="preserve">1.665</w:t>
            </w:r>
          </w:p>
        </w:tc>
        <w:tc>
          <w:tcPr/>
          <w:p>
            <w:pPr>
              <w:pStyle w:val="Compact"/>
            </w:pPr>
            <w:r>
              <w:t xml:space="preserve">1.665</w:t>
            </w:r>
          </w:p>
        </w:tc>
        <w:tc>
          <w:tcPr/>
          <w:p>
            <w:pPr>
              <w:pStyle w:val="Compact"/>
            </w:pPr>
            <w:r>
              <w:t xml:space="preserve">1.660 (1.435 to 1.888)</w:t>
            </w:r>
          </w:p>
        </w:tc>
        <w:tc>
          <w:tcPr/>
          <w:p>
            <w:pPr>
              <w:pStyle w:val="Compact"/>
            </w:pPr>
            <w:r>
              <w:t xml:space="preserve">0.115</w:t>
            </w:r>
          </w:p>
        </w:tc>
        <w:tc>
          <w:tcPr/>
          <w:p>
            <w:pPr>
              <w:pStyle w:val="Compact"/>
            </w:pPr>
            <w:r>
              <w:t xml:space="preserve">0.58</w:t>
            </w:r>
          </w:p>
        </w:tc>
      </w:tr>
      <w:tr>
        <w:tc>
          <w:tcPr/>
          <w:p>
            <w:pPr>
              <w:pStyle w:val="Compact"/>
            </w:pPr>
            <w:r>
              <w:t xml:space="preserve">θ6</w:t>
            </w:r>
          </w:p>
        </w:tc>
        <w:tc>
          <w:tcPr/>
          <w:p>
            <w:pPr>
              <w:pStyle w:val="Compact"/>
            </w:pPr>
            <w:r>
              <w:t xml:space="preserve">Contact scale, age 60+</w:t>
            </w:r>
          </w:p>
        </w:tc>
        <w:tc>
          <w:tcPr/>
          <w:p>
            <w:pPr>
              <w:pStyle w:val="Compact"/>
            </w:pPr>
            <w:r>
              <w:t xml:space="preserve">-4.604</w:t>
            </w:r>
          </w:p>
        </w:tc>
        <w:tc>
          <w:tcPr/>
          <w:p>
            <w:pPr>
              <w:pStyle w:val="Compact"/>
            </w:pPr>
            <w:r>
              <w:t xml:space="preserve">-3.605</w:t>
            </w:r>
          </w:p>
        </w:tc>
        <w:tc>
          <w:tcPr/>
          <w:p>
            <w:pPr>
              <w:pStyle w:val="Compact"/>
            </w:pPr>
            <w:r>
              <w:t xml:space="preserve">-3.602 (-3.992 to -3.221)</w:t>
            </w:r>
          </w:p>
        </w:tc>
        <w:tc>
          <w:tcPr/>
          <w:p>
            <w:pPr>
              <w:pStyle w:val="Compact"/>
            </w:pPr>
            <w:r>
              <w:t xml:space="preserve">0.197</w:t>
            </w:r>
          </w:p>
        </w:tc>
        <w:tc>
          <w:tcPr/>
          <w:p>
            <w:pPr>
              <w:pStyle w:val="Compact"/>
            </w:pPr>
            <w:r>
              <w:t xml:space="preserve">0.99</w:t>
            </w:r>
          </w:p>
        </w:tc>
      </w:tr>
      <w:tr>
        <w:tc>
          <w:tcPr/>
          <w:p>
            <w:pPr>
              <w:pStyle w:val="Compact"/>
            </w:pPr>
            <w:r>
              <w:t xml:space="preserve">θ7</w:t>
            </w:r>
          </w:p>
        </w:tc>
        <w:tc>
          <w:tcPr/>
          <w:p>
            <w:pPr>
              <w:pStyle w:val="Compact"/>
            </w:pPr>
            <w:r>
              <w:t xml:space="preserve">Entry scale, age &lt;20</w:t>
            </w:r>
          </w:p>
        </w:tc>
        <w:tc>
          <w:tcPr/>
          <w:p>
            <w:pPr>
              <w:pStyle w:val="Compact"/>
            </w:pPr>
            <w:r>
              <w:t xml:space="preserve">-2.001</w:t>
            </w:r>
          </w:p>
        </w:tc>
        <w:tc>
          <w:tcPr/>
          <w:p>
            <w:pPr>
              <w:pStyle w:val="Compact"/>
            </w:pPr>
            <w:r>
              <w:t xml:space="preserve">-2.001</w:t>
            </w:r>
          </w:p>
        </w:tc>
        <w:tc>
          <w:tcPr/>
          <w:p>
            <w:pPr>
              <w:pStyle w:val="Compact"/>
            </w:pPr>
            <w:r>
              <w:t xml:space="preserve">-1.993 (-2.166 to -1.810)</w:t>
            </w:r>
          </w:p>
        </w:tc>
        <w:tc>
          <w:tcPr/>
          <w:p>
            <w:pPr>
              <w:pStyle w:val="Compact"/>
            </w:pPr>
            <w:r>
              <w:t xml:space="preserve">0.091</w:t>
            </w:r>
          </w:p>
        </w:tc>
        <w:tc>
          <w:tcPr/>
          <w:p>
            <w:pPr>
              <w:pStyle w:val="Compact"/>
            </w:pPr>
            <w:r>
              <w:t xml:space="preserve">0.46</w:t>
            </w:r>
          </w:p>
        </w:tc>
      </w:tr>
      <w:tr>
        <w:tc>
          <w:tcPr/>
          <w:p>
            <w:pPr>
              <w:pStyle w:val="Compact"/>
            </w:pPr>
            <w:r>
              <w:t xml:space="preserve">θ8</w:t>
            </w:r>
          </w:p>
        </w:tc>
        <w:tc>
          <w:tcPr/>
          <w:p>
            <w:pPr>
              <w:pStyle w:val="Compact"/>
            </w:pPr>
            <w:r>
              <w:t xml:space="preserve">Entry scale, age 20–29</w:t>
            </w:r>
          </w:p>
        </w:tc>
        <w:tc>
          <w:tcPr/>
          <w:p>
            <w:pPr>
              <w:pStyle w:val="Compact"/>
            </w:pPr>
            <w:r>
              <w:t xml:space="preserve">-0.369</w:t>
            </w:r>
          </w:p>
        </w:tc>
        <w:tc>
          <w:tcPr/>
          <w:p>
            <w:pPr>
              <w:pStyle w:val="Compact"/>
            </w:pPr>
            <w:r>
              <w:t xml:space="preserve">-0.369</w:t>
            </w:r>
          </w:p>
        </w:tc>
        <w:tc>
          <w:tcPr/>
          <w:p>
            <w:pPr>
              <w:pStyle w:val="Compact"/>
            </w:pPr>
            <w:r>
              <w:t xml:space="preserve">-0.374 (-0.540 to -0.214)</w:t>
            </w:r>
          </w:p>
        </w:tc>
        <w:tc>
          <w:tcPr/>
          <w:p>
            <w:pPr>
              <w:pStyle w:val="Compact"/>
            </w:pPr>
            <w:r>
              <w:t xml:space="preserve">0.082</w:t>
            </w:r>
          </w:p>
        </w:tc>
        <w:tc>
          <w:tcPr/>
          <w:p>
            <w:pPr>
              <w:pStyle w:val="Compact"/>
            </w:pPr>
            <w:r>
              <w:t xml:space="preserve">0.41</w:t>
            </w:r>
          </w:p>
        </w:tc>
      </w:tr>
      <w:tr>
        <w:tc>
          <w:tcPr/>
          <w:p>
            <w:pPr>
              <w:pStyle w:val="Compact"/>
            </w:pPr>
            <w:r>
              <w:t xml:space="preserve">θ9</w:t>
            </w:r>
          </w:p>
        </w:tc>
        <w:tc>
          <w:tcPr/>
          <w:p>
            <w:pPr>
              <w:pStyle w:val="Compact"/>
            </w:pPr>
            <w:r>
              <w:t xml:space="preserve">Entry scale, age 30–39</w:t>
            </w:r>
          </w:p>
        </w:tc>
        <w:tc>
          <w:tcPr/>
          <w:p>
            <w:pPr>
              <w:pStyle w:val="Compact"/>
            </w:pPr>
            <w:r>
              <w:t xml:space="preserve">-1.162</w:t>
            </w:r>
          </w:p>
        </w:tc>
        <w:tc>
          <w:tcPr/>
          <w:p>
            <w:pPr>
              <w:pStyle w:val="Compact"/>
            </w:pPr>
            <w:r>
              <w:t xml:space="preserve">-1.162</w:t>
            </w:r>
          </w:p>
        </w:tc>
        <w:tc>
          <w:tcPr/>
          <w:p>
            <w:pPr>
              <w:pStyle w:val="Compact"/>
            </w:pPr>
            <w:r>
              <w:t xml:space="preserve">-1.140 (-1.486 to -0.816)</w:t>
            </w:r>
          </w:p>
        </w:tc>
        <w:tc>
          <w:tcPr/>
          <w:p>
            <w:pPr>
              <w:pStyle w:val="Compact"/>
            </w:pPr>
            <w:r>
              <w:t xml:space="preserve">0.170</w:t>
            </w:r>
          </w:p>
        </w:tc>
        <w:tc>
          <w:tcPr/>
          <w:p>
            <w:pPr>
              <w:pStyle w:val="Compact"/>
            </w:pPr>
            <w:r>
              <w:t xml:space="preserve">0.85</w:t>
            </w:r>
          </w:p>
        </w:tc>
      </w:tr>
      <w:tr>
        <w:tc>
          <w:tcPr/>
          <w:p>
            <w:pPr>
              <w:pStyle w:val="Compact"/>
            </w:pPr>
            <w:r>
              <w:t xml:space="preserve">θ10</w:t>
            </w:r>
          </w:p>
        </w:tc>
        <w:tc>
          <w:tcPr/>
          <w:p>
            <w:pPr>
              <w:pStyle w:val="Compact"/>
            </w:pPr>
            <w:r>
              <w:t xml:space="preserve">Entry scale, age 40–49</w:t>
            </w:r>
          </w:p>
        </w:tc>
        <w:tc>
          <w:tcPr/>
          <w:p>
            <w:pPr>
              <w:pStyle w:val="Compact"/>
            </w:pPr>
            <w:r>
              <w:t xml:space="preserve">0.146</w:t>
            </w:r>
          </w:p>
        </w:tc>
        <w:tc>
          <w:tcPr/>
          <w:p>
            <w:pPr>
              <w:pStyle w:val="Compact"/>
            </w:pPr>
            <w:r>
              <w:t xml:space="preserve">0.146</w:t>
            </w:r>
          </w:p>
        </w:tc>
        <w:tc>
          <w:tcPr/>
          <w:p>
            <w:pPr>
              <w:pStyle w:val="Compact"/>
            </w:pPr>
            <w:r>
              <w:t xml:space="preserve">0.133 (-0.170 to 0.409)</w:t>
            </w:r>
          </w:p>
        </w:tc>
        <w:tc>
          <w:tcPr/>
          <w:p>
            <w:pPr>
              <w:pStyle w:val="Compact"/>
            </w:pPr>
            <w:r>
              <w:t xml:space="preserve">0.148</w:t>
            </w:r>
          </w:p>
        </w:tc>
        <w:tc>
          <w:tcPr/>
          <w:p>
            <w:pPr>
              <w:pStyle w:val="Compact"/>
            </w:pPr>
            <w:r>
              <w:t xml:space="preserve">0.74</w:t>
            </w:r>
          </w:p>
        </w:tc>
      </w:tr>
      <w:tr>
        <w:tc>
          <w:tcPr/>
          <w:p>
            <w:pPr>
              <w:pStyle w:val="Compact"/>
            </w:pPr>
            <w:r>
              <w:t xml:space="preserve">θ11</w:t>
            </w:r>
          </w:p>
        </w:tc>
        <w:tc>
          <w:tcPr/>
          <w:p>
            <w:pPr>
              <w:pStyle w:val="Compact"/>
            </w:pPr>
            <w:r>
              <w:t xml:space="preserve">Entry scale, age 50–59</w:t>
            </w:r>
          </w:p>
        </w:tc>
        <w:tc>
          <w:tcPr/>
          <w:p>
            <w:pPr>
              <w:pStyle w:val="Compact"/>
            </w:pPr>
            <w:r>
              <w:t xml:space="preserve">2.096</w:t>
            </w:r>
          </w:p>
        </w:tc>
        <w:tc>
          <w:tcPr/>
          <w:p>
            <w:pPr>
              <w:pStyle w:val="Compact"/>
            </w:pPr>
            <w:r>
              <w:t xml:space="preserve">2.096</w:t>
            </w:r>
          </w:p>
        </w:tc>
        <w:tc>
          <w:tcPr/>
          <w:p>
            <w:pPr>
              <w:pStyle w:val="Compact"/>
            </w:pPr>
            <w:r>
              <w:t xml:space="preserve">2.085 (1.782 to 2.378)</w:t>
            </w:r>
          </w:p>
        </w:tc>
        <w:tc>
          <w:tcPr/>
          <w:p>
            <w:pPr>
              <w:pStyle w:val="Compact"/>
            </w:pPr>
            <w:r>
              <w:t xml:space="preserve">0.151</w:t>
            </w:r>
          </w:p>
        </w:tc>
        <w:tc>
          <w:tcPr/>
          <w:p>
            <w:pPr>
              <w:pStyle w:val="Compact"/>
            </w:pPr>
            <w:r>
              <w:t xml:space="preserve">0.76</w:t>
            </w:r>
          </w:p>
        </w:tc>
      </w:tr>
      <w:tr>
        <w:tc>
          <w:tcPr/>
          <w:p>
            <w:pPr>
              <w:pStyle w:val="Compact"/>
            </w:pPr>
            <w:r>
              <w:t xml:space="preserve">θ12</w:t>
            </w:r>
          </w:p>
        </w:tc>
        <w:tc>
          <w:tcPr/>
          <w:p>
            <w:pPr>
              <w:pStyle w:val="Compact"/>
            </w:pPr>
            <w:r>
              <w:t xml:space="preserve">Entry scale, age 60+</w:t>
            </w:r>
          </w:p>
        </w:tc>
        <w:tc>
          <w:tcPr/>
          <w:p>
            <w:pPr>
              <w:pStyle w:val="Compact"/>
            </w:pPr>
            <w:r>
              <w:t xml:space="preserve">4.472</w:t>
            </w:r>
          </w:p>
        </w:tc>
        <w:tc>
          <w:tcPr/>
          <w:p>
            <w:pPr>
              <w:pStyle w:val="Compact"/>
            </w:pPr>
            <w:r>
              <w:t xml:space="preserve">4.472</w:t>
            </w:r>
          </w:p>
        </w:tc>
        <w:tc>
          <w:tcPr/>
          <w:p>
            <w:pPr>
              <w:pStyle w:val="Compact"/>
            </w:pPr>
            <w:r>
              <w:t xml:space="preserve">4.460 (4.061 to 4.867)</w:t>
            </w:r>
          </w:p>
        </w:tc>
        <w:tc>
          <w:tcPr/>
          <w:p>
            <w:pPr>
              <w:pStyle w:val="Compact"/>
            </w:pPr>
            <w:r>
              <w:t xml:space="preserve">0.205</w:t>
            </w:r>
          </w:p>
        </w:tc>
        <w:tc>
          <w:tcPr/>
          <w:p>
            <w:pPr>
              <w:pStyle w:val="Compact"/>
            </w:pPr>
            <w:r>
              <w:t xml:space="preserve">1.02</w:t>
            </w:r>
          </w:p>
        </w:tc>
      </w:tr>
    </w:tbl>
    <w:p>
      <w:pPr>
        <w:pStyle w:val="BodyText"/>
      </w:pPr>
      <w:r>
        <w:t xml:space="preserve">Table S6 compares the targets with the best deterministic fit and the 95% posterior predictive interval. All 12 predictive intervals overlapped the target intervals. Fig S1 shows the fit. The model overstated seroprevalence at age 60+ (50.8% at the best fit against a target of 42.9%). Because re-arrest is a composite rate, first arrests depend little on the entry scale, so no parameter value removes this misfit.</w:t>
      </w:r>
    </w:p>
    <w:p>
      <w:pPr>
        <w:pStyle w:val="BodyText"/>
      </w:pPr>
      <w:r>
        <w:rPr>
          <w:b/>
          <w:bCs/>
        </w:rPr>
        <w:t xml:space="preserve">Table S6. Calibration targets and model fit, 2015.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 group</w:t>
            </w:r>
          </w:p>
        </w:tc>
        <w:tc>
          <w:tcPr/>
          <w:p>
            <w:pPr>
              <w:pStyle w:val="Compact"/>
            </w:pPr>
            <w:r>
              <w:t xml:space="preserve">Seroprevalence target</w:t>
            </w:r>
          </w:p>
        </w:tc>
        <w:tc>
          <w:tcPr/>
          <w:p>
            <w:pPr>
              <w:pStyle w:val="Compact"/>
            </w:pPr>
            <w:r>
              <w:t xml:space="preserve">Best fit</w:t>
            </w:r>
          </w:p>
        </w:tc>
        <w:tc>
          <w:tcPr/>
          <w:p>
            <w:pPr>
              <w:pStyle w:val="Compact"/>
            </w:pPr>
            <w:r>
              <w:t xml:space="preserve">Posterior 95% interval</w:t>
            </w:r>
          </w:p>
        </w:tc>
        <w:tc>
          <w:tcPr/>
          <w:p>
            <w:pPr>
              <w:pStyle w:val="Compact"/>
            </w:pPr>
            <w:r>
              <w:t xml:space="preserve">Population target</w:t>
            </w:r>
          </w:p>
        </w:tc>
        <w:tc>
          <w:tcPr/>
          <w:p>
            <w:pPr>
              <w:pStyle w:val="Compact"/>
            </w:pPr>
            <w:r>
              <w:t xml:space="preserve">Best fit</w:t>
            </w:r>
          </w:p>
        </w:tc>
        <w:tc>
          <w:tcPr/>
          <w:p>
            <w:pPr>
              <w:pStyle w:val="Compact"/>
            </w:pPr>
            <w:r>
              <w:t xml:space="preserve">Posterior 95% interval</w:t>
            </w:r>
          </w:p>
        </w:tc>
      </w:tr>
      <w:tr>
        <w:tc>
          <w:tcPr/>
          <w:p>
            <w:pPr>
              <w:pStyle w:val="Compact"/>
            </w:pPr>
            <w:r>
              <w:t xml:space="preserve">&lt;20</w:t>
            </w:r>
          </w:p>
        </w:tc>
        <w:tc>
          <w:tcPr/>
          <w:p>
            <w:pPr>
              <w:pStyle w:val="Compact"/>
            </w:pPr>
            <w:r>
              <w:t xml:space="preserve">12.7%</w:t>
            </w:r>
          </w:p>
        </w:tc>
        <w:tc>
          <w:tcPr/>
          <w:p>
            <w:pPr>
              <w:pStyle w:val="Compact"/>
            </w:pPr>
            <w:r>
              <w:t xml:space="preserve">13.1%</w:t>
            </w:r>
          </w:p>
        </w:tc>
        <w:tc>
          <w:tcPr/>
          <w:p>
            <w:pPr>
              <w:pStyle w:val="Compact"/>
            </w:pPr>
            <w:r>
              <w:t xml:space="preserve">9.1% to 17.7%</w:t>
            </w:r>
          </w:p>
        </w:tc>
        <w:tc>
          <w:tcPr/>
          <w:p>
            <w:pPr>
              <w:pStyle w:val="Compact"/>
            </w:pPr>
            <w:r>
              <w:t xml:space="preserve">102</w:t>
            </w:r>
          </w:p>
        </w:tc>
        <w:tc>
          <w:tcPr/>
          <w:p>
            <w:pPr>
              <w:pStyle w:val="Compact"/>
            </w:pPr>
            <w:r>
              <w:t xml:space="preserve">101</w:t>
            </w:r>
          </w:p>
        </w:tc>
        <w:tc>
          <w:tcPr/>
          <w:p>
            <w:pPr>
              <w:pStyle w:val="Compact"/>
            </w:pPr>
            <w:r>
              <w:t xml:space="preserve">86 to 121</w:t>
            </w:r>
          </w:p>
        </w:tc>
      </w:tr>
      <w:tr>
        <w:tc>
          <w:tcPr/>
          <w:p>
            <w:pPr>
              <w:pStyle w:val="Compact"/>
            </w:pPr>
            <w:r>
              <w:t xml:space="preserve">20-29</w:t>
            </w:r>
          </w:p>
        </w:tc>
        <w:tc>
          <w:tcPr/>
          <w:p>
            <w:pPr>
              <w:pStyle w:val="Compact"/>
            </w:pPr>
            <w:r>
              <w:t xml:space="preserve">19.2%</w:t>
            </w:r>
          </w:p>
        </w:tc>
        <w:tc>
          <w:tcPr/>
          <w:p>
            <w:pPr>
              <w:pStyle w:val="Compact"/>
            </w:pPr>
            <w:r>
              <w:t xml:space="preserve">19.0%</w:t>
            </w:r>
          </w:p>
        </w:tc>
        <w:tc>
          <w:tcPr/>
          <w:p>
            <w:pPr>
              <w:pStyle w:val="Compact"/>
            </w:pPr>
            <w:r>
              <w:t xml:space="preserve">17.0% to 21.4%</w:t>
            </w:r>
          </w:p>
        </w:tc>
        <w:tc>
          <w:tcPr/>
          <w:p>
            <w:pPr>
              <w:pStyle w:val="Compact"/>
            </w:pPr>
            <w:r>
              <w:t xml:space="preserve">1001</w:t>
            </w:r>
          </w:p>
        </w:tc>
        <w:tc>
          <w:tcPr/>
          <w:p>
            <w:pPr>
              <w:pStyle w:val="Compact"/>
            </w:pPr>
            <w:r>
              <w:t xml:space="preserve">1023</w:t>
            </w:r>
          </w:p>
        </w:tc>
        <w:tc>
          <w:tcPr/>
          <w:p>
            <w:pPr>
              <w:pStyle w:val="Compact"/>
            </w:pPr>
            <w:r>
              <w:t xml:space="preserve">877 to 1178</w:t>
            </w:r>
          </w:p>
        </w:tc>
      </w:tr>
      <w:tr>
        <w:tc>
          <w:tcPr/>
          <w:p>
            <w:pPr>
              <w:pStyle w:val="Compact"/>
            </w:pPr>
            <w:r>
              <w:t xml:space="preserve">30-39</w:t>
            </w:r>
          </w:p>
        </w:tc>
        <w:tc>
          <w:tcPr/>
          <w:p>
            <w:pPr>
              <w:pStyle w:val="Compact"/>
            </w:pPr>
            <w:r>
              <w:t xml:space="preserve">30.0%</w:t>
            </w:r>
          </w:p>
        </w:tc>
        <w:tc>
          <w:tcPr/>
          <w:p>
            <w:pPr>
              <w:pStyle w:val="Compact"/>
            </w:pPr>
            <w:r>
              <w:t xml:space="preserve">30.1%</w:t>
            </w:r>
          </w:p>
        </w:tc>
        <w:tc>
          <w:tcPr/>
          <w:p>
            <w:pPr>
              <w:pStyle w:val="Compact"/>
            </w:pPr>
            <w:r>
              <w:t xml:space="preserve">27.2% to 32.7%</w:t>
            </w:r>
          </w:p>
        </w:tc>
        <w:tc>
          <w:tcPr/>
          <w:p>
            <w:pPr>
              <w:pStyle w:val="Compact"/>
            </w:pPr>
            <w:r>
              <w:t xml:space="preserve">806</w:t>
            </w:r>
          </w:p>
        </w:tc>
        <w:tc>
          <w:tcPr/>
          <w:p>
            <w:pPr>
              <w:pStyle w:val="Compact"/>
            </w:pPr>
            <w:r>
              <w:t xml:space="preserve">789</w:t>
            </w:r>
          </w:p>
        </w:tc>
        <w:tc>
          <w:tcPr/>
          <w:p>
            <w:pPr>
              <w:pStyle w:val="Compact"/>
            </w:pPr>
            <w:r>
              <w:t xml:space="preserve">704 to 899</w:t>
            </w:r>
          </w:p>
        </w:tc>
      </w:tr>
      <w:tr>
        <w:tc>
          <w:tcPr/>
          <w:p>
            <w:pPr>
              <w:pStyle w:val="Compact"/>
            </w:pPr>
            <w:r>
              <w:t xml:space="preserve">40-49</w:t>
            </w:r>
          </w:p>
        </w:tc>
        <w:tc>
          <w:tcPr/>
          <w:p>
            <w:pPr>
              <w:pStyle w:val="Compact"/>
            </w:pPr>
            <w:r>
              <w:t xml:space="preserve">48.3%</w:t>
            </w:r>
          </w:p>
        </w:tc>
        <w:tc>
          <w:tcPr/>
          <w:p>
            <w:pPr>
              <w:pStyle w:val="Compact"/>
            </w:pPr>
            <w:r>
              <w:t xml:space="preserve">48.5%</w:t>
            </w:r>
          </w:p>
        </w:tc>
        <w:tc>
          <w:tcPr/>
          <w:p>
            <w:pPr>
              <w:pStyle w:val="Compact"/>
            </w:pPr>
            <w:r>
              <w:t xml:space="preserve">45.3% to 51.5%</w:t>
            </w:r>
          </w:p>
        </w:tc>
        <w:tc>
          <w:tcPr/>
          <w:p>
            <w:pPr>
              <w:pStyle w:val="Compact"/>
            </w:pPr>
            <w:r>
              <w:t xml:space="preserve">754</w:t>
            </w:r>
          </w:p>
        </w:tc>
        <w:tc>
          <w:tcPr/>
          <w:p>
            <w:pPr>
              <w:pStyle w:val="Compact"/>
            </w:pPr>
            <w:r>
              <w:t xml:space="preserve">746</w:t>
            </w:r>
          </w:p>
        </w:tc>
        <w:tc>
          <w:tcPr/>
          <w:p>
            <w:pPr>
              <w:pStyle w:val="Compact"/>
            </w:pPr>
            <w:r>
              <w:t xml:space="preserve">662 to 853</w:t>
            </w:r>
          </w:p>
        </w:tc>
      </w:tr>
      <w:tr>
        <w:tc>
          <w:tcPr/>
          <w:p>
            <w:pPr>
              <w:pStyle w:val="Compact"/>
            </w:pPr>
            <w:r>
              <w:t xml:space="preserve">50-59</w:t>
            </w:r>
          </w:p>
        </w:tc>
        <w:tc>
          <w:tcPr/>
          <w:p>
            <w:pPr>
              <w:pStyle w:val="Compact"/>
            </w:pPr>
            <w:r>
              <w:t xml:space="preserve">53.1%</w:t>
            </w:r>
          </w:p>
        </w:tc>
        <w:tc>
          <w:tcPr/>
          <w:p>
            <w:pPr>
              <w:pStyle w:val="Compact"/>
            </w:pPr>
            <w:r>
              <w:t xml:space="preserve">51.3%</w:t>
            </w:r>
          </w:p>
        </w:tc>
        <w:tc>
          <w:tcPr/>
          <w:p>
            <w:pPr>
              <w:pStyle w:val="Compact"/>
            </w:pPr>
            <w:r>
              <w:t xml:space="preserve">48.1% to 54.4%</w:t>
            </w:r>
          </w:p>
        </w:tc>
        <w:tc>
          <w:tcPr/>
          <w:p>
            <w:pPr>
              <w:pStyle w:val="Compact"/>
            </w:pPr>
            <w:r>
              <w:t xml:space="preserve">557</w:t>
            </w:r>
          </w:p>
        </w:tc>
        <w:tc>
          <w:tcPr/>
          <w:p>
            <w:pPr>
              <w:pStyle w:val="Compact"/>
            </w:pPr>
            <w:r>
              <w:t xml:space="preserve">633</w:t>
            </w:r>
          </w:p>
        </w:tc>
        <w:tc>
          <w:tcPr/>
          <w:p>
            <w:pPr>
              <w:pStyle w:val="Compact"/>
            </w:pPr>
            <w:r>
              <w:t xml:space="preserve">572 to 695</w:t>
            </w:r>
          </w:p>
        </w:tc>
      </w:tr>
      <w:tr>
        <w:tc>
          <w:tcPr/>
          <w:p>
            <w:pPr>
              <w:pStyle w:val="Compact"/>
            </w:pPr>
            <w:r>
              <w:t xml:space="preserve">60+</w:t>
            </w:r>
          </w:p>
        </w:tc>
        <w:tc>
          <w:tcPr/>
          <w:p>
            <w:pPr>
              <w:pStyle w:val="Compact"/>
            </w:pPr>
            <w:r>
              <w:t xml:space="preserve">42.9%</w:t>
            </w:r>
          </w:p>
        </w:tc>
        <w:tc>
          <w:tcPr/>
          <w:p>
            <w:pPr>
              <w:pStyle w:val="Compact"/>
            </w:pPr>
            <w:r>
              <w:t xml:space="preserve">50.8%</w:t>
            </w:r>
          </w:p>
        </w:tc>
        <w:tc>
          <w:tcPr/>
          <w:p>
            <w:pPr>
              <w:pStyle w:val="Compact"/>
            </w:pPr>
            <w:r>
              <w:t xml:space="preserve">47.6% to 53.9%</w:t>
            </w:r>
          </w:p>
        </w:tc>
        <w:tc>
          <w:tcPr/>
          <w:p>
            <w:pPr>
              <w:pStyle w:val="Compact"/>
            </w:pPr>
            <w:r>
              <w:t xml:space="preserve">147</w:t>
            </w:r>
          </w:p>
        </w:tc>
        <w:tc>
          <w:tcPr/>
          <w:p>
            <w:pPr>
              <w:pStyle w:val="Compact"/>
            </w:pPr>
            <w:r>
              <w:t xml:space="preserve">130</w:t>
            </w:r>
          </w:p>
        </w:tc>
        <w:tc>
          <w:tcPr/>
          <w:p>
            <w:pPr>
              <w:pStyle w:val="Compact"/>
            </w:pPr>
            <w:r>
              <w:t xml:space="preserve">118 to 143</w:t>
            </w:r>
          </w:p>
        </w:tc>
      </w:tr>
    </w:tbl>
    <w:p>
      <w:pPr>
        <w:pStyle w:val="CaptionedFigure"/>
      </w:pPr>
      <w:r>
        <w:drawing>
          <wp:inline>
            <wp:extent cx="5334000" cy="2844800"/>
            <wp:effectExtent b="0" l="0" r="0" t="0"/>
            <wp:docPr descr="Fig S1. Calibration of age specific seroprevalence and prison population in 2015. Target intervals are compared with 95% posterior predictive intervals from the MCMC posterior and, for contrast, single round neural posterior estimation." title="" id="21" name="Picture"/>
            <a:graphic>
              <a:graphicData uri="http://schemas.openxmlformats.org/drawingml/2006/picture">
                <pic:pic>
                  <pic:nvPicPr>
                    <pic:cNvPr descr="/Users/yichenhe/Documents/Work/HepC-Transimission-Modelling/figures/calibration_agepop.png" id="22" name="Picture"/>
                    <pic:cNvPicPr>
                      <a:picLocks noChangeArrowheads="1" noChangeAspect="1"/>
                    </pic:cNvPicPr>
                  </pic:nvPicPr>
                  <pic:blipFill>
                    <a:blip r:embed="rId2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Fig S1. Calibration of age specific seroprevalence and prison population in 2015. Target intervals are compared with 95% posterior predictive intervals from the MCMC posterior and, for contrast, single round neural posterior estimation.</w:t>
      </w:r>
    </w:p>
    <w:p>
      <w:pPr>
        <w:pStyle w:val="BodyText"/>
      </w:pPr>
      <w:r>
        <w:t xml:space="preserve">In 2015 the model estimated 1,164 (95% interval: 927–1,476) people in D, 3,429 (3,141–3,733) in J, 1,551 (1,412–1,707) in F and 15,016 (13,502–16,714) in X. The total was 21,169 (19,152–23,399) people with a history of injecting drugs. Of these, 4,486 (4,037–4,960) were viraemic.</w:t>
      </w:r>
    </w:p>
    <w:bookmarkEnd w:id="23"/>
    <w:bookmarkEnd w:id="24"/>
    <w:bookmarkStart w:id="29" w:name="scenarios-and-costs"/>
    <w:p>
      <w:pPr>
        <w:pStyle w:val="Heading1"/>
      </w:pPr>
      <w:r>
        <w:t xml:space="preserve">3. Scenarios and costs</w:t>
      </w:r>
    </w:p>
    <w:bookmarkStart w:id="25" w:name="shared-history"/>
    <w:p>
      <w:pPr>
        <w:pStyle w:val="Heading2"/>
      </w:pPr>
      <w:r>
        <w:t xml:space="preserve">3.1 Shared history</w:t>
      </w:r>
    </w:p>
    <w:p>
      <w:pPr>
        <w:pStyle w:val="FirstParagraph"/>
      </w:pPr>
      <w:r>
        <w:t xml:space="preserve">All scenarios start from the same 2015 equilibrium. There was no treatment from 2016 to 2018. From 2019 the chronic infection treatment rate in J was</w:t>
      </w:r>
      <w:r>
        <w:t xml:space="preserve"> </w:t>
      </w:r>
      <m:oMath>
        <m:sSub>
          <m:e>
            <m:r>
              <m:t>τ</m:t>
            </m:r>
          </m:e>
          <m:sub>
            <m:r>
              <m:t>J</m:t>
            </m:r>
          </m:sub>
        </m:sSub>
        <m:r>
          <m:rPr>
            <m:sty m:val="p"/>
          </m:rPr>
          <m:t>=</m:t>
        </m:r>
        <m:r>
          <m:rPr>
            <m:sty m:val="p"/>
          </m:rPr>
          <m:t>−</m:t>
        </m:r>
        <m:r>
          <m:rPr>
            <m:sty m:val="p"/>
          </m:rPr>
          <m:t>ln</m:t>
        </m:r>
        <m:r>
          <m:rPr>
            <m:sty m:val="p"/>
          </m:rPr>
          <m:t>(</m:t>
        </m:r>
        <m:r>
          <m:t>1</m:t>
        </m:r>
        <m:r>
          <m:rPr>
            <m:sty m:val="p"/>
          </m:rPr>
          <m:t>−</m:t>
        </m:r>
        <m:r>
          <m:t>0.99995</m:t>
        </m:r>
        <m:r>
          <m:rPr>
            <m:sty m:val="p"/>
          </m:rPr>
          <m:t>)</m:t>
        </m:r>
      </m:oMath>
      <w:r>
        <w:t xml:space="preserve"> </w:t>
      </w:r>
      <w:r>
        <w:t xml:space="preserve">per year with no annual cap. People already on treatment completed their course. People who failed treatment or were reinfected could start again. No one in D was treated in any scenario. The no treatment counterfactual kept</w:t>
      </w:r>
      <w:r>
        <w:t xml:space="preserve"> </w:t>
      </w:r>
      <m:oMath>
        <m:r>
          <m:t>τ</m:t>
        </m:r>
        <m:r>
          <m:rPr>
            <m:sty m:val="p"/>
          </m:rPr>
          <m:t>=</m:t>
        </m:r>
        <m:r>
          <m:t>0</m:t>
        </m:r>
      </m:oMath>
      <w:r>
        <w:t xml:space="preserve"> </w:t>
      </w:r>
      <w:r>
        <w:t xml:space="preserve">in all groups up to 2030.</w:t>
      </w:r>
    </w:p>
    <w:bookmarkEnd w:id="25"/>
    <w:bookmarkStart w:id="26" w:name="community-screening-quota"/>
    <w:p>
      <w:pPr>
        <w:pStyle w:val="Heading2"/>
      </w:pPr>
      <w:r>
        <w:t xml:space="preserve">3.2 Community screening quota</w:t>
      </w:r>
    </w:p>
    <w:p>
      <w:pPr>
        <w:pStyle w:val="FirstParagraph"/>
      </w:pPr>
      <w:r>
        <w:t xml:space="preserve">From 2026, each year began with a screening plan for F and X. For group</w:t>
      </w:r>
      <w:r>
        <w:t xml:space="preserve"> </w:t>
      </w:r>
      <m:oMath>
        <m:r>
          <m:t>s</m:t>
        </m:r>
      </m:oMath>
      <w:r>
        <w:t xml:space="preserve"> </w:t>
      </w:r>
      <w:r>
        <w:t xml:space="preserve">we computed</w:t>
      </w:r>
      <w:r>
        <w:t xml:space="preserve"> </w:t>
      </w:r>
      <m:oMath>
        <m:sSub>
          <m:e>
            <m:r>
              <m:t>N</m:t>
            </m:r>
          </m:e>
          <m:sub>
            <m:r>
              <m:t>s</m:t>
            </m:r>
          </m:sub>
        </m:sSub>
        <m:r>
          <m:rPr>
            <m:sty m:val="p"/>
          </m:rPr>
          <m:t>=</m:t>
        </m:r>
        <m:r>
          <m:t>u</m:t>
        </m:r>
        <m:r>
          <m:rPr>
            <m:sty m:val="p"/>
          </m:rPr>
          <m:t>+</m:t>
        </m:r>
        <m:r>
          <m:t>a</m:t>
        </m:r>
        <m:r>
          <m:rPr>
            <m:sty m:val="p"/>
          </m:rPr>
          <m:t>+</m:t>
        </m:r>
        <m:r>
          <m:t>c</m:t>
        </m:r>
        <m:r>
          <m:rPr>
            <m:sty m:val="p"/>
          </m:rPr>
          <m:t>+</m:t>
        </m:r>
        <m:r>
          <m:t>r</m:t>
        </m:r>
      </m:oMath>
      <w:r>
        <w:t xml:space="preserve">, which excludes people on treatment. The number screened was</w:t>
      </w:r>
      <w:r>
        <w:t xml:space="preserve"> </w:t>
      </w:r>
      <m:oMath>
        <m:sSub>
          <m:e>
            <m:r>
              <m:t>S</m:t>
            </m:r>
          </m:e>
          <m:sub>
            <m:r>
              <m:t>s</m:t>
            </m:r>
          </m:sub>
        </m:sSub>
        <m:r>
          <m:rPr>
            <m:sty m:val="p"/>
          </m:rPr>
          <m:t>=</m:t>
        </m:r>
        <m:r>
          <m:rPr>
            <m:sty m:val="p"/>
          </m:rPr>
          <m:t>min</m:t>
        </m:r>
        <m:r>
          <m:rPr>
            <m:sty m:val="p"/>
          </m:rPr>
          <m:t>(</m:t>
        </m:r>
        <m:sSub>
          <m:e>
            <m:r>
              <m:t>Q</m:t>
            </m:r>
          </m:e>
          <m:sub>
            <m:r>
              <m:t>s</m:t>
            </m:r>
          </m:sub>
        </m:sSub>
        <m:r>
          <m:rPr>
            <m:sty m:val="p"/>
          </m:rPr>
          <m:t>,</m:t>
        </m:r>
        <m:sSub>
          <m:e>
            <m:r>
              <m:t>N</m:t>
            </m:r>
          </m:e>
          <m:sub>
            <m:r>
              <m:t>s</m:t>
            </m:r>
          </m:sub>
        </m:sSub>
        <m:r>
          <m:rPr>
            <m:sty m:val="p"/>
          </m:rPr>
          <m:t>)</m:t>
        </m:r>
      </m:oMath>
      <w:r>
        <w:t xml:space="preserve">, where</w:t>
      </w:r>
      <w:r>
        <w:t xml:space="preserve"> </w:t>
      </w:r>
      <m:oMath>
        <m:sSub>
          <m:e>
            <m:r>
              <m:t>Q</m:t>
            </m:r>
          </m:e>
          <m:sub>
            <m:r>
              <m:t>s</m:t>
            </m:r>
          </m:sub>
        </m:sSub>
      </m:oMath>
      <w:r>
        <w:t xml:space="preserve"> </w:t>
      </w:r>
      <w:r>
        <w:t xml:space="preserve">is the annual quota. The number of antibody tests was</w:t>
      </w:r>
      <w:r>
        <w:t xml:space="preserve"> </w:t>
      </w:r>
      <m:oMath>
        <m:sSub>
          <m:e>
            <m:r>
              <m:t>S</m:t>
            </m:r>
          </m:e>
          <m:sub>
            <m:r>
              <m:t>s</m:t>
            </m:r>
          </m:sub>
        </m:sSub>
      </m:oMath>
      <w:r>
        <w:t xml:space="preserve">. The number of RNA tests was</w:t>
      </w:r>
      <w:r>
        <w:t xml:space="preserve"> </w:t>
      </w:r>
      <m:oMath>
        <m:sSub>
          <m:e>
            <m:r>
              <m:t>S</m:t>
            </m:r>
          </m:e>
          <m:sub>
            <m:r>
              <m:t>s</m:t>
            </m:r>
          </m:sub>
        </m:sSub>
        <m:r>
          <m:rPr>
            <m:sty m:val="p"/>
          </m:rPr>
          <m:t>(</m:t>
        </m:r>
        <m:r>
          <m:t>a</m:t>
        </m:r>
        <m:r>
          <m:rPr>
            <m:sty m:val="p"/>
          </m:rPr>
          <m:t>+</m:t>
        </m:r>
        <m:r>
          <m:t>c</m:t>
        </m:r>
        <m:r>
          <m:rPr>
            <m:sty m:val="p"/>
          </m:rPr>
          <m:t>+</m:t>
        </m:r>
        <m:r>
          <m:t>r</m:t>
        </m:r>
        <m:r>
          <m:rPr>
            <m:sty m:val="p"/>
          </m:rPr>
          <m:t>)</m:t>
        </m:r>
        <m:r>
          <m:rPr>
            <m:sty m:val="p"/>
          </m:rPr>
          <m:t>/</m:t>
        </m:r>
        <m:sSub>
          <m:e>
            <m:r>
              <m:t>N</m:t>
            </m:r>
          </m:e>
          <m:sub>
            <m:r>
              <m:t>s</m:t>
            </m:r>
          </m:sub>
        </m:sSub>
      </m:oMath>
      <w:r>
        <w:t xml:space="preserve">. The number of people with chronic infection identified was</w:t>
      </w:r>
      <w:r>
        <w:t xml:space="preserve"> </w:t>
      </w:r>
      <m:oMath>
        <m:sSub>
          <m:e>
            <m:r>
              <m:t>K</m:t>
            </m:r>
          </m:e>
          <m:sub>
            <m:r>
              <m:t>s</m:t>
            </m:r>
          </m:sub>
        </m:sSub>
        <m:r>
          <m:rPr>
            <m:sty m:val="p"/>
          </m:rPr>
          <m:t>=</m:t>
        </m:r>
        <m:sSub>
          <m:e>
            <m:r>
              <m:t>S</m:t>
            </m:r>
          </m:e>
          <m:sub>
            <m:r>
              <m:t>s</m:t>
            </m:r>
          </m:sub>
        </m:sSub>
        <m:r>
          <m:t> </m:t>
        </m:r>
        <m:r>
          <m:t>c</m:t>
        </m:r>
        <m:r>
          <m:rPr>
            <m:sty m:val="p"/>
          </m:rPr>
          <m:t>/</m:t>
        </m:r>
        <m:sSub>
          <m:e>
            <m:r>
              <m:t>N</m:t>
            </m:r>
          </m:e>
          <m:sub>
            <m:r>
              <m:t>s</m:t>
            </m:r>
          </m:sub>
        </m:sSub>
      </m:oMath>
      <w:r>
        <w:t xml:space="preserve">.</w:t>
      </w:r>
      <w:r>
        <w:t xml:space="preserve"> </w:t>
      </w:r>
      <m:oMath>
        <m:sSub>
          <m:e>
            <m:r>
              <m:t>K</m:t>
            </m:r>
          </m:e>
          <m:sub>
            <m:r>
              <m:t>s</m:t>
            </m:r>
          </m:sub>
        </m:sSub>
      </m:oMath>
      <w:r>
        <w:t xml:space="preserve"> </w:t>
      </w:r>
      <w:r>
        <w:t xml:space="preserve">was the maximum number of treatment starts in group</w:t>
      </w:r>
      <w:r>
        <w:t xml:space="preserve"> </w:t>
      </w:r>
      <m:oMath>
        <m:r>
          <m:t>s</m:t>
        </m:r>
      </m:oMath>
      <w:r>
        <w:t xml:space="preserve"> </w:t>
      </w:r>
      <w:r>
        <w:t xml:space="preserve">that year. Identified people started treatment at rate</w:t>
      </w:r>
      <w:r>
        <w:t xml:space="preserve"> </w:t>
      </w:r>
      <m:oMath>
        <m:sSub>
          <m:e>
            <m:r>
              <m:t>τ</m:t>
            </m:r>
          </m:e>
          <m:sub>
            <m:r>
              <m:t>F</m:t>
            </m:r>
            <m:r>
              <m:t>X</m:t>
            </m:r>
          </m:sub>
        </m:sSub>
        <m:r>
          <m:rPr>
            <m:sty m:val="p"/>
          </m:rPr>
          <m:t>=</m:t>
        </m:r>
        <m:r>
          <m:rPr>
            <m:sty m:val="p"/>
          </m:rPr>
          <m:t>−</m:t>
        </m:r>
        <m:r>
          <m:rPr>
            <m:sty m:val="p"/>
          </m:rPr>
          <m:t>ln</m:t>
        </m:r>
        <m:r>
          <m:rPr>
            <m:sty m:val="p"/>
          </m:rPr>
          <m:t>(</m:t>
        </m:r>
        <m:r>
          <m:t>1</m:t>
        </m:r>
        <m:r>
          <m:rPr>
            <m:sty m:val="p"/>
          </m:rPr>
          <m:t>−</m:t>
        </m:r>
        <m:r>
          <m:t>0.99</m:t>
        </m:r>
        <m:r>
          <m:rPr>
            <m:sty m:val="p"/>
          </m:rPr>
          <m:t>)</m:t>
        </m:r>
      </m:oMath>
      <w:r>
        <w:t xml:space="preserve"> </w:t>
      </w:r>
      <w:r>
        <w:t xml:space="preserve">per year. The ODE solver tracked cumulative starts and switched off the</w:t>
      </w:r>
      <w:r>
        <w:t xml:space="preserve"> </w:t>
      </w:r>
      <m:oMath>
        <m:r>
          <m:t>c</m:t>
        </m:r>
        <m:r>
          <m:rPr>
            <m:sty m:val="p"/>
          </m:rPr>
          <m:t>→</m:t>
        </m:r>
        <m:r>
          <m:t>t</m:t>
        </m:r>
      </m:oMath>
      <w:r>
        <w:t xml:space="preserve"> </w:t>
      </w:r>
      <w:r>
        <w:t xml:space="preserve">flow in group</w:t>
      </w:r>
      <w:r>
        <w:t xml:space="preserve"> </w:t>
      </w:r>
      <m:oMath>
        <m:r>
          <m:t>s</m:t>
        </m:r>
      </m:oMath>
      <w:r>
        <w:t xml:space="preserve"> </w:t>
      </w:r>
      <w:r>
        <w:t xml:space="preserve">once starts reached</w:t>
      </w:r>
      <w:r>
        <w:t xml:space="preserve"> </w:t>
      </w:r>
      <m:oMath>
        <m:sSub>
          <m:e>
            <m:r>
              <m:t>K</m:t>
            </m:r>
          </m:e>
          <m:sub>
            <m:r>
              <m:t>s</m:t>
            </m:r>
          </m:sub>
        </m:sSub>
      </m:oMath>
      <w:r>
        <w:t xml:space="preserve">. Unused quota was not moved between F and X or carried to the next year. In the ideal reference,</w:t>
      </w:r>
      <w:r>
        <w:t xml:space="preserve"> </w:t>
      </w:r>
      <m:oMath>
        <m:sSub>
          <m:e>
            <m:r>
              <m:t>Q</m:t>
            </m:r>
          </m:e>
          <m:sub>
            <m:r>
              <m:t>s</m:t>
            </m:r>
          </m:sub>
        </m:sSub>
      </m:oMath>
      <w:r>
        <w:t xml:space="preserve"> </w:t>
      </w:r>
      <w:r>
        <w:t xml:space="preserve">was infinite, so everyone eligible was screened once a year.</w:t>
      </w:r>
    </w:p>
    <w:p>
      <w:pPr>
        <w:pStyle w:val="BodyText"/>
      </w:pPr>
      <w:r>
        <w:t xml:space="preserve">This is an aggregate approximation. The model does not track individual screening history. The same person can be counted as screened in more than one year. Acute infections were not treated.</w:t>
      </w:r>
    </w:p>
    <w:p>
      <w:pPr>
        <w:pStyle w:val="BodyText"/>
      </w:pPr>
      <w:r>
        <w:rPr>
          <w:b/>
          <w:bCs/>
        </w:rPr>
        <w:t xml:space="preserve">Table S7. Scenario definitions.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Annual tests</w:t>
            </w:r>
          </w:p>
        </w:tc>
        <w:tc>
          <w:tcPr/>
          <w:p>
            <w:pPr>
              <w:pStyle w:val="Compact"/>
            </w:pPr>
            <w:r>
              <w:t xml:space="preserve">F quota per year</w:t>
            </w:r>
          </w:p>
        </w:tc>
        <w:tc>
          <w:tcPr/>
          <w:p>
            <w:pPr>
              <w:pStyle w:val="Compact"/>
            </w:pPr>
            <w:r>
              <w:t xml:space="preserve">X quota per year</w:t>
            </w:r>
          </w:p>
        </w:tc>
      </w:tr>
      <w:tr>
        <w:tc>
          <w:tcPr/>
          <w:p>
            <w:pPr>
              <w:pStyle w:val="Compact"/>
            </w:pPr>
            <w:r>
              <w:t xml:space="preserve">J only</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J + 600/year, F 25%</w:t>
            </w:r>
          </w:p>
        </w:tc>
        <w:tc>
          <w:tcPr/>
          <w:p>
            <w:pPr>
              <w:pStyle w:val="Compact"/>
            </w:pPr>
            <w:r>
              <w:t xml:space="preserve">600</w:t>
            </w:r>
          </w:p>
        </w:tc>
        <w:tc>
          <w:tcPr/>
          <w:p>
            <w:pPr>
              <w:pStyle w:val="Compact"/>
            </w:pPr>
            <w:r>
              <w:t xml:space="preserve">150</w:t>
            </w:r>
          </w:p>
        </w:tc>
        <w:tc>
          <w:tcPr/>
          <w:p>
            <w:pPr>
              <w:pStyle w:val="Compact"/>
            </w:pPr>
            <w:r>
              <w:t xml:space="preserve">450</w:t>
            </w:r>
          </w:p>
        </w:tc>
      </w:tr>
      <w:tr>
        <w:tc>
          <w:tcPr/>
          <w:p>
            <w:pPr>
              <w:pStyle w:val="Compact"/>
            </w:pPr>
            <w:r>
              <w:t xml:space="preserve">J + 1,000/year, F 25%</w:t>
            </w:r>
          </w:p>
        </w:tc>
        <w:tc>
          <w:tcPr/>
          <w:p>
            <w:pPr>
              <w:pStyle w:val="Compact"/>
            </w:pPr>
            <w:r>
              <w:t xml:space="preserve">1,000</w:t>
            </w:r>
          </w:p>
        </w:tc>
        <w:tc>
          <w:tcPr/>
          <w:p>
            <w:pPr>
              <w:pStyle w:val="Compact"/>
            </w:pPr>
            <w:r>
              <w:t xml:space="preserve">250</w:t>
            </w:r>
          </w:p>
        </w:tc>
        <w:tc>
          <w:tcPr/>
          <w:p>
            <w:pPr>
              <w:pStyle w:val="Compact"/>
            </w:pPr>
            <w:r>
              <w:t xml:space="preserve">750</w:t>
            </w:r>
          </w:p>
        </w:tc>
      </w:tr>
      <w:tr>
        <w:tc>
          <w:tcPr/>
          <w:p>
            <w:pPr>
              <w:pStyle w:val="Compact"/>
            </w:pPr>
            <w:r>
              <w:t xml:space="preserve">J + 2,000/year, F 25%</w:t>
            </w:r>
          </w:p>
        </w:tc>
        <w:tc>
          <w:tcPr/>
          <w:p>
            <w:pPr>
              <w:pStyle w:val="Compact"/>
            </w:pPr>
            <w:r>
              <w:t xml:space="preserve">2,000</w:t>
            </w:r>
          </w:p>
        </w:tc>
        <w:tc>
          <w:tcPr/>
          <w:p>
            <w:pPr>
              <w:pStyle w:val="Compact"/>
            </w:pPr>
            <w:r>
              <w:t xml:space="preserve">500</w:t>
            </w:r>
          </w:p>
        </w:tc>
        <w:tc>
          <w:tcPr/>
          <w:p>
            <w:pPr>
              <w:pStyle w:val="Compact"/>
            </w:pPr>
            <w:r>
              <w:t xml:space="preserve">1,500</w:t>
            </w:r>
          </w:p>
        </w:tc>
      </w:tr>
      <w:tr>
        <w:tc>
          <w:tcPr/>
          <w:p>
            <w:pPr>
              <w:pStyle w:val="Compact"/>
            </w:pPr>
            <w:r>
              <w:t xml:space="preserve">J + 5,000/year, F 25%</w:t>
            </w:r>
          </w:p>
        </w:tc>
        <w:tc>
          <w:tcPr/>
          <w:p>
            <w:pPr>
              <w:pStyle w:val="Compact"/>
            </w:pPr>
            <w:r>
              <w:t xml:space="preserve">5,000</w:t>
            </w:r>
          </w:p>
        </w:tc>
        <w:tc>
          <w:tcPr/>
          <w:p>
            <w:pPr>
              <w:pStyle w:val="Compact"/>
            </w:pPr>
            <w:r>
              <w:t xml:space="preserve">1,250</w:t>
            </w:r>
          </w:p>
        </w:tc>
        <w:tc>
          <w:tcPr/>
          <w:p>
            <w:pPr>
              <w:pStyle w:val="Compact"/>
            </w:pPr>
            <w:r>
              <w:t xml:space="preserve">3,750</w:t>
            </w:r>
          </w:p>
        </w:tc>
      </w:tr>
      <w:tr>
        <w:tc>
          <w:tcPr/>
          <w:p>
            <w:pPr>
              <w:pStyle w:val="Compact"/>
            </w:pPr>
            <w:r>
              <w:t xml:space="preserve">J + 8,000/year, F 25%</w:t>
            </w:r>
          </w:p>
        </w:tc>
        <w:tc>
          <w:tcPr/>
          <w:p>
            <w:pPr>
              <w:pStyle w:val="Compact"/>
            </w:pPr>
            <w:r>
              <w:t xml:space="preserve">8,000</w:t>
            </w:r>
          </w:p>
        </w:tc>
        <w:tc>
          <w:tcPr/>
          <w:p>
            <w:pPr>
              <w:pStyle w:val="Compact"/>
            </w:pPr>
            <w:r>
              <w:t xml:space="preserve">2,000</w:t>
            </w:r>
          </w:p>
        </w:tc>
        <w:tc>
          <w:tcPr/>
          <w:p>
            <w:pPr>
              <w:pStyle w:val="Compact"/>
            </w:pPr>
            <w:r>
              <w:t xml:space="preserve">6,000</w:t>
            </w:r>
          </w:p>
        </w:tc>
      </w:tr>
      <w:tr>
        <w:tc>
          <w:tcPr/>
          <w:p>
            <w:pPr>
              <w:pStyle w:val="Compact"/>
            </w:pPr>
            <w:r>
              <w:t xml:space="preserve">J + 600/year, F 50%</w:t>
            </w:r>
          </w:p>
        </w:tc>
        <w:tc>
          <w:tcPr/>
          <w:p>
            <w:pPr>
              <w:pStyle w:val="Compact"/>
            </w:pPr>
            <w:r>
              <w:t xml:space="preserve">600</w:t>
            </w:r>
          </w:p>
        </w:tc>
        <w:tc>
          <w:tcPr/>
          <w:p>
            <w:pPr>
              <w:pStyle w:val="Compact"/>
            </w:pPr>
            <w:r>
              <w:t xml:space="preserve">300</w:t>
            </w:r>
          </w:p>
        </w:tc>
        <w:tc>
          <w:tcPr/>
          <w:p>
            <w:pPr>
              <w:pStyle w:val="Compact"/>
            </w:pPr>
            <w:r>
              <w:t xml:space="preserve">300</w:t>
            </w:r>
          </w:p>
        </w:tc>
      </w:tr>
      <w:tr>
        <w:tc>
          <w:tcPr/>
          <w:p>
            <w:pPr>
              <w:pStyle w:val="Compact"/>
            </w:pPr>
            <w:r>
              <w:t xml:space="preserve">J + 1,000/year, F 50%</w:t>
            </w:r>
          </w:p>
        </w:tc>
        <w:tc>
          <w:tcPr/>
          <w:p>
            <w:pPr>
              <w:pStyle w:val="Compact"/>
            </w:pPr>
            <w:r>
              <w:t xml:space="preserve">1,000</w:t>
            </w:r>
          </w:p>
        </w:tc>
        <w:tc>
          <w:tcPr/>
          <w:p>
            <w:pPr>
              <w:pStyle w:val="Compact"/>
            </w:pPr>
            <w:r>
              <w:t xml:space="preserve">500</w:t>
            </w:r>
          </w:p>
        </w:tc>
        <w:tc>
          <w:tcPr/>
          <w:p>
            <w:pPr>
              <w:pStyle w:val="Compact"/>
            </w:pPr>
            <w:r>
              <w:t xml:space="preserve">500</w:t>
            </w:r>
          </w:p>
        </w:tc>
      </w:tr>
      <w:tr>
        <w:tc>
          <w:tcPr/>
          <w:p>
            <w:pPr>
              <w:pStyle w:val="Compact"/>
            </w:pPr>
            <w:r>
              <w:t xml:space="preserve">J + 2,000/year, F 50%</w:t>
            </w:r>
          </w:p>
        </w:tc>
        <w:tc>
          <w:tcPr/>
          <w:p>
            <w:pPr>
              <w:pStyle w:val="Compact"/>
            </w:pPr>
            <w:r>
              <w:t xml:space="preserve">2,000</w:t>
            </w:r>
          </w:p>
        </w:tc>
        <w:tc>
          <w:tcPr/>
          <w:p>
            <w:pPr>
              <w:pStyle w:val="Compact"/>
            </w:pPr>
            <w:r>
              <w:t xml:space="preserve">1,000</w:t>
            </w:r>
          </w:p>
        </w:tc>
        <w:tc>
          <w:tcPr/>
          <w:p>
            <w:pPr>
              <w:pStyle w:val="Compact"/>
            </w:pPr>
            <w:r>
              <w:t xml:space="preserve">1,000</w:t>
            </w:r>
          </w:p>
        </w:tc>
      </w:tr>
      <w:tr>
        <w:tc>
          <w:tcPr/>
          <w:p>
            <w:pPr>
              <w:pStyle w:val="Compact"/>
            </w:pPr>
            <w:r>
              <w:t xml:space="preserve">J + 5,000/year, F 50%</w:t>
            </w:r>
          </w:p>
        </w:tc>
        <w:tc>
          <w:tcPr/>
          <w:p>
            <w:pPr>
              <w:pStyle w:val="Compact"/>
            </w:pPr>
            <w:r>
              <w:t xml:space="preserve">5,000</w:t>
            </w:r>
          </w:p>
        </w:tc>
        <w:tc>
          <w:tcPr/>
          <w:p>
            <w:pPr>
              <w:pStyle w:val="Compact"/>
            </w:pPr>
            <w:r>
              <w:t xml:space="preserve">2,500</w:t>
            </w:r>
          </w:p>
        </w:tc>
        <w:tc>
          <w:tcPr/>
          <w:p>
            <w:pPr>
              <w:pStyle w:val="Compact"/>
            </w:pPr>
            <w:r>
              <w:t xml:space="preserve">2,500</w:t>
            </w:r>
          </w:p>
        </w:tc>
      </w:tr>
      <w:tr>
        <w:tc>
          <w:tcPr/>
          <w:p>
            <w:pPr>
              <w:pStyle w:val="Compact"/>
            </w:pPr>
            <w:r>
              <w:t xml:space="preserve">J + 8,000/year, F 50%</w:t>
            </w:r>
          </w:p>
        </w:tc>
        <w:tc>
          <w:tcPr/>
          <w:p>
            <w:pPr>
              <w:pStyle w:val="Compact"/>
            </w:pPr>
            <w:r>
              <w:t xml:space="preserve">8,000</w:t>
            </w:r>
          </w:p>
        </w:tc>
        <w:tc>
          <w:tcPr/>
          <w:p>
            <w:pPr>
              <w:pStyle w:val="Compact"/>
            </w:pPr>
            <w:r>
              <w:t xml:space="preserve">4,000</w:t>
            </w:r>
          </w:p>
        </w:tc>
        <w:tc>
          <w:tcPr/>
          <w:p>
            <w:pPr>
              <w:pStyle w:val="Compact"/>
            </w:pPr>
            <w:r>
              <w:t xml:space="preserve">4,000</w:t>
            </w:r>
          </w:p>
        </w:tc>
      </w:tr>
      <w:tr>
        <w:tc>
          <w:tcPr/>
          <w:p>
            <w:pPr>
              <w:pStyle w:val="Compact"/>
            </w:pPr>
            <w:r>
              <w:t xml:space="preserve">J + 600/year, F 75%</w:t>
            </w:r>
          </w:p>
        </w:tc>
        <w:tc>
          <w:tcPr/>
          <w:p>
            <w:pPr>
              <w:pStyle w:val="Compact"/>
            </w:pPr>
            <w:r>
              <w:t xml:space="preserve">600</w:t>
            </w:r>
          </w:p>
        </w:tc>
        <w:tc>
          <w:tcPr/>
          <w:p>
            <w:pPr>
              <w:pStyle w:val="Compact"/>
            </w:pPr>
            <w:r>
              <w:t xml:space="preserve">450</w:t>
            </w:r>
          </w:p>
        </w:tc>
        <w:tc>
          <w:tcPr/>
          <w:p>
            <w:pPr>
              <w:pStyle w:val="Compact"/>
            </w:pPr>
            <w:r>
              <w:t xml:space="preserve">150</w:t>
            </w:r>
          </w:p>
        </w:tc>
      </w:tr>
      <w:tr>
        <w:tc>
          <w:tcPr/>
          <w:p>
            <w:pPr>
              <w:pStyle w:val="Compact"/>
            </w:pPr>
            <w:r>
              <w:t xml:space="preserve">J + 1,000/year, F 75%</w:t>
            </w:r>
          </w:p>
        </w:tc>
        <w:tc>
          <w:tcPr/>
          <w:p>
            <w:pPr>
              <w:pStyle w:val="Compact"/>
            </w:pPr>
            <w:r>
              <w:t xml:space="preserve">1,000</w:t>
            </w:r>
          </w:p>
        </w:tc>
        <w:tc>
          <w:tcPr/>
          <w:p>
            <w:pPr>
              <w:pStyle w:val="Compact"/>
            </w:pPr>
            <w:r>
              <w:t xml:space="preserve">750</w:t>
            </w:r>
          </w:p>
        </w:tc>
        <w:tc>
          <w:tcPr/>
          <w:p>
            <w:pPr>
              <w:pStyle w:val="Compact"/>
            </w:pPr>
            <w:r>
              <w:t xml:space="preserve">250</w:t>
            </w:r>
          </w:p>
        </w:tc>
      </w:tr>
      <w:tr>
        <w:tc>
          <w:tcPr/>
          <w:p>
            <w:pPr>
              <w:pStyle w:val="Compact"/>
            </w:pPr>
            <w:r>
              <w:t xml:space="preserve">J + 2,000/year, F 75%</w:t>
            </w:r>
          </w:p>
        </w:tc>
        <w:tc>
          <w:tcPr/>
          <w:p>
            <w:pPr>
              <w:pStyle w:val="Compact"/>
            </w:pPr>
            <w:r>
              <w:t xml:space="preserve">2,000</w:t>
            </w:r>
          </w:p>
        </w:tc>
        <w:tc>
          <w:tcPr/>
          <w:p>
            <w:pPr>
              <w:pStyle w:val="Compact"/>
            </w:pPr>
            <w:r>
              <w:t xml:space="preserve">1,500</w:t>
            </w:r>
          </w:p>
        </w:tc>
        <w:tc>
          <w:tcPr/>
          <w:p>
            <w:pPr>
              <w:pStyle w:val="Compact"/>
            </w:pPr>
            <w:r>
              <w:t xml:space="preserve">500</w:t>
            </w:r>
          </w:p>
        </w:tc>
      </w:tr>
      <w:tr>
        <w:tc>
          <w:tcPr/>
          <w:p>
            <w:pPr>
              <w:pStyle w:val="Compact"/>
            </w:pPr>
            <w:r>
              <w:t xml:space="preserve">J + 5,000/year, F 75%</w:t>
            </w:r>
          </w:p>
        </w:tc>
        <w:tc>
          <w:tcPr/>
          <w:p>
            <w:pPr>
              <w:pStyle w:val="Compact"/>
            </w:pPr>
            <w:r>
              <w:t xml:space="preserve">5,000</w:t>
            </w:r>
          </w:p>
        </w:tc>
        <w:tc>
          <w:tcPr/>
          <w:p>
            <w:pPr>
              <w:pStyle w:val="Compact"/>
            </w:pPr>
            <w:r>
              <w:t xml:space="preserve">3,750</w:t>
            </w:r>
          </w:p>
        </w:tc>
        <w:tc>
          <w:tcPr/>
          <w:p>
            <w:pPr>
              <w:pStyle w:val="Compact"/>
            </w:pPr>
            <w:r>
              <w:t xml:space="preserve">1,250</w:t>
            </w:r>
          </w:p>
        </w:tc>
      </w:tr>
      <w:tr>
        <w:tc>
          <w:tcPr/>
          <w:p>
            <w:pPr>
              <w:pStyle w:val="Compact"/>
            </w:pPr>
            <w:r>
              <w:t xml:space="preserve">J + 8,000/year, F 75%</w:t>
            </w:r>
          </w:p>
        </w:tc>
        <w:tc>
          <w:tcPr/>
          <w:p>
            <w:pPr>
              <w:pStyle w:val="Compact"/>
            </w:pPr>
            <w:r>
              <w:t xml:space="preserve">8,000</w:t>
            </w:r>
          </w:p>
        </w:tc>
        <w:tc>
          <w:tcPr/>
          <w:p>
            <w:pPr>
              <w:pStyle w:val="Compact"/>
            </w:pPr>
            <w:r>
              <w:t xml:space="preserve">6,000</w:t>
            </w:r>
          </w:p>
        </w:tc>
        <w:tc>
          <w:tcPr/>
          <w:p>
            <w:pPr>
              <w:pStyle w:val="Compact"/>
            </w:pPr>
            <w:r>
              <w:t xml:space="preserve">2,000</w:t>
            </w:r>
          </w:p>
        </w:tc>
      </w:tr>
      <w:tr>
        <w:tc>
          <w:tcPr/>
          <w:p>
            <w:pPr>
              <w:pStyle w:val="Compact"/>
            </w:pPr>
            <w:r>
              <w:t xml:space="preserve">J + no screening cap</w:t>
            </w:r>
          </w:p>
        </w:tc>
        <w:tc>
          <w:tcPr/>
          <w:p>
            <w:pPr>
              <w:pStyle w:val="Compact"/>
            </w:pPr>
            <w:r>
              <w:t xml:space="preserve">Unlimited</w:t>
            </w:r>
          </w:p>
        </w:tc>
        <w:tc>
          <w:tcPr/>
          <w:p>
            <w:pPr>
              <w:pStyle w:val="Compact"/>
            </w:pPr>
            <w:r>
              <w:t xml:space="preserve">All eligible</w:t>
            </w:r>
          </w:p>
        </w:tc>
        <w:tc>
          <w:tcPr/>
          <w:p>
            <w:pPr>
              <w:pStyle w:val="Compact"/>
            </w:pPr>
            <w:r>
              <w:t xml:space="preserve">All eligible</w:t>
            </w:r>
          </w:p>
        </w:tc>
      </w:tr>
    </w:tbl>
    <w:bookmarkEnd w:id="26"/>
    <w:bookmarkStart w:id="27" w:name="outcomes"/>
    <w:p>
      <w:pPr>
        <w:pStyle w:val="Heading2"/>
      </w:pPr>
      <w:r>
        <w:t xml:space="preserve">3.3 Outcomes</w:t>
      </w:r>
    </w:p>
    <w:p>
      <w:pPr>
        <w:pStyle w:val="FirstParagraph"/>
      </w:pPr>
      <w:r>
        <w:t xml:space="preserve">New infections are the annual flow from states u and r to state a in D and F, evaluated at the end of each calendar year. HCV deaths are the annual excess deaths in stages 3 and 4. Both are event counts per year. The reduction in 2030 is one minus the ratio of the 2030 value to the 2015 value. We also report these reductions for F and X combined.</w:t>
      </w:r>
    </w:p>
    <w:bookmarkEnd w:id="27"/>
    <w:bookmarkStart w:id="28" w:name="costs"/>
    <w:p>
      <w:pPr>
        <w:pStyle w:val="Heading2"/>
      </w:pPr>
      <w:r>
        <w:t xml:space="preserve">3.4 Costs</w:t>
      </w:r>
    </w:p>
    <w:p>
      <w:pPr>
        <w:pStyle w:val="FirstParagraph"/>
      </w:pPr>
      <w:r>
        <w:t xml:space="preserve">Costs were counted for F, J and X from 2026 to 2030 (Table S8). In F and X, each person screened had one antibody test. Each expected antibody positive person had one RNA test. Each treatment start had one consultation and one full drug course. In J, each antibody positive person entering prison had one antibody test. Each treatment start in J had one RNA test, one consultation and one drug course. Costs were counted in the year they occurred and discounted as</w:t>
      </w:r>
      <w:r>
        <w:t xml:space="preserve"> </w:t>
      </w:r>
      <m:oMath>
        <m:sSub>
          <m:e>
            <m:r>
              <m:t>C</m:t>
            </m:r>
          </m:e>
          <m:sub>
            <m:r>
              <m:t>y</m:t>
            </m:r>
          </m:sub>
        </m:sSub>
        <m:r>
          <m:rPr>
            <m:sty m:val="p"/>
          </m:rPr>
          <m:t>/</m:t>
        </m:r>
        <m:sSup>
          <m:e>
            <m:r>
              <m:t>1.03</m:t>
            </m:r>
          </m:e>
          <m:sup>
            <m:r>
              <m:rPr>
                <m:sty m:val="p"/>
              </m:rPr>
              <m:t>(</m:t>
            </m:r>
            <m:r>
              <m:t>y</m:t>
            </m:r>
            <m:r>
              <m:rPr>
                <m:sty m:val="p"/>
              </m:rPr>
              <m:t>−</m:t>
            </m:r>
            <m:r>
              <m:t>2026</m:t>
            </m:r>
            <m:r>
              <m:rPr>
                <m:sty m:val="p"/>
              </m:rPr>
              <m:t>)</m:t>
            </m:r>
          </m:sup>
        </m:sSup>
      </m:oMath>
      <w:r>
        <w:t xml:space="preserve">.</w:t>
      </w:r>
    </w:p>
    <w:p>
      <w:pPr>
        <w:pStyle w:val="BodyText"/>
      </w:pPr>
      <w:r>
        <w:t xml:space="preserve">The drug price was USD 2,577 per week for 12 weeks</w:t>
      </w:r>
      <w:r>
        <w:t xml:space="preserve"> </w:t>
      </w:r>
      <w:r>
        <w:t xml:space="preserve">[23]</w:t>
      </w:r>
      <w:r>
        <w:t xml:space="preserve">. This is USD 30,924 per course. We converted it at the 2025 average rate of 1.3066 Singapore dollars per US dollar</w:t>
      </w:r>
      <w:r>
        <w:t xml:space="preserve"> </w:t>
      </w:r>
      <w:r>
        <w:t xml:space="preserve">[24]</w:t>
      </w:r>
      <w:r>
        <w:t xml:space="preserve">. Prices were not inflated. These are model prices and not Singapore payer costs. Follow up visits, SVR12 tests, fibrosis assessment and programme staff were not included.</w:t>
      </w:r>
    </w:p>
    <w:p>
      <w:pPr>
        <w:pStyle w:val="BodyText"/>
      </w:pPr>
      <w:r>
        <w:rPr>
          <w:b/>
          <w:bCs/>
        </w:rPr>
        <w:t xml:space="preserve">Table S8. Unit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Unit cost</w:t>
            </w:r>
          </w:p>
        </w:tc>
        <w:tc>
          <w:tcPr/>
          <w:p>
            <w:pPr>
              <w:pStyle w:val="Compact"/>
            </w:pPr>
            <w:r>
              <w:t xml:space="preserve">Unit</w:t>
            </w:r>
          </w:p>
        </w:tc>
        <w:tc>
          <w:tcPr/>
          <w:p>
            <w:pPr>
              <w:pStyle w:val="Compact"/>
            </w:pPr>
            <w:r>
              <w:t xml:space="preserve">Source price</w:t>
            </w:r>
          </w:p>
        </w:tc>
      </w:tr>
      <w:tr>
        <w:tc>
          <w:tcPr/>
          <w:p>
            <w:pPr>
              <w:pStyle w:val="Compact"/>
            </w:pPr>
            <w:r>
              <w:t xml:space="preserve">SOF/VEL 400/100 mg</w:t>
            </w:r>
          </w:p>
        </w:tc>
        <w:tc>
          <w:tcPr/>
          <w:p>
            <w:pPr>
              <w:pStyle w:val="Compact"/>
            </w:pPr>
            <w:r>
              <w:t xml:space="preserve">S$40,405.30</w:t>
            </w:r>
          </w:p>
        </w:tc>
        <w:tc>
          <w:tcPr/>
          <w:p>
            <w:pPr>
              <w:pStyle w:val="Compact"/>
            </w:pPr>
            <w:r>
              <w:t xml:space="preserve">SGD per 12-week course</w:t>
            </w:r>
          </w:p>
        </w:tc>
        <w:tc>
          <w:tcPr/>
          <w:p>
            <w:pPr>
              <w:pStyle w:val="Compact"/>
            </w:pPr>
            <w:r>
              <w:t xml:space="preserve">USD 2577 per week (2019)</w:t>
            </w:r>
          </w:p>
        </w:tc>
      </w:tr>
      <w:tr>
        <w:tc>
          <w:tcPr/>
          <w:p>
            <w:pPr>
              <w:pStyle w:val="Compact"/>
            </w:pPr>
            <w:r>
              <w:t xml:space="preserve">Anti-HCV antibody</w:t>
            </w:r>
          </w:p>
        </w:tc>
        <w:tc>
          <w:tcPr/>
          <w:p>
            <w:pPr>
              <w:pStyle w:val="Compact"/>
            </w:pPr>
            <w:r>
              <w:t xml:space="preserve">S$25.31</w:t>
            </w:r>
          </w:p>
        </w:tc>
        <w:tc>
          <w:tcPr/>
          <w:p>
            <w:pPr>
              <w:pStyle w:val="Compact"/>
            </w:pPr>
            <w:r>
              <w:t xml:space="preserve">SGD per test</w:t>
            </w:r>
          </w:p>
        </w:tc>
        <w:tc>
          <w:tcPr/>
          <w:p>
            <w:pPr>
              <w:pStyle w:val="Compact"/>
            </w:pPr>
            <w:r>
              <w:t xml:space="preserve">SGD 25.31 per test (2026)</w:t>
            </w:r>
          </w:p>
        </w:tc>
      </w:tr>
      <w:tr>
        <w:tc>
          <w:tcPr/>
          <w:p>
            <w:pPr>
              <w:pStyle w:val="Compact"/>
            </w:pPr>
            <w:r>
              <w:t xml:space="preserve">HCV RNA PCR</w:t>
            </w:r>
          </w:p>
        </w:tc>
        <w:tc>
          <w:tcPr/>
          <w:p>
            <w:pPr>
              <w:pStyle w:val="Compact"/>
            </w:pPr>
            <w:r>
              <w:t xml:space="preserve">S$307.00</w:t>
            </w:r>
          </w:p>
        </w:tc>
        <w:tc>
          <w:tcPr/>
          <w:p>
            <w:pPr>
              <w:pStyle w:val="Compact"/>
            </w:pPr>
            <w:r>
              <w:t xml:space="preserve">SGD per test</w:t>
            </w:r>
          </w:p>
        </w:tc>
        <w:tc>
          <w:tcPr/>
          <w:p>
            <w:pPr>
              <w:pStyle w:val="Compact"/>
            </w:pPr>
            <w:r>
              <w:t xml:space="preserve">SGD 307 per test (2025)</w:t>
            </w:r>
          </w:p>
        </w:tc>
      </w:tr>
      <w:tr>
        <w:tc>
          <w:tcPr/>
          <w:p>
            <w:pPr>
              <w:pStyle w:val="Compact"/>
            </w:pPr>
            <w:r>
              <w:t xml:space="preserve">Doctor consultation</w:t>
            </w:r>
          </w:p>
        </w:tc>
        <w:tc>
          <w:tcPr/>
          <w:p>
            <w:pPr>
              <w:pStyle w:val="Compact"/>
            </w:pPr>
            <w:r>
              <w:t xml:space="preserve">S$25.00</w:t>
            </w:r>
          </w:p>
        </w:tc>
        <w:tc>
          <w:tcPr/>
          <w:p>
            <w:pPr>
              <w:pStyle w:val="Compact"/>
            </w:pPr>
            <w:r>
              <w:t xml:space="preserve">SGD per visit</w:t>
            </w:r>
          </w:p>
        </w:tc>
        <w:tc>
          <w:tcPr/>
          <w:p>
            <w:pPr>
              <w:pStyle w:val="Compact"/>
            </w:pPr>
            <w:r>
              <w:t xml:space="preserve">SGD 25 per visit (2026)</w:t>
            </w:r>
          </w:p>
        </w:tc>
      </w:tr>
    </w:tbl>
    <w:p>
      <w:pPr>
        <w:pStyle w:val="BodyText"/>
      </w:pPr>
      <w:r>
        <w:t xml:space="preserve">Sources: drug price</w:t>
      </w:r>
      <w:r>
        <w:t xml:space="preserve"> </w:t>
      </w:r>
      <w:r>
        <w:t xml:space="preserve">[23]</w:t>
      </w:r>
      <w:r>
        <w:t xml:space="preserve">, antibody test and consultation</w:t>
      </w:r>
      <w:r>
        <w:t xml:space="preserve"> </w:t>
      </w:r>
      <w:r>
        <w:t xml:space="preserve">[25]</w:t>
      </w:r>
      <w:r>
        <w:t xml:space="preserve">, RNA test</w:t>
      </w:r>
      <w:r>
        <w:t xml:space="preserve"> </w:t>
      </w:r>
      <w:r>
        <w:t xml:space="preserve">[26]</w:t>
      </w:r>
      <w:r>
        <w:t xml:space="preserve">.</w:t>
      </w:r>
    </w:p>
    <w:bookmarkEnd w:id="28"/>
    <w:bookmarkEnd w:id="29"/>
    <w:bookmarkStart w:id="51" w:name="full-results"/>
    <w:p>
      <w:pPr>
        <w:pStyle w:val="Heading1"/>
      </w:pPr>
      <w:r>
        <w:t xml:space="preserve">4. Full results</w:t>
      </w:r>
    </w:p>
    <w:bookmarkStart w:id="36" w:name="targets-in-all-scenarios"/>
    <w:p>
      <w:pPr>
        <w:pStyle w:val="Heading2"/>
      </w:pPr>
      <w:r>
        <w:t xml:space="preserve">4.1 Targets in all scenarios</w:t>
      </w:r>
    </w:p>
    <w:p>
      <w:pPr>
        <w:pStyle w:val="FirstParagraph"/>
      </w:pPr>
      <w:r>
        <w:rPr>
          <w:b/>
          <w:bCs/>
        </w:rPr>
        <w:t xml:space="preserve">Table S9. Reductions in 2030 compared with 2015, all 17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both targets</w:t>
            </w:r>
          </w:p>
        </w:tc>
        <w:tc>
          <w:tcPr/>
          <w:p>
            <w:pPr>
              <w:pStyle w:val="Compact"/>
            </w:pPr>
            <w:r>
              <w:t xml:space="preserve">F and X incidence reduction</w:t>
            </w:r>
          </w:p>
        </w:tc>
        <w:tc>
          <w:tcPr/>
          <w:p>
            <w:pPr>
              <w:pStyle w:val="Compact"/>
            </w:pPr>
            <w:r>
              <w:t xml:space="preserve">F and X mortality reduction</w:t>
            </w:r>
          </w:p>
        </w:tc>
      </w:tr>
      <w:tr>
        <w:tc>
          <w:tcPr/>
          <w:p>
            <w:pPr>
              <w:pStyle w:val="Compact"/>
            </w:pPr>
            <w:r>
              <w:t xml:space="preserve">Prison treatment only (J only)</w:t>
            </w:r>
          </w:p>
        </w:tc>
        <w:tc>
          <w:tcPr/>
          <w:p>
            <w:pPr>
              <w:pStyle w:val="Compact"/>
            </w:pPr>
            <w:r>
              <w:t xml:space="preserve">59.2% (95% UI: 46.4%–69.0%)</w:t>
            </w:r>
          </w:p>
        </w:tc>
        <w:tc>
          <w:tcPr/>
          <w:p>
            <w:pPr>
              <w:pStyle w:val="Compact"/>
            </w:pPr>
            <w:r>
              <w:t xml:space="preserve">41.8% (95% UI: 40.9%–42.8%)</w:t>
            </w:r>
          </w:p>
        </w:tc>
        <w:tc>
          <w:tcPr/>
          <w:p>
            <w:pPr>
              <w:pStyle w:val="Compact"/>
            </w:pPr>
            <w:r>
              <w:t xml:space="preserve">0%</w:t>
            </w:r>
          </w:p>
        </w:tc>
        <w:tc>
          <w:tcPr/>
          <w:p>
            <w:pPr>
              <w:pStyle w:val="Compact"/>
            </w:pPr>
            <w:r>
              <w:t xml:space="preserve">63.4% (95% UI: 51.5%–72.3%)</w:t>
            </w:r>
          </w:p>
        </w:tc>
        <w:tc>
          <w:tcPr/>
          <w:p>
            <w:pPr>
              <w:pStyle w:val="Compact"/>
            </w:pPr>
            <w:r>
              <w:t xml:space="preserve">36.2% (95% UI: 35.4%–37.0%)</w:t>
            </w:r>
          </w:p>
        </w:tc>
      </w:tr>
      <w:tr>
        <w:tc>
          <w:tcPr/>
          <w:p>
            <w:pPr>
              <w:pStyle w:val="Compact"/>
            </w:pPr>
            <w:r>
              <w:t xml:space="preserve">J + 600/year, F 25%</w:t>
            </w:r>
          </w:p>
        </w:tc>
        <w:tc>
          <w:tcPr/>
          <w:p>
            <w:pPr>
              <w:pStyle w:val="Compact"/>
            </w:pPr>
            <w:r>
              <w:t xml:space="preserve">68.9% (95% UI: 57.4%–77.0%)</w:t>
            </w:r>
          </w:p>
        </w:tc>
        <w:tc>
          <w:tcPr/>
          <w:p>
            <w:pPr>
              <w:pStyle w:val="Compact"/>
            </w:pPr>
            <w:r>
              <w:t xml:space="preserve">45.7% (95% UI: 44.7%–46.8%)</w:t>
            </w:r>
          </w:p>
        </w:tc>
        <w:tc>
          <w:tcPr/>
          <w:p>
            <w:pPr>
              <w:pStyle w:val="Compact"/>
            </w:pPr>
            <w:r>
              <w:t xml:space="preserve">0%</w:t>
            </w:r>
          </w:p>
        </w:tc>
        <w:tc>
          <w:tcPr/>
          <w:p>
            <w:pPr>
              <w:pStyle w:val="Compact"/>
            </w:pPr>
            <w:r>
              <w:t xml:space="preserve">71.9% (95% UI: 61.0%–79.4%)</w:t>
            </w:r>
          </w:p>
        </w:tc>
        <w:tc>
          <w:tcPr/>
          <w:p>
            <w:pPr>
              <w:pStyle w:val="Compact"/>
            </w:pPr>
            <w:r>
              <w:t xml:space="preserve">40.6% (95% UI: 39.6%–41.6%)</w:t>
            </w:r>
          </w:p>
        </w:tc>
      </w:tr>
      <w:tr>
        <w:tc>
          <w:tcPr/>
          <w:p>
            <w:pPr>
              <w:pStyle w:val="Compact"/>
            </w:pPr>
            <w:r>
              <w:t xml:space="preserve">J + 1,000/year, F 25%</w:t>
            </w:r>
          </w:p>
        </w:tc>
        <w:tc>
          <w:tcPr/>
          <w:p>
            <w:pPr>
              <w:pStyle w:val="Compact"/>
            </w:pPr>
            <w:r>
              <w:t xml:space="preserve">74.6% (95% UI: 64.3%–81.5%)</w:t>
            </w:r>
          </w:p>
        </w:tc>
        <w:tc>
          <w:tcPr/>
          <w:p>
            <w:pPr>
              <w:pStyle w:val="Compact"/>
            </w:pPr>
            <w:r>
              <w:t xml:space="preserve">48.1% (95% UI: 47.0%–49.3%)</w:t>
            </w:r>
          </w:p>
        </w:tc>
        <w:tc>
          <w:tcPr/>
          <w:p>
            <w:pPr>
              <w:pStyle w:val="Compact"/>
            </w:pPr>
            <w:r>
              <w:t xml:space="preserve">0%</w:t>
            </w:r>
          </w:p>
        </w:tc>
        <w:tc>
          <w:tcPr/>
          <w:p>
            <w:pPr>
              <w:pStyle w:val="Compact"/>
            </w:pPr>
            <w:r>
              <w:t xml:space="preserve">76.9% (95% UI: 66.8%–83.5%)</w:t>
            </w:r>
          </w:p>
        </w:tc>
        <w:tc>
          <w:tcPr/>
          <w:p>
            <w:pPr>
              <w:pStyle w:val="Compact"/>
            </w:pPr>
            <w:r>
              <w:t xml:space="preserve">43.3% (95% UI: 42.1%–44.4%)</w:t>
            </w:r>
          </w:p>
        </w:tc>
      </w:tr>
      <w:tr>
        <w:tc>
          <w:tcPr/>
          <w:p>
            <w:pPr>
              <w:pStyle w:val="Compact"/>
            </w:pPr>
            <w:r>
              <w:t xml:space="preserve">J + 2,000/year, F 25%</w:t>
            </w:r>
          </w:p>
        </w:tc>
        <w:tc>
          <w:tcPr/>
          <w:p>
            <w:pPr>
              <w:pStyle w:val="Compact"/>
            </w:pPr>
            <w:r>
              <w:t xml:space="preserve">85.7% (95% UI: 78.0%–90.1%)</w:t>
            </w:r>
          </w:p>
        </w:tc>
        <w:tc>
          <w:tcPr/>
          <w:p>
            <w:pPr>
              <w:pStyle w:val="Compact"/>
            </w:pPr>
            <w:r>
              <w:t xml:space="preserve">53.3% (95% UI: 52.0%–54.8%)</w:t>
            </w:r>
          </w:p>
        </w:tc>
        <w:tc>
          <w:tcPr/>
          <w:p>
            <w:pPr>
              <w:pStyle w:val="Compact"/>
            </w:pPr>
            <w:r>
              <w:t xml:space="preserve">0%</w:t>
            </w:r>
          </w:p>
        </w:tc>
        <w:tc>
          <w:tcPr/>
          <w:p>
            <w:pPr>
              <w:pStyle w:val="Compact"/>
            </w:pPr>
            <w:r>
              <w:t xml:space="preserve">86.9% (95% UI: 79.3%–91.3%)</w:t>
            </w:r>
          </w:p>
        </w:tc>
        <w:tc>
          <w:tcPr/>
          <w:p>
            <w:pPr>
              <w:pStyle w:val="Compact"/>
            </w:pPr>
            <w:r>
              <w:t xml:space="preserve">49.1% (95% UI: 47.7%–50.6%)</w:t>
            </w:r>
          </w:p>
        </w:tc>
      </w:tr>
      <w:tr>
        <w:tc>
          <w:tcPr/>
          <w:p>
            <w:pPr>
              <w:pStyle w:val="Compact"/>
            </w:pPr>
            <w:r>
              <w:t xml:space="preserve">J + 5,000/year, F 25%</w:t>
            </w:r>
          </w:p>
        </w:tc>
        <w:tc>
          <w:tcPr/>
          <w:p>
            <w:pPr>
              <w:pStyle w:val="Compact"/>
            </w:pPr>
            <w:r>
              <w:t xml:space="preserve">98.3% (95% UI: 96.7%–99.1%)</w:t>
            </w:r>
          </w:p>
        </w:tc>
        <w:tc>
          <w:tcPr/>
          <w:p>
            <w:pPr>
              <w:pStyle w:val="Compact"/>
            </w:pPr>
            <w:r>
              <w:t xml:space="preserve">64.0% (95% UI: 62.5%–65.6%)</w:t>
            </w:r>
          </w:p>
        </w:tc>
        <w:tc>
          <w:tcPr/>
          <w:p>
            <w:pPr>
              <w:pStyle w:val="Compact"/>
            </w:pPr>
            <w:r>
              <w:t xml:space="preserve">11%</w:t>
            </w:r>
          </w:p>
        </w:tc>
        <w:tc>
          <w:tcPr/>
          <w:p>
            <w:pPr>
              <w:pStyle w:val="Compact"/>
            </w:pPr>
            <w:r>
              <w:t xml:space="preserve">98.5% (95% UI: 96.9%–99.1%)</w:t>
            </w:r>
          </w:p>
        </w:tc>
        <w:tc>
          <w:tcPr/>
          <w:p>
            <w:pPr>
              <w:pStyle w:val="Compact"/>
            </w:pPr>
            <w:r>
              <w:t xml:space="preserve">61.2% (95% UI: 59.4%–62.9%)</w:t>
            </w:r>
          </w:p>
        </w:tc>
      </w:tr>
      <w:tr>
        <w:tc>
          <w:tcPr/>
          <w:p>
            <w:pPr>
              <w:pStyle w:val="Compact"/>
            </w:pPr>
            <w:r>
              <w:t xml:space="preserve">J + 8,000/year, F 25%</w:t>
            </w:r>
          </w:p>
        </w:tc>
        <w:tc>
          <w:tcPr/>
          <w:p>
            <w:pPr>
              <w:pStyle w:val="Compact"/>
            </w:pPr>
            <w:r>
              <w:t xml:space="preserve">99.0% (95% UI: 98.2%–99.5%)</w:t>
            </w:r>
          </w:p>
        </w:tc>
        <w:tc>
          <w:tcPr/>
          <w:p>
            <w:pPr>
              <w:pStyle w:val="Compact"/>
            </w:pPr>
            <w:r>
              <w:t xml:space="preserve">69.6% (95% UI: 68.3%–70.8%)</w:t>
            </w:r>
          </w:p>
        </w:tc>
        <w:tc>
          <w:tcPr/>
          <w:p>
            <w:pPr>
              <w:pStyle w:val="Compact"/>
            </w:pPr>
            <w:r>
              <w:t xml:space="preserve">100%</w:t>
            </w:r>
          </w:p>
        </w:tc>
        <w:tc>
          <w:tcPr/>
          <w:p>
            <w:pPr>
              <w:pStyle w:val="Compact"/>
            </w:pPr>
            <w:r>
              <w:t xml:space="preserve">99.1% (95% UI: 98.4%–99.5%)</w:t>
            </w:r>
          </w:p>
        </w:tc>
        <w:tc>
          <w:tcPr/>
          <w:p>
            <w:pPr>
              <w:pStyle w:val="Compact"/>
            </w:pPr>
            <w:r>
              <w:t xml:space="preserve">67.5% (95% UI: 66.1%–68.8%)</w:t>
            </w:r>
          </w:p>
        </w:tc>
      </w:tr>
      <w:tr>
        <w:tc>
          <w:tcPr/>
          <w:p>
            <w:pPr>
              <w:pStyle w:val="Compact"/>
            </w:pPr>
            <w:r>
              <w:t xml:space="preserve">J + 600/year, F 50%</w:t>
            </w:r>
          </w:p>
        </w:tc>
        <w:tc>
          <w:tcPr/>
          <w:p>
            <w:pPr>
              <w:pStyle w:val="Compact"/>
            </w:pPr>
            <w:r>
              <w:t xml:space="preserve">77.2% (95% UI: 67.3%–83.6%)</w:t>
            </w:r>
          </w:p>
        </w:tc>
        <w:tc>
          <w:tcPr/>
          <w:p>
            <w:pPr>
              <w:pStyle w:val="Compact"/>
            </w:pPr>
            <w:r>
              <w:t xml:space="preserve">44.6% (95% UI: 43.7%–45.7%)</w:t>
            </w:r>
          </w:p>
        </w:tc>
        <w:tc>
          <w:tcPr/>
          <w:p>
            <w:pPr>
              <w:pStyle w:val="Compact"/>
            </w:pPr>
            <w:r>
              <w:t xml:space="preserve">0%</w:t>
            </w:r>
          </w:p>
        </w:tc>
        <w:tc>
          <w:tcPr/>
          <w:p>
            <w:pPr>
              <w:pStyle w:val="Compact"/>
            </w:pPr>
            <w:r>
              <w:t xml:space="preserve">79.2% (95% UI: 69.4%–85.4%)</w:t>
            </w:r>
          </w:p>
        </w:tc>
        <w:tc>
          <w:tcPr/>
          <w:p>
            <w:pPr>
              <w:pStyle w:val="Compact"/>
            </w:pPr>
            <w:r>
              <w:t xml:space="preserve">39.3% (95% UI: 38.4%–40.3%)</w:t>
            </w:r>
          </w:p>
        </w:tc>
      </w:tr>
      <w:tr>
        <w:tc>
          <w:tcPr/>
          <w:p>
            <w:pPr>
              <w:pStyle w:val="Compact"/>
            </w:pPr>
            <w:r>
              <w:t xml:space="preserve">J + 1,000/year, F 50%</w:t>
            </w:r>
          </w:p>
        </w:tc>
        <w:tc>
          <w:tcPr/>
          <w:p>
            <w:pPr>
              <w:pStyle w:val="Compact"/>
            </w:pPr>
            <w:r>
              <w:t xml:space="preserve">85.7% (95% UI: 78.0%–90.1%)</w:t>
            </w:r>
          </w:p>
        </w:tc>
        <w:tc>
          <w:tcPr/>
          <w:p>
            <w:pPr>
              <w:pStyle w:val="Compact"/>
            </w:pPr>
            <w:r>
              <w:t xml:space="preserve">46.4% (95% UI: 45.3%–47.5%)</w:t>
            </w:r>
          </w:p>
        </w:tc>
        <w:tc>
          <w:tcPr/>
          <w:p>
            <w:pPr>
              <w:pStyle w:val="Compact"/>
            </w:pPr>
            <w:r>
              <w:t xml:space="preserve">0%</w:t>
            </w:r>
          </w:p>
        </w:tc>
        <w:tc>
          <w:tcPr/>
          <w:p>
            <w:pPr>
              <w:pStyle w:val="Compact"/>
            </w:pPr>
            <w:r>
              <w:t xml:space="preserve">86.9% (95% UI: 79.3%–91.3%)</w:t>
            </w:r>
          </w:p>
        </w:tc>
        <w:tc>
          <w:tcPr/>
          <w:p>
            <w:pPr>
              <w:pStyle w:val="Compact"/>
            </w:pPr>
            <w:r>
              <w:t xml:space="preserve">41.2% (95% UI: 40.2%–42.3%)</w:t>
            </w:r>
          </w:p>
        </w:tc>
      </w:tr>
      <w:tr>
        <w:tc>
          <w:tcPr/>
          <w:p>
            <w:pPr>
              <w:pStyle w:val="Compact"/>
            </w:pPr>
            <w:r>
              <w:t xml:space="preserve">J + 2,000/year, F 50%</w:t>
            </w:r>
          </w:p>
        </w:tc>
        <w:tc>
          <w:tcPr/>
          <w:p>
            <w:pPr>
              <w:pStyle w:val="Compact"/>
            </w:pPr>
            <w:r>
              <w:t xml:space="preserve">96.5% (95% UI: 93.6%–97.9%)</w:t>
            </w:r>
          </w:p>
        </w:tc>
        <w:tc>
          <w:tcPr/>
          <w:p>
            <w:pPr>
              <w:pStyle w:val="Compact"/>
            </w:pPr>
            <w:r>
              <w:t xml:space="preserve">50.3% (95% UI: 49.0%–51.6%)</w:t>
            </w:r>
          </w:p>
        </w:tc>
        <w:tc>
          <w:tcPr/>
          <w:p>
            <w:pPr>
              <w:pStyle w:val="Compact"/>
            </w:pPr>
            <w:r>
              <w:t xml:space="preserve">0%</w:t>
            </w:r>
          </w:p>
        </w:tc>
        <w:tc>
          <w:tcPr/>
          <w:p>
            <w:pPr>
              <w:pStyle w:val="Compact"/>
            </w:pPr>
            <w:r>
              <w:t xml:space="preserve">96.8% (95% UI: 93.9%–98.1%)</w:t>
            </w:r>
          </w:p>
        </w:tc>
        <w:tc>
          <w:tcPr/>
          <w:p>
            <w:pPr>
              <w:pStyle w:val="Compact"/>
            </w:pPr>
            <w:r>
              <w:t xml:space="preserve">45.5% (95% UI: 44.3%–46.8%)</w:t>
            </w:r>
          </w:p>
        </w:tc>
      </w:tr>
      <w:tr>
        <w:tc>
          <w:tcPr/>
          <w:p>
            <w:pPr>
              <w:pStyle w:val="Compact"/>
            </w:pPr>
            <w:r>
              <w:t xml:space="preserve">J + 5,000/year, F 50%</w:t>
            </w:r>
          </w:p>
        </w:tc>
        <w:tc>
          <w:tcPr/>
          <w:p>
            <w:pPr>
              <w:pStyle w:val="Compact"/>
            </w:pPr>
            <w:r>
              <w:t xml:space="preserve">99.0% (95% UI: 98.2%–99.5%)</w:t>
            </w:r>
          </w:p>
        </w:tc>
        <w:tc>
          <w:tcPr/>
          <w:p>
            <w:pPr>
              <w:pStyle w:val="Compact"/>
            </w:pPr>
            <w:r>
              <w:t xml:space="preserve">59.0% (95% UI: 57.5%–60.6%)</w:t>
            </w:r>
          </w:p>
        </w:tc>
        <w:tc>
          <w:tcPr/>
          <w:p>
            <w:pPr>
              <w:pStyle w:val="Compact"/>
            </w:pPr>
            <w:r>
              <w:t xml:space="preserve">0%</w:t>
            </w:r>
          </w:p>
        </w:tc>
        <w:tc>
          <w:tcPr/>
          <w:p>
            <w:pPr>
              <w:pStyle w:val="Compact"/>
            </w:pPr>
            <w:r>
              <w:t xml:space="preserve">99.1% (95% UI: 98.4%–99.5%)</w:t>
            </w:r>
          </w:p>
        </w:tc>
        <w:tc>
          <w:tcPr/>
          <w:p>
            <w:pPr>
              <w:pStyle w:val="Compact"/>
            </w:pPr>
            <w:r>
              <w:t xml:space="preserve">55.5% (95% UI: 53.8%–57.2%)</w:t>
            </w:r>
          </w:p>
        </w:tc>
      </w:tr>
      <w:tr>
        <w:tc>
          <w:tcPr/>
          <w:p>
            <w:pPr>
              <w:pStyle w:val="Compact"/>
            </w:pPr>
            <w:r>
              <w:t xml:space="preserve">J + 8,000/year, F 50%</w:t>
            </w:r>
          </w:p>
        </w:tc>
        <w:tc>
          <w:tcPr/>
          <w:p>
            <w:pPr>
              <w:pStyle w:val="Compact"/>
            </w:pPr>
            <w:r>
              <w:t xml:space="preserve">99.0% (95% UI: 98.2%–99.5%)</w:t>
            </w:r>
          </w:p>
        </w:tc>
        <w:tc>
          <w:tcPr/>
          <w:p>
            <w:pPr>
              <w:pStyle w:val="Compact"/>
            </w:pPr>
            <w:r>
              <w:t xml:space="preserve">64.9% (95% UI: 63.4%–66.4%)</w:t>
            </w:r>
          </w:p>
        </w:tc>
        <w:tc>
          <w:tcPr/>
          <w:p>
            <w:pPr>
              <w:pStyle w:val="Compact"/>
            </w:pPr>
            <w:r>
              <w:t xml:space="preserve">44%</w:t>
            </w:r>
          </w:p>
        </w:tc>
        <w:tc>
          <w:tcPr/>
          <w:p>
            <w:pPr>
              <w:pStyle w:val="Compact"/>
            </w:pPr>
            <w:r>
              <w:t xml:space="preserve">99.1% (95% UI: 98.4%–99.5%)</w:t>
            </w:r>
          </w:p>
        </w:tc>
        <w:tc>
          <w:tcPr/>
          <w:p>
            <w:pPr>
              <w:pStyle w:val="Compact"/>
            </w:pPr>
            <w:r>
              <w:t xml:space="preserve">62.1% (95% UI: 60.4%–63.8%)</w:t>
            </w:r>
          </w:p>
        </w:tc>
      </w:tr>
      <w:tr>
        <w:tc>
          <w:tcPr/>
          <w:p>
            <w:pPr>
              <w:pStyle w:val="Compact"/>
            </w:pPr>
            <w:r>
              <w:t xml:space="preserve">J + 600/year, F 75%</w:t>
            </w:r>
          </w:p>
        </w:tc>
        <w:tc>
          <w:tcPr/>
          <w:p>
            <w:pPr>
              <w:pStyle w:val="Compact"/>
            </w:pPr>
            <w:r>
              <w:t xml:space="preserve">83.8% (95% UI: 75.5%–88.7%)</w:t>
            </w:r>
          </w:p>
        </w:tc>
        <w:tc>
          <w:tcPr/>
          <w:p>
            <w:pPr>
              <w:pStyle w:val="Compact"/>
            </w:pPr>
            <w:r>
              <w:t xml:space="preserve">43.5% (95% UI: 42.6%–44.5%)</w:t>
            </w:r>
          </w:p>
        </w:tc>
        <w:tc>
          <w:tcPr/>
          <w:p>
            <w:pPr>
              <w:pStyle w:val="Compact"/>
            </w:pPr>
            <w:r>
              <w:t xml:space="preserve">0%</w:t>
            </w:r>
          </w:p>
        </w:tc>
        <w:tc>
          <w:tcPr/>
          <w:p>
            <w:pPr>
              <w:pStyle w:val="Compact"/>
            </w:pPr>
            <w:r>
              <w:t xml:space="preserve">85.2% (95% UI: 77.0%–90.0%)</w:t>
            </w:r>
          </w:p>
        </w:tc>
        <w:tc>
          <w:tcPr/>
          <w:p>
            <w:pPr>
              <w:pStyle w:val="Compact"/>
            </w:pPr>
            <w:r>
              <w:t xml:space="preserve">38.0% (95% UI: 37.1%–38.9%)</w:t>
            </w:r>
          </w:p>
        </w:tc>
      </w:tr>
      <w:tr>
        <w:tc>
          <w:tcPr/>
          <w:p>
            <w:pPr>
              <w:pStyle w:val="Compact"/>
            </w:pPr>
            <w:r>
              <w:t xml:space="preserve">J + 1,000/year, F 75%</w:t>
            </w:r>
          </w:p>
        </w:tc>
        <w:tc>
          <w:tcPr/>
          <w:p>
            <w:pPr>
              <w:pStyle w:val="Compact"/>
            </w:pPr>
            <w:r>
              <w:t xml:space="preserve">92.7% (95% UI: 87.7%–95.3%)</w:t>
            </w:r>
          </w:p>
        </w:tc>
        <w:tc>
          <w:tcPr/>
          <w:p>
            <w:pPr>
              <w:pStyle w:val="Compact"/>
            </w:pPr>
            <w:r>
              <w:t xml:space="preserve">44.5% (95% UI: 43.5%–45.6%)</w:t>
            </w:r>
          </w:p>
        </w:tc>
        <w:tc>
          <w:tcPr/>
          <w:p>
            <w:pPr>
              <w:pStyle w:val="Compact"/>
            </w:pPr>
            <w:r>
              <w:t xml:space="preserve">0%</w:t>
            </w:r>
          </w:p>
        </w:tc>
        <w:tc>
          <w:tcPr/>
          <w:p>
            <w:pPr>
              <w:pStyle w:val="Compact"/>
            </w:pPr>
            <w:r>
              <w:t xml:space="preserve">93.3% (95% UI: 88.3%–95.8%)</w:t>
            </w:r>
          </w:p>
        </w:tc>
        <w:tc>
          <w:tcPr/>
          <w:p>
            <w:pPr>
              <w:pStyle w:val="Compact"/>
            </w:pPr>
            <w:r>
              <w:t xml:space="preserve">39.0% (95% UI: 38.1%–40.0%)</w:t>
            </w:r>
          </w:p>
        </w:tc>
      </w:tr>
      <w:tr>
        <w:tc>
          <w:tcPr/>
          <w:p>
            <w:pPr>
              <w:pStyle w:val="Compact"/>
            </w:pPr>
            <w:r>
              <w:t xml:space="preserve">J + 2,000/year, F 75%</w:t>
            </w:r>
          </w:p>
        </w:tc>
        <w:tc>
          <w:tcPr/>
          <w:p>
            <w:pPr>
              <w:pStyle w:val="Compact"/>
            </w:pPr>
            <w:r>
              <w:t xml:space="preserve">99.0% (95% UI: 98.1%–99.4%)</w:t>
            </w:r>
          </w:p>
        </w:tc>
        <w:tc>
          <w:tcPr/>
          <w:p>
            <w:pPr>
              <w:pStyle w:val="Compact"/>
            </w:pPr>
            <w:r>
              <w:t xml:space="preserve">46.7% (95% UI: 45.6%–47.8%)</w:t>
            </w:r>
          </w:p>
        </w:tc>
        <w:tc>
          <w:tcPr/>
          <w:p>
            <w:pPr>
              <w:pStyle w:val="Compact"/>
            </w:pPr>
            <w:r>
              <w:t xml:space="preserve">0%</w:t>
            </w:r>
          </w:p>
        </w:tc>
        <w:tc>
          <w:tcPr/>
          <w:p>
            <w:pPr>
              <w:pStyle w:val="Compact"/>
            </w:pPr>
            <w:r>
              <w:t xml:space="preserve">99.1% (95% UI: 98.2%–99.5%)</w:t>
            </w:r>
          </w:p>
        </w:tc>
        <w:tc>
          <w:tcPr/>
          <w:p>
            <w:pPr>
              <w:pStyle w:val="Compact"/>
            </w:pPr>
            <w:r>
              <w:t xml:space="preserve">41.4% (95% UI: 40.4%–42.4%)</w:t>
            </w:r>
          </w:p>
        </w:tc>
      </w:tr>
      <w:tr>
        <w:tc>
          <w:tcPr/>
          <w:p>
            <w:pPr>
              <w:pStyle w:val="Compact"/>
            </w:pPr>
            <w:r>
              <w:t xml:space="preserve">J + 5,000/year, F 75%</w:t>
            </w:r>
          </w:p>
        </w:tc>
        <w:tc>
          <w:tcPr/>
          <w:p>
            <w:pPr>
              <w:pStyle w:val="Compact"/>
            </w:pPr>
            <w:r>
              <w:t xml:space="preserve">99.0% (95% UI: 98.2%–99.5%)</w:t>
            </w:r>
          </w:p>
        </w:tc>
        <w:tc>
          <w:tcPr/>
          <w:p>
            <w:pPr>
              <w:pStyle w:val="Compact"/>
            </w:pPr>
            <w:r>
              <w:t xml:space="preserve">52.0% (95% UI: 50.7%–53.4%)</w:t>
            </w:r>
          </w:p>
        </w:tc>
        <w:tc>
          <w:tcPr/>
          <w:p>
            <w:pPr>
              <w:pStyle w:val="Compact"/>
            </w:pPr>
            <w:r>
              <w:t xml:space="preserve">0%</w:t>
            </w:r>
          </w:p>
        </w:tc>
        <w:tc>
          <w:tcPr/>
          <w:p>
            <w:pPr>
              <w:pStyle w:val="Compact"/>
            </w:pPr>
            <w:r>
              <w:t xml:space="preserve">99.1% (95% UI: 98.4%–99.5%)</w:t>
            </w:r>
          </w:p>
        </w:tc>
        <w:tc>
          <w:tcPr/>
          <w:p>
            <w:pPr>
              <w:pStyle w:val="Compact"/>
            </w:pPr>
            <w:r>
              <w:t xml:space="preserve">47.5% (95% UI: 46.1%–48.9%)</w:t>
            </w:r>
          </w:p>
        </w:tc>
      </w:tr>
      <w:tr>
        <w:tc>
          <w:tcPr/>
          <w:p>
            <w:pPr>
              <w:pStyle w:val="Compact"/>
            </w:pPr>
            <w:r>
              <w:t xml:space="preserve">J + 8,000/year, F 75%</w:t>
            </w:r>
          </w:p>
        </w:tc>
        <w:tc>
          <w:tcPr/>
          <w:p>
            <w:pPr>
              <w:pStyle w:val="Compact"/>
            </w:pPr>
            <w:r>
              <w:t xml:space="preserve">99.0% (95% UI: 98.2%–99.5%)</w:t>
            </w:r>
          </w:p>
        </w:tc>
        <w:tc>
          <w:tcPr/>
          <w:p>
            <w:pPr>
              <w:pStyle w:val="Compact"/>
            </w:pPr>
            <w:r>
              <w:t xml:space="preserve">56.5% (95% UI: 55.1%–58.1%)</w:t>
            </w:r>
          </w:p>
        </w:tc>
        <w:tc>
          <w:tcPr/>
          <w:p>
            <w:pPr>
              <w:pStyle w:val="Compact"/>
            </w:pPr>
            <w:r>
              <w:t xml:space="preserve">0%</w:t>
            </w:r>
          </w:p>
        </w:tc>
        <w:tc>
          <w:tcPr/>
          <w:p>
            <w:pPr>
              <w:pStyle w:val="Compact"/>
            </w:pPr>
            <w:r>
              <w:t xml:space="preserve">99.1% (95% UI: 98.4%–99.5%)</w:t>
            </w:r>
          </w:p>
        </w:tc>
        <w:tc>
          <w:tcPr/>
          <w:p>
            <w:pPr>
              <w:pStyle w:val="Compact"/>
            </w:pPr>
            <w:r>
              <w:t xml:space="preserve">52.6% (95% UI: 51.0%–54.2%)</w:t>
            </w:r>
          </w:p>
        </w:tc>
      </w:tr>
      <w:tr>
        <w:tc>
          <w:tcPr/>
          <w:p>
            <w:pPr>
              <w:pStyle w:val="Compact"/>
            </w:pPr>
            <w:r>
              <w:t xml:space="preserve">J + no screening cap</w:t>
            </w:r>
          </w:p>
        </w:tc>
        <w:tc>
          <w:tcPr/>
          <w:p>
            <w:pPr>
              <w:pStyle w:val="Compact"/>
            </w:pPr>
            <w:r>
              <w:t xml:space="preserve">99.0% (95% UI: 98.2%–99.5%)</w:t>
            </w:r>
          </w:p>
        </w:tc>
        <w:tc>
          <w:tcPr/>
          <w:p>
            <w:pPr>
              <w:pStyle w:val="Compact"/>
            </w:pPr>
            <w:r>
              <w:t xml:space="preserve">73.5% (95% UI: 72.8%–73.9%)</w:t>
            </w:r>
          </w:p>
        </w:tc>
        <w:tc>
          <w:tcPr/>
          <w:p>
            <w:pPr>
              <w:pStyle w:val="Compact"/>
            </w:pPr>
            <w:r>
              <w:t xml:space="preserve">100%</w:t>
            </w:r>
          </w:p>
        </w:tc>
        <w:tc>
          <w:tcPr/>
          <w:p>
            <w:pPr>
              <w:pStyle w:val="Compact"/>
            </w:pPr>
            <w:r>
              <w:t xml:space="preserve">99.1% (95% UI: 98.4%–99.5%)</w:t>
            </w:r>
          </w:p>
        </w:tc>
        <w:tc>
          <w:tcPr/>
          <w:p>
            <w:pPr>
              <w:pStyle w:val="Compact"/>
            </w:pPr>
            <w:r>
              <w:t xml:space="preserve">71.9% (95% UI: 71.6%–72.1%)</w:t>
            </w:r>
          </w:p>
        </w:tc>
      </w:tr>
    </w:tbl>
    <w:p>
      <w:pPr>
        <w:pStyle w:val="BodyText"/>
      </w:pPr>
      <w:r>
        <w:t xml:space="preserve">Values are medians (95% UI) across 2,000 posterior draws.</w:t>
      </w:r>
    </w:p>
    <w:p>
      <w:pPr>
        <w:pStyle w:val="CaptionedFigure"/>
      </w:pPr>
      <w:r>
        <w:drawing>
          <wp:inline>
            <wp:extent cx="5334000" cy="2424545"/>
            <wp:effectExtent b="0" l="0" r="0" t="0"/>
            <wp:docPr descr="Fig S2. Trajectories of new infections and HCV deaths relative to 2015 (left) and reductions in 2030 (right) in all 17 scenarios. Medians across posterior draws." title="" id="31" name="Picture"/>
            <a:graphic>
              <a:graphicData uri="http://schemas.openxmlformats.org/drawingml/2006/picture">
                <pic:pic>
                  <pic:nvPicPr>
                    <pic:cNvPr descr="/Users/yichenhe/Documents/Work/HepC-Transimission-Modelling/output/scenarios_2026/scenario_target_trajectories.png" id="32" name="Picture"/>
                    <pic:cNvPicPr>
                      <a:picLocks noChangeArrowheads="1" noChangeAspect="1"/>
                    </pic:cNvPicPr>
                  </pic:nvPicPr>
                  <pic:blipFill>
                    <a:blip r:embed="rId30"/>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r>
        <w:t xml:space="preserve">Fig S2. Trajectories of new infections and HCV deaths relative to 2015 (left) and reductions in 2030 (right) in all 17 scenarios. Medians across posterior draws.</w:t>
      </w:r>
    </w:p>
    <w:p>
      <w:pPr>
        <w:pStyle w:val="CaptionedFigure"/>
      </w:pPr>
      <w:r>
        <w:drawing>
          <wp:inline>
            <wp:extent cx="4800600" cy="4000500"/>
            <wp:effectExtent b="0" l="0" r="0" t="0"/>
            <wp:docPr descr="Fig S3. Attainment of the 2030 targets by scenario. Cells show median reductions. Joint status requires both targets." title="" id="34" name="Picture"/>
            <a:graphic>
              <a:graphicData uri="http://schemas.openxmlformats.org/drawingml/2006/picture">
                <pic:pic>
                  <pic:nvPicPr>
                    <pic:cNvPr descr="/Users/yichenhe/Documents/Work/HepC-Transimission-Modelling/output/scenarios_2026/scenario_target_heatmap.png" id="35" name="Picture"/>
                    <pic:cNvPicPr>
                      <a:picLocks noChangeArrowheads="1" noChangeAspect="1"/>
                    </pic:cNvPicPr>
                  </pic:nvPicPr>
                  <pic:blipFill>
                    <a:blip r:embed="rId33"/>
                    <a:stretch>
                      <a:fillRect/>
                    </a:stretch>
                  </pic:blipFill>
                  <pic:spPr bwMode="auto">
                    <a:xfrm>
                      <a:off x="0" y="0"/>
                      <a:ext cx="4800600" cy="4000500"/>
                    </a:xfrm>
                    <a:prstGeom prst="rect">
                      <a:avLst/>
                    </a:prstGeom>
                    <a:noFill/>
                    <a:ln w="9525">
                      <a:noFill/>
                      <a:headEnd/>
                      <a:tailEnd/>
                    </a:ln>
                  </pic:spPr>
                </pic:pic>
              </a:graphicData>
            </a:graphic>
          </wp:inline>
        </w:drawing>
      </w:r>
    </w:p>
    <w:p>
      <w:pPr>
        <w:pStyle w:val="ImageCaption"/>
      </w:pPr>
      <w:r>
        <w:t xml:space="preserve">Fig S3. Attainment of the 2030 targets by scenario. Cells show median reductions. Joint status requires both targets.</w:t>
      </w:r>
    </w:p>
    <w:bookmarkEnd w:id="36"/>
    <w:bookmarkStart w:id="49" w:name="services-and-costs"/>
    <w:p>
      <w:pPr>
        <w:pStyle w:val="Heading2"/>
      </w:pPr>
      <w:r>
        <w:t xml:space="preserve">4.2 Services and costs</w:t>
      </w:r>
    </w:p>
    <w:p>
      <w:pPr>
        <w:pStyle w:val="FirstParagraph"/>
      </w:pPr>
      <w:r>
        <w:rPr>
          <w:b/>
          <w:bCs/>
        </w:rPr>
        <w:t xml:space="preserve">Table S10. Services and discounted costs, 2026 to 2030.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Scenario</w:t>
            </w:r>
          </w:p>
        </w:tc>
        <w:tc>
          <w:tcPr/>
          <w:p>
            <w:pPr>
              <w:pStyle w:val="Compact"/>
            </w:pPr>
            <w:r>
              <w:t xml:space="preserve">F and X people screened</w:t>
            </w:r>
          </w:p>
        </w:tc>
        <w:tc>
          <w:tcPr/>
          <w:p>
            <w:pPr>
              <w:pStyle w:val="Compact"/>
            </w:pPr>
            <w:r>
              <w:t xml:space="preserve">F and X RNA tests</w:t>
            </w:r>
          </w:p>
        </w:tc>
        <w:tc>
          <w:tcPr/>
          <w:p>
            <w:pPr>
              <w:pStyle w:val="Compact"/>
            </w:pPr>
            <w:r>
              <w:t xml:space="preserve">F and X treatment starts</w:t>
            </w:r>
          </w:p>
        </w:tc>
        <w:tc>
          <w:tcPr/>
          <w:p>
            <w:pPr>
              <w:pStyle w:val="Compact"/>
            </w:pPr>
            <w:r>
              <w:t xml:space="preserve">J treatment starts</w:t>
            </w:r>
          </w:p>
        </w:tc>
        <w:tc>
          <w:tcPr/>
          <w:p>
            <w:pPr>
              <w:pStyle w:val="Compact"/>
            </w:pPr>
            <w:r>
              <w:t xml:space="preserve">Total discounted cost</w:t>
            </w:r>
          </w:p>
        </w:tc>
        <w:tc>
          <w:tcPr/>
          <w:p>
            <w:pPr>
              <w:pStyle w:val="Compact"/>
            </w:pPr>
            <w:r>
              <w:t xml:space="preserve">Incremental cost vs J only</w:t>
            </w:r>
          </w:p>
        </w:tc>
      </w:tr>
      <w:tr>
        <w:tc>
          <w:tcPr/>
          <w:p>
            <w:pPr>
              <w:pStyle w:val="Compact"/>
            </w:pPr>
            <w:r>
              <w:t xml:space="preserve">Prison treatment only (J only)</w:t>
            </w:r>
          </w:p>
        </w:tc>
        <w:tc>
          <w:tcPr/>
          <w:p>
            <w:pPr>
              <w:pStyle w:val="Compact"/>
            </w:pPr>
            <w:r>
              <w:t xml:space="preserve">0 (95% UI: 0–0)</w:t>
            </w:r>
          </w:p>
        </w:tc>
        <w:tc>
          <w:tcPr/>
          <w:p>
            <w:pPr>
              <w:pStyle w:val="Compact"/>
            </w:pPr>
            <w:r>
              <w:t xml:space="preserve">0 (95% UI: 0–0)</w:t>
            </w:r>
          </w:p>
        </w:tc>
        <w:tc>
          <w:tcPr/>
          <w:p>
            <w:pPr>
              <w:pStyle w:val="Compact"/>
            </w:pPr>
            <w:r>
              <w:t xml:space="preserve">0 (95% UI: 0–0)</w:t>
            </w:r>
          </w:p>
        </w:tc>
        <w:tc>
          <w:tcPr/>
          <w:p>
            <w:pPr>
              <w:pStyle w:val="Compact"/>
            </w:pPr>
            <w:r>
              <w:t xml:space="preserve">614 (95% UI: 516–737)</w:t>
            </w:r>
          </w:p>
        </w:tc>
        <w:tc>
          <w:tcPr/>
          <w:p>
            <w:pPr>
              <w:pStyle w:val="Compact"/>
            </w:pPr>
            <w:r>
              <w:t xml:space="preserve">S$23.8 million (95% UI: S$20.0 million–S$28.5 million)</w:t>
            </w:r>
          </w:p>
        </w:tc>
        <w:tc>
          <w:tcPr/>
          <w:p>
            <w:pPr>
              <w:pStyle w:val="Compact"/>
            </w:pPr>
            <w:r>
              <w:t xml:space="preserve">S$0.0 million (95% UI: S$0.0 million–S$0.0 million)</w:t>
            </w:r>
          </w:p>
        </w:tc>
      </w:tr>
      <w:tr>
        <w:tc>
          <w:tcPr/>
          <w:p>
            <w:pPr>
              <w:pStyle w:val="Compact"/>
            </w:pPr>
            <w:r>
              <w:t xml:space="preserve">J + 600/year, F 25%</w:t>
            </w:r>
          </w:p>
        </w:tc>
        <w:tc>
          <w:tcPr/>
          <w:p>
            <w:pPr>
              <w:pStyle w:val="Compact"/>
            </w:pPr>
            <w:r>
              <w:t xml:space="preserve">3,000 (95% UI: 3,000–3,000)</w:t>
            </w:r>
          </w:p>
        </w:tc>
        <w:tc>
          <w:tcPr/>
          <w:p>
            <w:pPr>
              <w:pStyle w:val="Compact"/>
            </w:pPr>
            <w:r>
              <w:t xml:space="preserve">733 (95% UI: 687–780)</w:t>
            </w:r>
          </w:p>
        </w:tc>
        <w:tc>
          <w:tcPr/>
          <w:p>
            <w:pPr>
              <w:pStyle w:val="Compact"/>
            </w:pPr>
            <w:r>
              <w:t xml:space="preserve">265 (95% UI: 245–286)</w:t>
            </w:r>
          </w:p>
        </w:tc>
        <w:tc>
          <w:tcPr/>
          <w:p>
            <w:pPr>
              <w:pStyle w:val="Compact"/>
            </w:pPr>
            <w:r>
              <w:t xml:space="preserve">533 (95% UI: 444–645)</w:t>
            </w:r>
          </w:p>
        </w:tc>
        <w:tc>
          <w:tcPr/>
          <w:p>
            <w:pPr>
              <w:pStyle w:val="Compact"/>
            </w:pPr>
            <w:r>
              <w:t xml:space="preserve">S$31.1 million (95% UI: S$27.4 million–S$35.9 million)</w:t>
            </w:r>
          </w:p>
        </w:tc>
        <w:tc>
          <w:tcPr/>
          <w:p>
            <w:pPr>
              <w:pStyle w:val="Compact"/>
            </w:pPr>
            <w:r>
              <w:t xml:space="preserve">S$7.4 million (95% UI: S$6.8 million–S$8.0 million)</w:t>
            </w:r>
          </w:p>
        </w:tc>
      </w:tr>
      <w:tr>
        <w:tc>
          <w:tcPr/>
          <w:p>
            <w:pPr>
              <w:pStyle w:val="Compact"/>
            </w:pPr>
            <w:r>
              <w:t xml:space="preserve">J + 1,000/year, F 25%</w:t>
            </w:r>
          </w:p>
        </w:tc>
        <w:tc>
          <w:tcPr/>
          <w:p>
            <w:pPr>
              <w:pStyle w:val="Compact"/>
            </w:pPr>
            <w:r>
              <w:t xml:space="preserve">5,000 (95% UI: 5,000–5,000)</w:t>
            </w:r>
          </w:p>
        </w:tc>
        <w:tc>
          <w:tcPr/>
          <w:p>
            <w:pPr>
              <w:pStyle w:val="Compact"/>
            </w:pPr>
            <w:r>
              <w:t xml:space="preserve">1,217 (95% UI: 1,140–1,294)</w:t>
            </w:r>
          </w:p>
        </w:tc>
        <w:tc>
          <w:tcPr/>
          <w:p>
            <w:pPr>
              <w:pStyle w:val="Compact"/>
            </w:pPr>
            <w:r>
              <w:t xml:space="preserve">422 (95% UI: 391–455)</w:t>
            </w:r>
          </w:p>
        </w:tc>
        <w:tc>
          <w:tcPr/>
          <w:p>
            <w:pPr>
              <w:pStyle w:val="Compact"/>
            </w:pPr>
            <w:r>
              <w:t xml:space="preserve">485 (95% UI: 402–592)</w:t>
            </w:r>
          </w:p>
        </w:tc>
        <w:tc>
          <w:tcPr/>
          <w:p>
            <w:pPr>
              <w:pStyle w:val="Compact"/>
            </w:pPr>
            <w:r>
              <w:t xml:space="preserve">S$35.6 million (95% UI: S$31.7 million–S$40.5 million)</w:t>
            </w:r>
          </w:p>
        </w:tc>
        <w:tc>
          <w:tcPr/>
          <w:p>
            <w:pPr>
              <w:pStyle w:val="Compact"/>
            </w:pPr>
            <w:r>
              <w:t xml:space="preserve">S$11.8 million (95% UI: S$10.9 million–S$12.8 million)</w:t>
            </w:r>
          </w:p>
        </w:tc>
      </w:tr>
      <w:tr>
        <w:tc>
          <w:tcPr/>
          <w:p>
            <w:pPr>
              <w:pStyle w:val="Compact"/>
            </w:pPr>
            <w:r>
              <w:t xml:space="preserve">J + 2,000/year, F 25%</w:t>
            </w:r>
          </w:p>
        </w:tc>
        <w:tc>
          <w:tcPr/>
          <w:p>
            <w:pPr>
              <w:pStyle w:val="Compact"/>
            </w:pPr>
            <w:r>
              <w:t xml:space="preserve">10,000 (95% UI: 10,000–10,000)</w:t>
            </w:r>
          </w:p>
        </w:tc>
        <w:tc>
          <w:tcPr/>
          <w:p>
            <w:pPr>
              <w:pStyle w:val="Compact"/>
            </w:pPr>
            <w:r>
              <w:t xml:space="preserve">2,411 (95% UI: 2,260–2,564)</w:t>
            </w:r>
          </w:p>
        </w:tc>
        <w:tc>
          <w:tcPr/>
          <w:p>
            <w:pPr>
              <w:pStyle w:val="Compact"/>
            </w:pPr>
            <w:r>
              <w:t xml:space="preserve">757 (95% UI: 699–815)</w:t>
            </w:r>
          </w:p>
        </w:tc>
        <w:tc>
          <w:tcPr/>
          <w:p>
            <w:pPr>
              <w:pStyle w:val="Compact"/>
            </w:pPr>
            <w:r>
              <w:t xml:space="preserve">386 (95% UI: 315–477)</w:t>
            </w:r>
          </w:p>
        </w:tc>
        <w:tc>
          <w:tcPr/>
          <w:p>
            <w:pPr>
              <w:pStyle w:val="Compact"/>
            </w:pPr>
            <w:r>
              <w:t xml:space="preserve">S$45.3 million (95% UI: S$41.0 million–S$50.2 million)</w:t>
            </w:r>
          </w:p>
        </w:tc>
        <w:tc>
          <w:tcPr/>
          <w:p>
            <w:pPr>
              <w:pStyle w:val="Compact"/>
            </w:pPr>
            <w:r>
              <w:t xml:space="preserve">S$21.4 million (95% UI: S$19.7 million–S$23.3 million)</w:t>
            </w:r>
          </w:p>
        </w:tc>
      </w:tr>
      <w:tr>
        <w:tc>
          <w:tcPr/>
          <w:p>
            <w:pPr>
              <w:pStyle w:val="Compact"/>
            </w:pPr>
            <w:r>
              <w:t xml:space="preserve">J + 5,000/year, F 25%</w:t>
            </w:r>
          </w:p>
        </w:tc>
        <w:tc>
          <w:tcPr/>
          <w:p>
            <w:pPr>
              <w:pStyle w:val="Compact"/>
            </w:pPr>
            <w:r>
              <w:t xml:space="preserve">25,000 (95% UI: 25,000–25,000)</w:t>
            </w:r>
          </w:p>
        </w:tc>
        <w:tc>
          <w:tcPr/>
          <w:p>
            <w:pPr>
              <w:pStyle w:val="Compact"/>
            </w:pPr>
            <w:r>
              <w:t xml:space="preserve">5,909 (95% UI: 5,549–6,278)</w:t>
            </w:r>
          </w:p>
        </w:tc>
        <w:tc>
          <w:tcPr/>
          <w:p>
            <w:pPr>
              <w:pStyle w:val="Compact"/>
            </w:pPr>
            <w:r>
              <w:t xml:space="preserve">1,390 (95% UI: 1,276–1,503)</w:t>
            </w:r>
          </w:p>
        </w:tc>
        <w:tc>
          <w:tcPr/>
          <w:p>
            <w:pPr>
              <w:pStyle w:val="Compact"/>
            </w:pPr>
            <w:r>
              <w:t xml:space="preserve">216 (95% UI: 168–277)</w:t>
            </w:r>
          </w:p>
        </w:tc>
        <w:tc>
          <w:tcPr/>
          <w:p>
            <w:pPr>
              <w:pStyle w:val="Compact"/>
            </w:pPr>
            <w:r>
              <w:t xml:space="preserve">S$65.2 million (95% UI: S$59.8 million–S$70.8 million)</w:t>
            </w:r>
          </w:p>
        </w:tc>
        <w:tc>
          <w:tcPr/>
          <w:p>
            <w:pPr>
              <w:pStyle w:val="Compact"/>
            </w:pPr>
            <w:r>
              <w:t xml:space="preserve">S$41.2 million (95% UI: S$37.5 million–S$45.2 million)</w:t>
            </w:r>
          </w:p>
        </w:tc>
      </w:tr>
      <w:tr>
        <w:tc>
          <w:tcPr/>
          <w:p>
            <w:pPr>
              <w:pStyle w:val="Compact"/>
            </w:pPr>
            <w:r>
              <w:t xml:space="preserve">J + 8,000/year, F 25%</w:t>
            </w:r>
          </w:p>
        </w:tc>
        <w:tc>
          <w:tcPr/>
          <w:p>
            <w:pPr>
              <w:pStyle w:val="Compact"/>
            </w:pPr>
            <w:r>
              <w:t xml:space="preserve">37,475 (95% UI: 36,909–38,049)</w:t>
            </w:r>
          </w:p>
        </w:tc>
        <w:tc>
          <w:tcPr/>
          <w:p>
            <w:pPr>
              <w:pStyle w:val="Compact"/>
            </w:pPr>
            <w:r>
              <w:t xml:space="preserve">8,696 (95% UI: 8,148–9,256)</w:t>
            </w:r>
          </w:p>
        </w:tc>
        <w:tc>
          <w:tcPr/>
          <w:p>
            <w:pPr>
              <w:pStyle w:val="Compact"/>
            </w:pPr>
            <w:r>
              <w:t xml:space="preserve">1,699 (95% UI: 1,544–1,856)</w:t>
            </w:r>
          </w:p>
        </w:tc>
        <w:tc>
          <w:tcPr/>
          <w:p>
            <w:pPr>
              <w:pStyle w:val="Compact"/>
            </w:pPr>
            <w:r>
              <w:t xml:space="preserve">192 (95% UI: 150–244)</w:t>
            </w:r>
          </w:p>
        </w:tc>
        <w:tc>
          <w:tcPr/>
          <w:p>
            <w:pPr>
              <w:pStyle w:val="Compact"/>
            </w:pPr>
            <w:r>
              <w:t xml:space="preserve">S$77.9 million (95% UI: S$71.3 million–S$84.7 million)</w:t>
            </w:r>
          </w:p>
        </w:tc>
        <w:tc>
          <w:tcPr/>
          <w:p>
            <w:pPr>
              <w:pStyle w:val="Compact"/>
            </w:pPr>
            <w:r>
              <w:t xml:space="preserve">S$54.0 million (95% UI: S$49.0 million–S$59.4 million)</w:t>
            </w:r>
          </w:p>
        </w:tc>
      </w:tr>
      <w:tr>
        <w:tc>
          <w:tcPr/>
          <w:p>
            <w:pPr>
              <w:pStyle w:val="Compact"/>
            </w:pPr>
            <w:r>
              <w:t xml:space="preserve">J + 600/year, F 50%</w:t>
            </w:r>
          </w:p>
        </w:tc>
        <w:tc>
          <w:tcPr/>
          <w:p>
            <w:pPr>
              <w:pStyle w:val="Compact"/>
            </w:pPr>
            <w:r>
              <w:t xml:space="preserve">3,000 (95% UI: 3,000–3,000)</w:t>
            </w:r>
          </w:p>
        </w:tc>
        <w:tc>
          <w:tcPr/>
          <w:p>
            <w:pPr>
              <w:pStyle w:val="Compact"/>
            </w:pPr>
            <w:r>
              <w:t xml:space="preserve">803 (95% UI: 753–857)</w:t>
            </w:r>
          </w:p>
        </w:tc>
        <w:tc>
          <w:tcPr/>
          <w:p>
            <w:pPr>
              <w:pStyle w:val="Compact"/>
            </w:pPr>
            <w:r>
              <w:t xml:space="preserve">238 (95% UI: 218–260)</w:t>
            </w:r>
          </w:p>
        </w:tc>
        <w:tc>
          <w:tcPr/>
          <w:p>
            <w:pPr>
              <w:pStyle w:val="Compact"/>
            </w:pPr>
            <w:r>
              <w:t xml:space="preserve">463 (95% UI: 382–567)</w:t>
            </w:r>
          </w:p>
        </w:tc>
        <w:tc>
          <w:tcPr/>
          <w:p>
            <w:pPr>
              <w:pStyle w:val="Compact"/>
            </w:pPr>
            <w:r>
              <w:t xml:space="preserve">S$27.5 million (95% UI: S$23.8 million–S$32.1 million)</w:t>
            </w:r>
          </w:p>
        </w:tc>
        <w:tc>
          <w:tcPr/>
          <w:p>
            <w:pPr>
              <w:pStyle w:val="Compact"/>
            </w:pPr>
            <w:r>
              <w:t xml:space="preserve">S$3.7 million (95% UI: S$3.3 million–S$4.2 million)</w:t>
            </w:r>
          </w:p>
        </w:tc>
      </w:tr>
      <w:tr>
        <w:tc>
          <w:tcPr/>
          <w:p>
            <w:pPr>
              <w:pStyle w:val="Compact"/>
            </w:pPr>
            <w:r>
              <w:t xml:space="preserve">J + 1,000/year, F 50%</w:t>
            </w:r>
          </w:p>
        </w:tc>
        <w:tc>
          <w:tcPr/>
          <w:p>
            <w:pPr>
              <w:pStyle w:val="Compact"/>
            </w:pPr>
            <w:r>
              <w:t xml:space="preserve">5,000 (95% UI: 5,000–5,000)</w:t>
            </w:r>
          </w:p>
        </w:tc>
        <w:tc>
          <w:tcPr/>
          <w:p>
            <w:pPr>
              <w:pStyle w:val="Compact"/>
            </w:pPr>
            <w:r>
              <w:t xml:space="preserve">1,321 (95% UI: 1,238–1,409)</w:t>
            </w:r>
          </w:p>
        </w:tc>
        <w:tc>
          <w:tcPr/>
          <w:p>
            <w:pPr>
              <w:pStyle w:val="Compact"/>
            </w:pPr>
            <w:r>
              <w:t xml:space="preserve">367 (95% UI: 336–400)</w:t>
            </w:r>
          </w:p>
        </w:tc>
        <w:tc>
          <w:tcPr/>
          <w:p>
            <w:pPr>
              <w:pStyle w:val="Compact"/>
            </w:pPr>
            <w:r>
              <w:t xml:space="preserve">386 (95% UI: 315–477)</w:t>
            </w:r>
          </w:p>
        </w:tc>
        <w:tc>
          <w:tcPr/>
          <w:p>
            <w:pPr>
              <w:pStyle w:val="Compact"/>
            </w:pPr>
            <w:r>
              <w:t xml:space="preserve">S$29.7 million (95% UI: S$26.2 million–S$34.2 million)</w:t>
            </w:r>
          </w:p>
        </w:tc>
        <w:tc>
          <w:tcPr/>
          <w:p>
            <w:pPr>
              <w:pStyle w:val="Compact"/>
            </w:pPr>
            <w:r>
              <w:t xml:space="preserve">S$5.9 million (95% UI: S$5.2 million–S$6.7 million)</w:t>
            </w:r>
          </w:p>
        </w:tc>
      </w:tr>
      <w:tr>
        <w:tc>
          <w:tcPr/>
          <w:p>
            <w:pPr>
              <w:pStyle w:val="Compact"/>
            </w:pPr>
            <w:r>
              <w:t xml:space="preserve">J + 2,000/year, F 50%</w:t>
            </w:r>
          </w:p>
        </w:tc>
        <w:tc>
          <w:tcPr/>
          <w:p>
            <w:pPr>
              <w:pStyle w:val="Compact"/>
            </w:pPr>
            <w:r>
              <w:t xml:space="preserve">10,000 (95% UI: 10,000–10,000)</w:t>
            </w:r>
          </w:p>
        </w:tc>
        <w:tc>
          <w:tcPr/>
          <w:p>
            <w:pPr>
              <w:pStyle w:val="Compact"/>
            </w:pPr>
            <w:r>
              <w:t xml:space="preserve">2,570 (95% UI: 2,412–2,737)</w:t>
            </w:r>
          </w:p>
        </w:tc>
        <w:tc>
          <w:tcPr/>
          <w:p>
            <w:pPr>
              <w:pStyle w:val="Compact"/>
            </w:pPr>
            <w:r>
              <w:t xml:space="preserve">620 (95% UI: 571–672)</w:t>
            </w:r>
          </w:p>
        </w:tc>
        <w:tc>
          <w:tcPr/>
          <w:p>
            <w:pPr>
              <w:pStyle w:val="Compact"/>
            </w:pPr>
            <w:r>
              <w:t xml:space="preserve">255 (95% UI: 200–324)</w:t>
            </w:r>
          </w:p>
        </w:tc>
        <w:tc>
          <w:tcPr/>
          <w:p>
            <w:pPr>
              <w:pStyle w:val="Compact"/>
            </w:pPr>
            <w:r>
              <w:t xml:space="preserve">S$35.1 million (95% UI: S$31.6 million–S$39.1 million)</w:t>
            </w:r>
          </w:p>
        </w:tc>
        <w:tc>
          <w:tcPr/>
          <w:p>
            <w:pPr>
              <w:pStyle w:val="Compact"/>
            </w:pPr>
            <w:r>
              <w:t xml:space="preserve">S$11.2 million (95% UI: S$9.8 million–S$12.8 million)</w:t>
            </w:r>
          </w:p>
        </w:tc>
      </w:tr>
      <w:tr>
        <w:tc>
          <w:tcPr/>
          <w:p>
            <w:pPr>
              <w:pStyle w:val="Compact"/>
            </w:pPr>
            <w:r>
              <w:t xml:space="preserve">J + 5,000/year, F 50%</w:t>
            </w:r>
          </w:p>
        </w:tc>
        <w:tc>
          <w:tcPr/>
          <w:p>
            <w:pPr>
              <w:pStyle w:val="Compact"/>
            </w:pPr>
            <w:r>
              <w:t xml:space="preserve">19,975 (95% UI: 19,409–20,549)</w:t>
            </w:r>
          </w:p>
        </w:tc>
        <w:tc>
          <w:tcPr/>
          <w:p>
            <w:pPr>
              <w:pStyle w:val="Compact"/>
            </w:pPr>
            <w:r>
              <w:t xml:space="preserve">4,872 (95% UI: 4,548–5,206)</w:t>
            </w:r>
          </w:p>
        </w:tc>
        <w:tc>
          <w:tcPr/>
          <w:p>
            <w:pPr>
              <w:pStyle w:val="Compact"/>
            </w:pPr>
            <w:r>
              <w:t xml:space="preserve">1,115 (95% UI: 1,027–1,205)</w:t>
            </w:r>
          </w:p>
        </w:tc>
        <w:tc>
          <w:tcPr/>
          <w:p>
            <w:pPr>
              <w:pStyle w:val="Compact"/>
            </w:pPr>
            <w:r>
              <w:t xml:space="preserve">192 (95% UI: 150–244)</w:t>
            </w:r>
          </w:p>
        </w:tc>
        <w:tc>
          <w:tcPr/>
          <w:p>
            <w:pPr>
              <w:pStyle w:val="Compact"/>
            </w:pPr>
            <w:r>
              <w:t xml:space="preserve">S$52.9 million (95% UI: S$48.8 million–S$57.5 million)</w:t>
            </w:r>
          </w:p>
        </w:tc>
        <w:tc>
          <w:tcPr/>
          <w:p>
            <w:pPr>
              <w:pStyle w:val="Compact"/>
            </w:pPr>
            <w:r>
              <w:t xml:space="preserve">S$29.0 million (95% UI: S$26.4 million–S$32.0 million)</w:t>
            </w:r>
          </w:p>
        </w:tc>
      </w:tr>
      <w:tr>
        <w:tc>
          <w:tcPr/>
          <w:p>
            <w:pPr>
              <w:pStyle w:val="Compact"/>
            </w:pPr>
            <w:r>
              <w:t xml:space="preserve">J + 8,000/year, F 50%</w:t>
            </w:r>
          </w:p>
        </w:tc>
        <w:tc>
          <w:tcPr/>
          <w:p>
            <w:pPr>
              <w:pStyle w:val="Compact"/>
            </w:pPr>
            <w:r>
              <w:t xml:space="preserve">27,475 (95% UI: 26,909–28,049)</w:t>
            </w:r>
          </w:p>
        </w:tc>
        <w:tc>
          <w:tcPr/>
          <w:p>
            <w:pPr>
              <w:pStyle w:val="Compact"/>
            </w:pPr>
            <w:r>
              <w:t xml:space="preserve">6,510 (95% UI: 6,094–6,940)</w:t>
            </w:r>
          </w:p>
        </w:tc>
        <w:tc>
          <w:tcPr/>
          <w:p>
            <w:pPr>
              <w:pStyle w:val="Compact"/>
            </w:pPr>
            <w:r>
              <w:t xml:space="preserve">1,438 (95% UI: 1,319–1,557)</w:t>
            </w:r>
          </w:p>
        </w:tc>
        <w:tc>
          <w:tcPr/>
          <w:p>
            <w:pPr>
              <w:pStyle w:val="Compact"/>
            </w:pPr>
            <w:r>
              <w:t xml:space="preserve">192 (95% UI: 150–244)</w:t>
            </w:r>
          </w:p>
        </w:tc>
        <w:tc>
          <w:tcPr/>
          <w:p>
            <w:pPr>
              <w:pStyle w:val="Compact"/>
            </w:pPr>
            <w:r>
              <w:t xml:space="preserve">S$66.4 million (95% UI: S$61.1 million–S$71.8 million)</w:t>
            </w:r>
          </w:p>
        </w:tc>
        <w:tc>
          <w:tcPr/>
          <w:p>
            <w:pPr>
              <w:pStyle w:val="Compact"/>
            </w:pPr>
            <w:r>
              <w:t xml:space="preserve">S$42.4 million (95% UI: S$38.7 million–S$46.4 million)</w:t>
            </w:r>
          </w:p>
        </w:tc>
      </w:tr>
      <w:tr>
        <w:tc>
          <w:tcPr/>
          <w:p>
            <w:pPr>
              <w:pStyle w:val="Compact"/>
            </w:pPr>
            <w:r>
              <w:t xml:space="preserve">J + 600/year, F 75%</w:t>
            </w:r>
          </w:p>
        </w:tc>
        <w:tc>
          <w:tcPr/>
          <w:p>
            <w:pPr>
              <w:pStyle w:val="Compact"/>
            </w:pPr>
            <w:r>
              <w:t xml:space="preserve">3,000 (95% UI: 3,000–3,000)</w:t>
            </w:r>
          </w:p>
        </w:tc>
        <w:tc>
          <w:tcPr/>
          <w:p>
            <w:pPr>
              <w:pStyle w:val="Compact"/>
            </w:pPr>
            <w:r>
              <w:t xml:space="preserve">866 (95% UI: 809–928)</w:t>
            </w:r>
          </w:p>
        </w:tc>
        <w:tc>
          <w:tcPr/>
          <w:p>
            <w:pPr>
              <w:pStyle w:val="Compact"/>
            </w:pPr>
            <w:r>
              <w:t xml:space="preserve">197 (95% UI: 177–222)</w:t>
            </w:r>
          </w:p>
        </w:tc>
        <w:tc>
          <w:tcPr/>
          <w:p>
            <w:pPr>
              <w:pStyle w:val="Compact"/>
            </w:pPr>
            <w:r>
              <w:t xml:space="preserve">403 (95% UI: 331–498)</w:t>
            </w:r>
          </w:p>
        </w:tc>
        <w:tc>
          <w:tcPr/>
          <w:p>
            <w:pPr>
              <w:pStyle w:val="Compact"/>
            </w:pPr>
            <w:r>
              <w:t xml:space="preserve">S$23.7 million (95% UI: S$20.2 million–S</w:t>
            </w:r>
            <m:oMath>
              <m:r>
                <m:t>28.1</m:t>
              </m:r>
              <m:r>
                <m:t>m</m:t>
              </m:r>
              <m:r>
                <m:t>i</m:t>
              </m:r>
              <m:r>
                <m:t>l</m:t>
              </m:r>
              <m:r>
                <m:t>l</m:t>
              </m:r>
              <m:r>
                <m:t>i</m:t>
              </m:r>
              <m:r>
                <m:t>o</m:t>
              </m:r>
              <m:r>
                <m:t>n</m:t>
              </m:r>
              <m:r>
                <m:rPr>
                  <m:sty m:val="p"/>
                </m:rPr>
                <m:t>)</m:t>
              </m:r>
              <m:r>
                <m:rPr>
                  <m:sty m:val="p"/>
                </m:rPr>
                <m:t>|</m:t>
              </m:r>
              <m:r>
                <m:t>S</m:t>
              </m:r>
            </m:oMath>
            <w:r>
              <w:t xml:space="preserve">-0.1 million (95% UI: S$-0.5 million–S$0.4 million)</w:t>
            </w:r>
          </w:p>
        </w:tc>
        <w:tc>
          <w:tcPr/>
          <w:p>
            <w:pPr>
              <w:pStyle w:val="Compact"/>
            </w:pPr>
          </w:p>
        </w:tc>
      </w:tr>
      <w:tr>
        <w:tc>
          <w:tcPr/>
          <w:p>
            <w:pPr>
              <w:pStyle w:val="Compact"/>
            </w:pPr>
            <w:r>
              <w:t xml:space="preserve">J + 1,000/year, F 75%</w:t>
            </w:r>
          </w:p>
        </w:tc>
        <w:tc>
          <w:tcPr/>
          <w:p>
            <w:pPr>
              <w:pStyle w:val="Compact"/>
            </w:pPr>
            <w:r>
              <w:t xml:space="preserve">5,000 (95% UI: 5,000–5,000)</w:t>
            </w:r>
          </w:p>
        </w:tc>
        <w:tc>
          <w:tcPr/>
          <w:p>
            <w:pPr>
              <w:pStyle w:val="Compact"/>
            </w:pPr>
            <w:r>
              <w:t xml:space="preserve">1,408 (95% UI: 1,318–1,505)</w:t>
            </w:r>
          </w:p>
        </w:tc>
        <w:tc>
          <w:tcPr/>
          <w:p>
            <w:pPr>
              <w:pStyle w:val="Compact"/>
            </w:pPr>
            <w:r>
              <w:t xml:space="preserve">283 (95% UI: 255–317)</w:t>
            </w:r>
          </w:p>
        </w:tc>
        <w:tc>
          <w:tcPr/>
          <w:p>
            <w:pPr>
              <w:pStyle w:val="Compact"/>
            </w:pPr>
            <w:r>
              <w:t xml:space="preserve">310 (95% UI: 249–390)</w:t>
            </w:r>
          </w:p>
        </w:tc>
        <w:tc>
          <w:tcPr/>
          <w:p>
            <w:pPr>
              <w:pStyle w:val="Compact"/>
            </w:pPr>
            <w:r>
              <w:t xml:space="preserve">S$23.7 million (95% UI: S$20.5 million–S</w:t>
            </w:r>
            <m:oMath>
              <m:r>
                <m:t>27.8</m:t>
              </m:r>
              <m:r>
                <m:t>m</m:t>
              </m:r>
              <m:r>
                <m:t>i</m:t>
              </m:r>
              <m:r>
                <m:t>l</m:t>
              </m:r>
              <m:r>
                <m:t>l</m:t>
              </m:r>
              <m:r>
                <m:t>i</m:t>
              </m:r>
              <m:r>
                <m:t>o</m:t>
              </m:r>
              <m:r>
                <m:t>n</m:t>
              </m:r>
              <m:r>
                <m:rPr>
                  <m:sty m:val="p"/>
                </m:rPr>
                <m:t>)</m:t>
              </m:r>
              <m:r>
                <m:rPr>
                  <m:sty m:val="p"/>
                </m:rPr>
                <m:t>|</m:t>
              </m:r>
              <m:r>
                <m:t>S</m:t>
              </m:r>
            </m:oMath>
            <w:r>
              <w:t xml:space="preserve">-0.1 million (95% UI: S$-0.9 million–S$0.8 million)</w:t>
            </w:r>
          </w:p>
        </w:tc>
        <w:tc>
          <w:tcPr/>
          <w:p>
            <w:pPr>
              <w:pStyle w:val="Compact"/>
            </w:pPr>
          </w:p>
        </w:tc>
      </w:tr>
      <w:tr>
        <w:tc>
          <w:tcPr/>
          <w:p>
            <w:pPr>
              <w:pStyle w:val="Compact"/>
            </w:pPr>
            <w:r>
              <w:t xml:space="preserve">J + 2,000/year, F 75%</w:t>
            </w:r>
          </w:p>
        </w:tc>
        <w:tc>
          <w:tcPr/>
          <w:p>
            <w:pPr>
              <w:pStyle w:val="Compact"/>
            </w:pPr>
            <w:r>
              <w:t xml:space="preserve">9,956 (95% UI: 9,409–10,000)</w:t>
            </w:r>
          </w:p>
        </w:tc>
        <w:tc>
          <w:tcPr/>
          <w:p>
            <w:pPr>
              <w:pStyle w:val="Compact"/>
            </w:pPr>
            <w:r>
              <w:t xml:space="preserve">2,670 (95% UI: 2,478–2,856)</w:t>
            </w:r>
          </w:p>
        </w:tc>
        <w:tc>
          <w:tcPr/>
          <w:p>
            <w:pPr>
              <w:pStyle w:val="Compact"/>
            </w:pPr>
            <w:r>
              <w:t xml:space="preserve">424 (95% UI: 387–466)</w:t>
            </w:r>
          </w:p>
        </w:tc>
        <w:tc>
          <w:tcPr/>
          <w:p>
            <w:pPr>
              <w:pStyle w:val="Compact"/>
            </w:pPr>
            <w:r>
              <w:t xml:space="preserve">193 (95% UI: 150–246)</w:t>
            </w:r>
          </w:p>
        </w:tc>
        <w:tc>
          <w:tcPr/>
          <w:p>
            <w:pPr>
              <w:pStyle w:val="Compact"/>
            </w:pPr>
            <w:r>
              <w:t xml:space="preserve">S$25.2 million (95% UI: S$22.5 million–S$28.5 million)</w:t>
            </w:r>
          </w:p>
        </w:tc>
        <w:tc>
          <w:tcPr/>
          <w:p>
            <w:pPr>
              <w:pStyle w:val="Compact"/>
            </w:pPr>
            <w:r>
              <w:t xml:space="preserve">S</w:t>
            </w:r>
            <m:oMath>
              <m:r>
                <m:t>1.4</m:t>
              </m:r>
              <m:r>
                <m:t>m</m:t>
              </m:r>
              <m:r>
                <m:t>i</m:t>
              </m:r>
              <m:r>
                <m:t>l</m:t>
              </m:r>
              <m:r>
                <m:t>l</m:t>
              </m:r>
              <m:r>
                <m:t>i</m:t>
              </m:r>
              <m:r>
                <m:t>o</m:t>
              </m:r>
              <m:r>
                <m:t>n</m:t>
              </m:r>
              <m:r>
                <m:rPr>
                  <m:sty m:val="p"/>
                </m:rPr>
                <m:t>(</m:t>
              </m:r>
              <m:r>
                <m:t>95</m:t>
              </m:r>
            </m:oMath>
            <w:r>
              <w:t xml:space="preserve">-0.3 million–S$2.9 million)</w:t>
            </w:r>
          </w:p>
        </w:tc>
      </w:tr>
      <w:tr>
        <w:tc>
          <w:tcPr/>
          <w:p>
            <w:pPr>
              <w:pStyle w:val="Compact"/>
            </w:pPr>
            <w:r>
              <w:t xml:space="preserve">J + 5,000/year, F 75%</w:t>
            </w:r>
          </w:p>
        </w:tc>
        <w:tc>
          <w:tcPr/>
          <w:p>
            <w:pPr>
              <w:pStyle w:val="Compact"/>
            </w:pPr>
            <w:r>
              <w:t xml:space="preserve">13,725 (95% UI: 13,159–14,299)</w:t>
            </w:r>
          </w:p>
        </w:tc>
        <w:tc>
          <w:tcPr/>
          <w:p>
            <w:pPr>
              <w:pStyle w:val="Compact"/>
            </w:pPr>
            <w:r>
              <w:t xml:space="preserve">3,512 (95% UI: 3,256–3,766)</w:t>
            </w:r>
          </w:p>
        </w:tc>
        <w:tc>
          <w:tcPr/>
          <w:p>
            <w:pPr>
              <w:pStyle w:val="Compact"/>
            </w:pPr>
            <w:r>
              <w:t xml:space="preserve">725 (95% UI: 667–784)</w:t>
            </w:r>
          </w:p>
        </w:tc>
        <w:tc>
          <w:tcPr/>
          <w:p>
            <w:pPr>
              <w:pStyle w:val="Compact"/>
            </w:pPr>
            <w:r>
              <w:t xml:space="preserve">192 (95% UI: 150–244)</w:t>
            </w:r>
          </w:p>
        </w:tc>
        <w:tc>
          <w:tcPr/>
          <w:p>
            <w:pPr>
              <w:pStyle w:val="Compact"/>
            </w:pPr>
            <w:r>
              <w:t xml:space="preserve">S$37.2 million (95% UI: S$34.0 million–S$40.8 million)</w:t>
            </w:r>
          </w:p>
        </w:tc>
        <w:tc>
          <w:tcPr/>
          <w:p>
            <w:pPr>
              <w:pStyle w:val="Compact"/>
            </w:pPr>
            <w:r>
              <w:t xml:space="preserve">S$13.3 million (95% UI: S$11.4 million–S$15.3 million)</w:t>
            </w:r>
          </w:p>
        </w:tc>
      </w:tr>
      <w:tr>
        <w:tc>
          <w:tcPr/>
          <w:p>
            <w:pPr>
              <w:pStyle w:val="Compact"/>
            </w:pPr>
            <w:r>
              <w:t xml:space="preserve">J + 8,000/year, F 75%</w:t>
            </w:r>
          </w:p>
        </w:tc>
        <w:tc>
          <w:tcPr/>
          <w:p>
            <w:pPr>
              <w:pStyle w:val="Compact"/>
            </w:pPr>
            <w:r>
              <w:t xml:space="preserve">17,475 (95% UI: 16,909–18,049)</w:t>
            </w:r>
          </w:p>
        </w:tc>
        <w:tc>
          <w:tcPr/>
          <w:p>
            <w:pPr>
              <w:pStyle w:val="Compact"/>
            </w:pPr>
            <w:r>
              <w:t xml:space="preserve">4,328 (95% UI: 4,039–4,630)</w:t>
            </w:r>
          </w:p>
        </w:tc>
        <w:tc>
          <w:tcPr/>
          <w:p>
            <w:pPr>
              <w:pStyle w:val="Compact"/>
            </w:pPr>
            <w:r>
              <w:t xml:space="preserve">974 (95% UI: 897–1,052)</w:t>
            </w:r>
          </w:p>
        </w:tc>
        <w:tc>
          <w:tcPr/>
          <w:p>
            <w:pPr>
              <w:pStyle w:val="Compact"/>
            </w:pPr>
            <w:r>
              <w:t xml:space="preserve">192 (95% UI: 150–244)</w:t>
            </w:r>
          </w:p>
        </w:tc>
        <w:tc>
          <w:tcPr/>
          <w:p>
            <w:pPr>
              <w:pStyle w:val="Compact"/>
            </w:pPr>
            <w:r>
              <w:t xml:space="preserve">S$47.2 million (95% UI: S$43.5 million–S$51.4 million)</w:t>
            </w:r>
          </w:p>
        </w:tc>
        <w:tc>
          <w:tcPr/>
          <w:p>
            <w:pPr>
              <w:pStyle w:val="Compact"/>
            </w:pPr>
            <w:r>
              <w:t xml:space="preserve">S$23.3 million (95% UI: S$21.0 million–S$25.9 million)</w:t>
            </w:r>
          </w:p>
        </w:tc>
      </w:tr>
      <w:tr>
        <w:tc>
          <w:tcPr/>
          <w:p>
            <w:pPr>
              <w:pStyle w:val="Compact"/>
            </w:pPr>
            <w:r>
              <w:t xml:space="preserve">J + no screening cap</w:t>
            </w:r>
          </w:p>
        </w:tc>
        <w:tc>
          <w:tcPr/>
          <w:p>
            <w:pPr>
              <w:pStyle w:val="Compact"/>
            </w:pPr>
            <w:r>
              <w:t xml:space="preserve">81,671 (95% UI: 73,733–89,983)</w:t>
            </w:r>
          </w:p>
        </w:tc>
        <w:tc>
          <w:tcPr/>
          <w:p>
            <w:pPr>
              <w:pStyle w:val="Compact"/>
            </w:pPr>
            <w:r>
              <w:t xml:space="preserve">18,351 (95% UI: 16,485–20,377)</w:t>
            </w:r>
          </w:p>
        </w:tc>
        <w:tc>
          <w:tcPr/>
          <w:p>
            <w:pPr>
              <w:pStyle w:val="Compact"/>
            </w:pPr>
            <w:r>
              <w:t xml:space="preserve">1,990 (95% UI: 1,772–2,225)</w:t>
            </w:r>
          </w:p>
        </w:tc>
        <w:tc>
          <w:tcPr/>
          <w:p>
            <w:pPr>
              <w:pStyle w:val="Compact"/>
            </w:pPr>
            <w:r>
              <w:t xml:space="preserve">192 (95% UI: 150–244)</w:t>
            </w:r>
          </w:p>
        </w:tc>
        <w:tc>
          <w:tcPr/>
          <w:p>
            <w:pPr>
              <w:pStyle w:val="Compact"/>
            </w:pPr>
            <w:r>
              <w:t xml:space="preserve">S$95.2 million (95% UI: S$85.4 million–S$105.7 million)</w:t>
            </w:r>
          </w:p>
        </w:tc>
        <w:tc>
          <w:tcPr/>
          <w:p>
            <w:pPr>
              <w:pStyle w:val="Compact"/>
            </w:pPr>
            <w:r>
              <w:t xml:space="preserve">S$71.2 million (95% UI: S$62.5 million–S$80.8 million)</w:t>
            </w:r>
          </w:p>
        </w:tc>
      </w:tr>
    </w:tbl>
    <w:p>
      <w:pPr>
        <w:pStyle w:val="BodyText"/>
      </w:pPr>
      <w:r>
        <w:t xml:space="preserve">Screening counts may include the same person in more than one year. Treatment starts count courses.</w:t>
      </w:r>
    </w:p>
    <w:p>
      <w:pPr>
        <w:pStyle w:val="CaptionedFigure"/>
      </w:pPr>
      <w:r>
        <w:drawing>
          <wp:inline>
            <wp:extent cx="5334000" cy="2963333"/>
            <wp:effectExtent b="0" l="0" r="0" t="0"/>
            <wp:docPr descr="Fig S4. Annual treatment starts and screening derived treatment quotas in F and X, by capacity and allocation. Medians across posterior draws." title="" id="38" name="Picture"/>
            <a:graphic>
              <a:graphicData uri="http://schemas.openxmlformats.org/drawingml/2006/picture">
                <pic:pic>
                  <pic:nvPicPr>
                    <pic:cNvPr descr="/Users/yichenhe/Documents/Work/HepC-Transimission-Modelling/output/scenarios_2026/scenario_treatment_starts.png" id="39" name="Picture"/>
                    <pic:cNvPicPr>
                      <a:picLocks noChangeArrowheads="1" noChangeAspect="1"/>
                    </pic:cNvPicPr>
                  </pic:nvPicPr>
                  <pic:blipFill>
                    <a:blip r:embed="rId3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 S4. Annual treatment starts and screening derived treatment quotas in F and X, by capacity and allocation. Medians across posterior draws.</w:t>
      </w:r>
    </w:p>
    <w:p>
      <w:pPr>
        <w:pStyle w:val="CaptionedFigure"/>
      </w:pPr>
      <w:r>
        <w:drawing>
          <wp:inline>
            <wp:extent cx="4800600" cy="2400300"/>
            <wp:effectExtent b="0" l="0" r="0" t="0"/>
            <wp:docPr descr="Fig S5. Share of the five year screening quota used in F and X. The F group is small, so a large F share leaves part of its quota unused." title="" id="41" name="Picture"/>
            <a:graphic>
              <a:graphicData uri="http://schemas.openxmlformats.org/drawingml/2006/picture">
                <pic:pic>
                  <pic:nvPicPr>
                    <pic:cNvPr descr="/Users/yichenhe/Documents/Work/HepC-Transimission-Modelling/output/scenarios_2026/paper_fig4_f_pool.png" id="42" name="Picture"/>
                    <pic:cNvPicPr>
                      <a:picLocks noChangeArrowheads="1" noChangeAspect="1"/>
                    </pic:cNvPicPr>
                  </pic:nvPicPr>
                  <pic:blipFill>
                    <a:blip r:embed="rId40"/>
                    <a:stretch>
                      <a:fillRect/>
                    </a:stretch>
                  </pic:blipFill>
                  <pic:spPr bwMode="auto">
                    <a:xfrm>
                      <a:off x="0" y="0"/>
                      <a:ext cx="4800600" cy="2400300"/>
                    </a:xfrm>
                    <a:prstGeom prst="rect">
                      <a:avLst/>
                    </a:prstGeom>
                    <a:noFill/>
                    <a:ln w="9525">
                      <a:noFill/>
                      <a:headEnd/>
                      <a:tailEnd/>
                    </a:ln>
                  </pic:spPr>
                </pic:pic>
              </a:graphicData>
            </a:graphic>
          </wp:inline>
        </w:drawing>
      </w:r>
    </w:p>
    <w:p>
      <w:pPr>
        <w:pStyle w:val="ImageCaption"/>
      </w:pPr>
      <w:r>
        <w:t xml:space="preserve">Fig S5. Share of the five year screening quota used in F and X. The F group is small, so a large F share leaves part of its quota unused.</w:t>
      </w:r>
    </w:p>
    <w:p>
      <w:pPr>
        <w:pStyle w:val="CaptionedFigure"/>
      </w:pPr>
      <w:r>
        <w:drawing>
          <wp:inline>
            <wp:extent cx="5334000" cy="1546860"/>
            <wp:effectExtent b="0" l="0" r="0" t="0"/>
            <wp:docPr descr="Fig S6. Cost composition of the prison only scenario and the scenarios that met both targets. Shares use the median cost of each item." title="" id="44" name="Picture"/>
            <a:graphic>
              <a:graphicData uri="http://schemas.openxmlformats.org/drawingml/2006/picture">
                <pic:pic>
                  <pic:nvPicPr>
                    <pic:cNvPr descr="/Users/yichenhe/Documents/Work/HepC-Transimission-Modelling/output/scenarios_2026/scenario_cost_composition_pies.png" id="45" name="Picture"/>
                    <pic:cNvPicPr>
                      <a:picLocks noChangeArrowheads="1" noChangeAspect="1"/>
                    </pic:cNvPicPr>
                  </pic:nvPicPr>
                  <pic:blipFill>
                    <a:blip r:embed="rId43"/>
                    <a:stretch>
                      <a:fillRect/>
                    </a:stretch>
                  </pic:blipFill>
                  <pic:spPr bwMode="auto">
                    <a:xfrm>
                      <a:off x="0" y="0"/>
                      <a:ext cx="5334000" cy="1546860"/>
                    </a:xfrm>
                    <a:prstGeom prst="rect">
                      <a:avLst/>
                    </a:prstGeom>
                    <a:noFill/>
                    <a:ln w="9525">
                      <a:noFill/>
                      <a:headEnd/>
                      <a:tailEnd/>
                    </a:ln>
                  </pic:spPr>
                </pic:pic>
              </a:graphicData>
            </a:graphic>
          </wp:inline>
        </w:drawing>
      </w:r>
    </w:p>
    <w:p>
      <w:pPr>
        <w:pStyle w:val="ImageCaption"/>
      </w:pPr>
      <w:r>
        <w:t xml:space="preserve">Fig S6. Cost composition of the prison only scenario and the scenarios that met both targets. Shares use the median cost of each item.</w:t>
      </w:r>
    </w:p>
    <w:p>
      <w:pPr>
        <w:pStyle w:val="CaptionedFigure"/>
      </w:pPr>
      <w:r>
        <w:drawing>
          <wp:inline>
            <wp:extent cx="5334000" cy="3333749"/>
            <wp:effectExtent b="0" l="0" r="0" t="0"/>
            <wp:docPr descr="Fig S7. Discounted costs and treatment starts by group, 2026 to 2030. Segments show the median for each group. Labels show the median total." title="" id="47" name="Picture"/>
            <a:graphic>
              <a:graphicData uri="http://schemas.openxmlformats.org/drawingml/2006/picture">
                <pic:pic>
                  <pic:nvPicPr>
                    <pic:cNvPr descr="/Users/yichenhe/Documents/Work/HepC-Transimission-Modelling/output/scenarios_2026/scenario_cumulative_costs.png" id="48" name="Picture"/>
                    <pic:cNvPicPr>
                      <a:picLocks noChangeArrowheads="1" noChangeAspect="1"/>
                    </pic:cNvPicPr>
                  </pic:nvPicPr>
                  <pic:blipFill>
                    <a:blip r:embed="rId46"/>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 S7. Discounted costs and treatment starts by group, 2026 to 2030. Segments show the median for each group. Labels show the median total.</w:t>
      </w:r>
    </w:p>
    <w:bookmarkEnd w:id="49"/>
    <w:bookmarkStart w:id="50" w:name="cost-sensitivity"/>
    <w:p>
      <w:pPr>
        <w:pStyle w:val="Heading2"/>
      </w:pPr>
      <w:r>
        <w:t xml:space="preserve">4.3 Cost sensitivity</w:t>
      </w:r>
    </w:p>
    <w:p>
      <w:pPr>
        <w:pStyle w:val="FirstParagraph"/>
      </w:pPr>
      <w:r>
        <w:t xml:space="preserve">Table S11 scales all unit costs by 0.5, 1 and 1.5. Epidemiological results do not change.</w:t>
      </w:r>
    </w:p>
    <w:p>
      <w:pPr>
        <w:pStyle w:val="BodyText"/>
      </w:pPr>
      <w:r>
        <w:rPr>
          <w:b/>
          <w:bCs/>
        </w:rPr>
        <w:t xml:space="preserve">Table S11. Total discounted cost (S$ million) under unit cost multipliers.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0.5 times</w:t>
            </w:r>
          </w:p>
        </w:tc>
        <w:tc>
          <w:tcPr/>
          <w:p>
            <w:pPr>
              <w:pStyle w:val="Compact"/>
            </w:pPr>
            <w:r>
              <w:t xml:space="preserve">1 times</w:t>
            </w:r>
          </w:p>
        </w:tc>
        <w:tc>
          <w:tcPr/>
          <w:p>
            <w:pPr>
              <w:pStyle w:val="Compact"/>
            </w:pPr>
            <w:r>
              <w:t xml:space="preserve">1.5 times</w:t>
            </w:r>
          </w:p>
        </w:tc>
      </w:tr>
      <w:tr>
        <w:tc>
          <w:tcPr/>
          <w:p>
            <w:pPr>
              <w:pStyle w:val="Compact"/>
            </w:pPr>
            <w:r>
              <w:t xml:space="preserve">Prison treatment only (J only)</w:t>
            </w:r>
          </w:p>
        </w:tc>
        <w:tc>
          <w:tcPr/>
          <w:p>
            <w:pPr>
              <w:pStyle w:val="Compact"/>
            </w:pPr>
            <w:r>
              <w:t xml:space="preserve">S$11.9 (95% UI: S$10.0–S$14.2)</w:t>
            </w:r>
          </w:p>
        </w:tc>
        <w:tc>
          <w:tcPr/>
          <w:p>
            <w:pPr>
              <w:pStyle w:val="Compact"/>
            </w:pPr>
            <w:r>
              <w:t xml:space="preserve">S$23.8 (95% UI: S$20.0–S$28.5)</w:t>
            </w:r>
          </w:p>
        </w:tc>
        <w:tc>
          <w:tcPr/>
          <w:p>
            <w:pPr>
              <w:pStyle w:val="Compact"/>
            </w:pPr>
            <w:r>
              <w:t xml:space="preserve">S$35.6 (95% UI: S$30.0–S$42.7)</w:t>
            </w:r>
          </w:p>
        </w:tc>
      </w:tr>
      <w:tr>
        <w:tc>
          <w:tcPr/>
          <w:p>
            <w:pPr>
              <w:pStyle w:val="Compact"/>
            </w:pPr>
            <w:r>
              <w:t xml:space="preserve">J + 600/year, F 25%</w:t>
            </w:r>
          </w:p>
        </w:tc>
        <w:tc>
          <w:tcPr/>
          <w:p>
            <w:pPr>
              <w:pStyle w:val="Compact"/>
            </w:pPr>
            <w:r>
              <w:t xml:space="preserve">S$15.6 (95% UI: S$13.7–S$18.0)</w:t>
            </w:r>
          </w:p>
        </w:tc>
        <w:tc>
          <w:tcPr/>
          <w:p>
            <w:pPr>
              <w:pStyle w:val="Compact"/>
            </w:pPr>
            <w:r>
              <w:t xml:space="preserve">S$31.1 (95% UI: S$27.4–S$35.9)</w:t>
            </w:r>
          </w:p>
        </w:tc>
        <w:tc>
          <w:tcPr/>
          <w:p>
            <w:pPr>
              <w:pStyle w:val="Compact"/>
            </w:pPr>
            <w:r>
              <w:t xml:space="preserve">S$46.7 (95% UI: S$41.0–S$53.9)</w:t>
            </w:r>
          </w:p>
        </w:tc>
      </w:tr>
      <w:tr>
        <w:tc>
          <w:tcPr/>
          <w:p>
            <w:pPr>
              <w:pStyle w:val="Compact"/>
            </w:pPr>
            <w:r>
              <w:t xml:space="preserve">J + 1,000/year, F 25%</w:t>
            </w:r>
          </w:p>
        </w:tc>
        <w:tc>
          <w:tcPr/>
          <w:p>
            <w:pPr>
              <w:pStyle w:val="Compact"/>
            </w:pPr>
            <w:r>
              <w:t xml:space="preserve">S$17.8 (95% UI: S$15.9–S$20.2)</w:t>
            </w:r>
          </w:p>
        </w:tc>
        <w:tc>
          <w:tcPr/>
          <w:p>
            <w:pPr>
              <w:pStyle w:val="Compact"/>
            </w:pPr>
            <w:r>
              <w:t xml:space="preserve">S$35.6 (95% UI: S$31.7–S$40.5)</w:t>
            </w:r>
          </w:p>
        </w:tc>
        <w:tc>
          <w:tcPr/>
          <w:p>
            <w:pPr>
              <w:pStyle w:val="Compact"/>
            </w:pPr>
            <w:r>
              <w:t xml:space="preserve">S$53.4 (95% UI: S$47.6–S$60.7)</w:t>
            </w:r>
          </w:p>
        </w:tc>
      </w:tr>
      <w:tr>
        <w:tc>
          <w:tcPr/>
          <w:p>
            <w:pPr>
              <w:pStyle w:val="Compact"/>
            </w:pPr>
            <w:r>
              <w:t xml:space="preserve">J + 2,000/year, F 25%</w:t>
            </w:r>
          </w:p>
        </w:tc>
        <w:tc>
          <w:tcPr/>
          <w:p>
            <w:pPr>
              <w:pStyle w:val="Compact"/>
            </w:pPr>
            <w:r>
              <w:t xml:space="preserve">S$22.6 (95% UI: S$20.5–S$25.1)</w:t>
            </w:r>
          </w:p>
        </w:tc>
        <w:tc>
          <w:tcPr/>
          <w:p>
            <w:pPr>
              <w:pStyle w:val="Compact"/>
            </w:pPr>
            <w:r>
              <w:t xml:space="preserve">S$45.3 (95% UI: S$41.0–S$50.2)</w:t>
            </w:r>
          </w:p>
        </w:tc>
        <w:tc>
          <w:tcPr/>
          <w:p>
            <w:pPr>
              <w:pStyle w:val="Compact"/>
            </w:pPr>
            <w:r>
              <w:t xml:space="preserve">S$67.9 (95% UI: S$61.5–S$75.2)</w:t>
            </w:r>
          </w:p>
        </w:tc>
      </w:tr>
      <w:tr>
        <w:tc>
          <w:tcPr/>
          <w:p>
            <w:pPr>
              <w:pStyle w:val="Compact"/>
            </w:pPr>
            <w:r>
              <w:t xml:space="preserve">J + 5,000/year, F 25%</w:t>
            </w:r>
          </w:p>
        </w:tc>
        <w:tc>
          <w:tcPr/>
          <w:p>
            <w:pPr>
              <w:pStyle w:val="Compact"/>
            </w:pPr>
            <w:r>
              <w:t xml:space="preserve">S$32.6 (95% UI: S$29.9–S$35.4)</w:t>
            </w:r>
          </w:p>
        </w:tc>
        <w:tc>
          <w:tcPr/>
          <w:p>
            <w:pPr>
              <w:pStyle w:val="Compact"/>
            </w:pPr>
            <w:r>
              <w:t xml:space="preserve">S$65.2 (95% UI: S$59.8–S$70.8)</w:t>
            </w:r>
          </w:p>
        </w:tc>
        <w:tc>
          <w:tcPr/>
          <w:p>
            <w:pPr>
              <w:pStyle w:val="Compact"/>
            </w:pPr>
            <w:r>
              <w:t xml:space="preserve">S$97.7 (95% UI: S$89.7–S$106.1)</w:t>
            </w:r>
          </w:p>
        </w:tc>
      </w:tr>
      <w:tr>
        <w:tc>
          <w:tcPr/>
          <w:p>
            <w:pPr>
              <w:pStyle w:val="Compact"/>
            </w:pPr>
            <w:r>
              <w:t xml:space="preserve">J + 8,000/year, F 25%</w:t>
            </w:r>
          </w:p>
        </w:tc>
        <w:tc>
          <w:tcPr/>
          <w:p>
            <w:pPr>
              <w:pStyle w:val="Compact"/>
            </w:pPr>
            <w:r>
              <w:t xml:space="preserve">S$39.0 (95% UI: S$35.6–S$42.3)</w:t>
            </w:r>
          </w:p>
        </w:tc>
        <w:tc>
          <w:tcPr/>
          <w:p>
            <w:pPr>
              <w:pStyle w:val="Compact"/>
            </w:pPr>
            <w:r>
              <w:t xml:space="preserve">S$77.9 (95% UI: S$71.3–S$84.7)</w:t>
            </w:r>
          </w:p>
        </w:tc>
        <w:tc>
          <w:tcPr/>
          <w:p>
            <w:pPr>
              <w:pStyle w:val="Compact"/>
            </w:pPr>
            <w:r>
              <w:t xml:space="preserve">S$116.9 (95% UI: S$106.9–S$127.0)</w:t>
            </w:r>
          </w:p>
        </w:tc>
      </w:tr>
      <w:tr>
        <w:tc>
          <w:tcPr/>
          <w:p>
            <w:pPr>
              <w:pStyle w:val="Compact"/>
            </w:pPr>
            <w:r>
              <w:t xml:space="preserve">J + 600/year, F 50%</w:t>
            </w:r>
          </w:p>
        </w:tc>
        <w:tc>
          <w:tcPr/>
          <w:p>
            <w:pPr>
              <w:pStyle w:val="Compact"/>
            </w:pPr>
            <w:r>
              <w:t xml:space="preserve">S$13.7 (95% UI: S$11.9–S$16.0)</w:t>
            </w:r>
          </w:p>
        </w:tc>
        <w:tc>
          <w:tcPr/>
          <w:p>
            <w:pPr>
              <w:pStyle w:val="Compact"/>
            </w:pPr>
            <w:r>
              <w:t xml:space="preserve">S$27.5 (95% UI: S$23.8–S$32.1)</w:t>
            </w:r>
          </w:p>
        </w:tc>
        <w:tc>
          <w:tcPr/>
          <w:p>
            <w:pPr>
              <w:pStyle w:val="Compact"/>
            </w:pPr>
            <w:r>
              <w:t xml:space="preserve">S$41.2 (95% UI: S$35.7–S$48.1)</w:t>
            </w:r>
          </w:p>
        </w:tc>
      </w:tr>
      <w:tr>
        <w:tc>
          <w:tcPr/>
          <w:p>
            <w:pPr>
              <w:pStyle w:val="Compact"/>
            </w:pPr>
            <w:r>
              <w:t xml:space="preserve">J + 1,000/year, F 50%</w:t>
            </w:r>
          </w:p>
        </w:tc>
        <w:tc>
          <w:tcPr/>
          <w:p>
            <w:pPr>
              <w:pStyle w:val="Compact"/>
            </w:pPr>
            <w:r>
              <w:t xml:space="preserve">S$14.9 (95% UI: S$13.1–S$17.1)</w:t>
            </w:r>
          </w:p>
        </w:tc>
        <w:tc>
          <w:tcPr/>
          <w:p>
            <w:pPr>
              <w:pStyle w:val="Compact"/>
            </w:pPr>
            <w:r>
              <w:t xml:space="preserve">S$29.7 (95% UI: S$26.2–S$34.2)</w:t>
            </w:r>
          </w:p>
        </w:tc>
        <w:tc>
          <w:tcPr/>
          <w:p>
            <w:pPr>
              <w:pStyle w:val="Compact"/>
            </w:pPr>
            <w:r>
              <w:t xml:space="preserve">S$44.6 (95% UI: S$39.3–S$51.3)</w:t>
            </w:r>
          </w:p>
        </w:tc>
      </w:tr>
      <w:tr>
        <w:tc>
          <w:tcPr/>
          <w:p>
            <w:pPr>
              <w:pStyle w:val="Compact"/>
            </w:pPr>
            <w:r>
              <w:t xml:space="preserve">J + 2,000/year, F 50%</w:t>
            </w:r>
          </w:p>
        </w:tc>
        <w:tc>
          <w:tcPr/>
          <w:p>
            <w:pPr>
              <w:pStyle w:val="Compact"/>
            </w:pPr>
            <w:r>
              <w:t xml:space="preserve">S$17.5 (95% UI: S$15.8–S$19.6)</w:t>
            </w:r>
          </w:p>
        </w:tc>
        <w:tc>
          <w:tcPr/>
          <w:p>
            <w:pPr>
              <w:pStyle w:val="Compact"/>
            </w:pPr>
            <w:r>
              <w:t xml:space="preserve">S$35.1 (95% UI: S$31.6–S$39.1)</w:t>
            </w:r>
          </w:p>
        </w:tc>
        <w:tc>
          <w:tcPr/>
          <w:p>
            <w:pPr>
              <w:pStyle w:val="Compact"/>
            </w:pPr>
            <w:r>
              <w:t xml:space="preserve">S$52.6 (95% UI: S$47.5–S$58.7)</w:t>
            </w:r>
          </w:p>
        </w:tc>
      </w:tr>
      <w:tr>
        <w:tc>
          <w:tcPr/>
          <w:p>
            <w:pPr>
              <w:pStyle w:val="Compact"/>
            </w:pPr>
            <w:r>
              <w:t xml:space="preserve">J + 5,000/year, F 50%</w:t>
            </w:r>
          </w:p>
        </w:tc>
        <w:tc>
          <w:tcPr/>
          <w:p>
            <w:pPr>
              <w:pStyle w:val="Compact"/>
            </w:pPr>
            <w:r>
              <w:t xml:space="preserve">S$26.5 (95% UI: S$24.4–S$28.7)</w:t>
            </w:r>
          </w:p>
        </w:tc>
        <w:tc>
          <w:tcPr/>
          <w:p>
            <w:pPr>
              <w:pStyle w:val="Compact"/>
            </w:pPr>
            <w:r>
              <w:t xml:space="preserve">S$52.9 (95% UI: S$48.8–S$57.5)</w:t>
            </w:r>
          </w:p>
        </w:tc>
        <w:tc>
          <w:tcPr/>
          <w:p>
            <w:pPr>
              <w:pStyle w:val="Compact"/>
            </w:pPr>
            <w:r>
              <w:t xml:space="preserve">S$79.4 (95% UI: S$73.2–S$86.2)</w:t>
            </w:r>
          </w:p>
        </w:tc>
      </w:tr>
      <w:tr>
        <w:tc>
          <w:tcPr/>
          <w:p>
            <w:pPr>
              <w:pStyle w:val="Compact"/>
            </w:pPr>
            <w:r>
              <w:t xml:space="preserve">J + 8,000/year, F 50%</w:t>
            </w:r>
          </w:p>
        </w:tc>
        <w:tc>
          <w:tcPr/>
          <w:p>
            <w:pPr>
              <w:pStyle w:val="Compact"/>
            </w:pPr>
            <w:r>
              <w:t xml:space="preserve">S$33.2 (95% UI: S$30.5–S$35.9)</w:t>
            </w:r>
          </w:p>
        </w:tc>
        <w:tc>
          <w:tcPr/>
          <w:p>
            <w:pPr>
              <w:pStyle w:val="Compact"/>
            </w:pPr>
            <w:r>
              <w:t xml:space="preserve">S$66.4 (95% UI: S$61.1–S$71.8)</w:t>
            </w:r>
          </w:p>
        </w:tc>
        <w:tc>
          <w:tcPr/>
          <w:p>
            <w:pPr>
              <w:pStyle w:val="Compact"/>
            </w:pPr>
            <w:r>
              <w:t xml:space="preserve">S$99.6 (95% UI: S$91.6–S$107.7)</w:t>
            </w:r>
          </w:p>
        </w:tc>
      </w:tr>
      <w:tr>
        <w:tc>
          <w:tcPr/>
          <w:p>
            <w:pPr>
              <w:pStyle w:val="Compact"/>
            </w:pPr>
            <w:r>
              <w:t xml:space="preserve">J + 600/year, F 75%</w:t>
            </w:r>
          </w:p>
        </w:tc>
        <w:tc>
          <w:tcPr/>
          <w:p>
            <w:pPr>
              <w:pStyle w:val="Compact"/>
            </w:pPr>
            <w:r>
              <w:t xml:space="preserve">S$11.8 (95% UI: S$10.1–S$14.0)</w:t>
            </w:r>
          </w:p>
        </w:tc>
        <w:tc>
          <w:tcPr/>
          <w:p>
            <w:pPr>
              <w:pStyle w:val="Compact"/>
            </w:pPr>
            <w:r>
              <w:t xml:space="preserve">S$23.7 (95% UI: S$20.2–S$28.1)</w:t>
            </w:r>
          </w:p>
        </w:tc>
        <w:tc>
          <w:tcPr/>
          <w:p>
            <w:pPr>
              <w:pStyle w:val="Compact"/>
            </w:pPr>
            <w:r>
              <w:t xml:space="preserve">S$35.5 (95% UI: S$30.4–S$42.1)</w:t>
            </w:r>
          </w:p>
        </w:tc>
      </w:tr>
      <w:tr>
        <w:tc>
          <w:tcPr/>
          <w:p>
            <w:pPr>
              <w:pStyle w:val="Compact"/>
            </w:pPr>
            <w:r>
              <w:t xml:space="preserve">J + 1,000/year, F 75%</w:t>
            </w:r>
          </w:p>
        </w:tc>
        <w:tc>
          <w:tcPr/>
          <w:p>
            <w:pPr>
              <w:pStyle w:val="Compact"/>
            </w:pPr>
            <w:r>
              <w:t xml:space="preserve">S$11.8 (95% UI: S$10.3–S$13.9)</w:t>
            </w:r>
          </w:p>
        </w:tc>
        <w:tc>
          <w:tcPr/>
          <w:p>
            <w:pPr>
              <w:pStyle w:val="Compact"/>
            </w:pPr>
            <w:r>
              <w:t xml:space="preserve">S$23.7 (95% UI: S$20.5–S$27.8)</w:t>
            </w:r>
          </w:p>
        </w:tc>
        <w:tc>
          <w:tcPr/>
          <w:p>
            <w:pPr>
              <w:pStyle w:val="Compact"/>
            </w:pPr>
            <w:r>
              <w:t xml:space="preserve">S$35.5 (95% UI: S$30.8–S$41.7)</w:t>
            </w:r>
          </w:p>
        </w:tc>
      </w:tr>
      <w:tr>
        <w:tc>
          <w:tcPr/>
          <w:p>
            <w:pPr>
              <w:pStyle w:val="Compact"/>
            </w:pPr>
            <w:r>
              <w:t xml:space="preserve">J + 2,000/year, F 75%</w:t>
            </w:r>
          </w:p>
        </w:tc>
        <w:tc>
          <w:tcPr/>
          <w:p>
            <w:pPr>
              <w:pStyle w:val="Compact"/>
            </w:pPr>
            <w:r>
              <w:t xml:space="preserve">S$12.6 (95% UI: S$11.3–S$14.3)</w:t>
            </w:r>
          </w:p>
        </w:tc>
        <w:tc>
          <w:tcPr/>
          <w:p>
            <w:pPr>
              <w:pStyle w:val="Compact"/>
            </w:pPr>
            <w:r>
              <w:t xml:space="preserve">S$25.2 (95% UI: S$22.5–S$28.5)</w:t>
            </w:r>
          </w:p>
        </w:tc>
        <w:tc>
          <w:tcPr/>
          <w:p>
            <w:pPr>
              <w:pStyle w:val="Compact"/>
            </w:pPr>
            <w:r>
              <w:t xml:space="preserve">S$37.9 (95% UI: S$33.8–S$42.8)</w:t>
            </w:r>
          </w:p>
        </w:tc>
      </w:tr>
      <w:tr>
        <w:tc>
          <w:tcPr/>
          <w:p>
            <w:pPr>
              <w:pStyle w:val="Compact"/>
            </w:pPr>
            <w:r>
              <w:t xml:space="preserve">J + 5,000/year, F 75%</w:t>
            </w:r>
          </w:p>
        </w:tc>
        <w:tc>
          <w:tcPr/>
          <w:p>
            <w:pPr>
              <w:pStyle w:val="Compact"/>
            </w:pPr>
            <w:r>
              <w:t xml:space="preserve">S$18.6 (95% UI: S$17.0–S$20.4)</w:t>
            </w:r>
          </w:p>
        </w:tc>
        <w:tc>
          <w:tcPr/>
          <w:p>
            <w:pPr>
              <w:pStyle w:val="Compact"/>
            </w:pPr>
            <w:r>
              <w:t xml:space="preserve">S$37.2 (95% UI: S$34.0–S$40.8)</w:t>
            </w:r>
          </w:p>
        </w:tc>
        <w:tc>
          <w:tcPr/>
          <w:p>
            <w:pPr>
              <w:pStyle w:val="Compact"/>
            </w:pPr>
            <w:r>
              <w:t xml:space="preserve">S$55.8 (95% UI: S$51.0–S$61.2)</w:t>
            </w:r>
          </w:p>
        </w:tc>
      </w:tr>
      <w:tr>
        <w:tc>
          <w:tcPr/>
          <w:p>
            <w:pPr>
              <w:pStyle w:val="Compact"/>
            </w:pPr>
            <w:r>
              <w:t xml:space="preserve">J + 8,000/year, F 75%</w:t>
            </w:r>
          </w:p>
        </w:tc>
        <w:tc>
          <w:tcPr/>
          <w:p>
            <w:pPr>
              <w:pStyle w:val="Compact"/>
            </w:pPr>
            <w:r>
              <w:t xml:space="preserve">S$23.6 (95% UI: S$21.7–S$25.7)</w:t>
            </w:r>
          </w:p>
        </w:tc>
        <w:tc>
          <w:tcPr/>
          <w:p>
            <w:pPr>
              <w:pStyle w:val="Compact"/>
            </w:pPr>
            <w:r>
              <w:t xml:space="preserve">S$47.2 (95% UI: S$43.5–S$51.4)</w:t>
            </w:r>
          </w:p>
        </w:tc>
        <w:tc>
          <w:tcPr/>
          <w:p>
            <w:pPr>
              <w:pStyle w:val="Compact"/>
            </w:pPr>
            <w:r>
              <w:t xml:space="preserve">S$70.8 (95% UI: S$65.2–S$77.1)</w:t>
            </w:r>
          </w:p>
        </w:tc>
      </w:tr>
      <w:tr>
        <w:tc>
          <w:tcPr/>
          <w:p>
            <w:pPr>
              <w:pStyle w:val="Compact"/>
            </w:pPr>
            <w:r>
              <w:t xml:space="preserve">J + no screening cap</w:t>
            </w:r>
          </w:p>
        </w:tc>
        <w:tc>
          <w:tcPr/>
          <w:p>
            <w:pPr>
              <w:pStyle w:val="Compact"/>
            </w:pPr>
            <w:r>
              <w:t xml:space="preserve">S$47.6 (95% UI: S$42.7–S$52.8)</w:t>
            </w:r>
          </w:p>
        </w:tc>
        <w:tc>
          <w:tcPr/>
          <w:p>
            <w:pPr>
              <w:pStyle w:val="Compact"/>
            </w:pPr>
            <w:r>
              <w:t xml:space="preserve">S$95.2 (95% UI: S$85.4–S$105.7)</w:t>
            </w:r>
          </w:p>
        </w:tc>
        <w:tc>
          <w:tcPr/>
          <w:p>
            <w:pPr>
              <w:pStyle w:val="Compact"/>
            </w:pPr>
            <w:r>
              <w:t xml:space="preserve">S$142.8 (95% UI: S$128.1–S$158.5)</w:t>
            </w:r>
          </w:p>
        </w:tc>
      </w:tr>
    </w:tbl>
    <w:bookmarkEnd w:id="50"/>
    <w:bookmarkEnd w:id="51"/>
    <w:bookmarkStart w:id="52" w:name="uncertainty-analysis-and-software"/>
    <w:p>
      <w:pPr>
        <w:pStyle w:val="Heading1"/>
      </w:pPr>
      <w:r>
        <w:t xml:space="preserve">5. Uncertainty analysis and software</w:t>
      </w:r>
    </w:p>
    <w:p>
      <w:pPr>
        <w:pStyle w:val="FirstParagraph"/>
      </w:pPr>
      <w:r>
        <w:t xml:space="preserve">We sampled 2,000 parameter sets at random without replacement from the 16,000 MCMC posterior draws, using sampling seed 20261005. For each set we ran the full pipeline. This included the 150 year equilibrium, the equilibrium check, the shared history from 2016 to 2025, the no treatment counterfactual and all 17 scenarios to 2030. All 2,000 draws passed the equilibrium check. Derived quantities such as reductions, costs and incremental costs were computed within each draw before summarising. We report the median and the 2.5th and 97.5th percentiles. A scenario met a target if its median reduction met the threshold. We also report the share of draws meeting both targets.</w:t>
      </w:r>
    </w:p>
    <w:p>
      <w:pPr>
        <w:pStyle w:val="BodyText"/>
      </w:pPr>
      <w:r>
        <w:t xml:space="preserve">The model was solved in C++ through Rcpp</w:t>
      </w:r>
      <w:r>
        <w:t xml:space="preserve"> </w:t>
      </w:r>
      <w:r>
        <w:t xml:space="preserve">[27]</w:t>
      </w:r>
      <w:r>
        <w:t xml:space="preserve"> </w:t>
      </w:r>
      <w:r>
        <w:t xml:space="preserve">with a daily time step. MCMC ran in R. Neural posterior estimation used Python, PyTorch and sbi</w:t>
      </w:r>
      <w:r>
        <w:t xml:space="preserve"> </w:t>
      </w:r>
      <w:r>
        <w:t xml:space="preserve">[20]</w:t>
      </w:r>
      <w:r>
        <w:t xml:space="preserve">. The MCMC posterior took about 3.8 hours on four processor cores. The scenario analysis of 2,000 draws took about 17 minutes on 14 cores. The project test suite (63 checks) passed.</w:t>
      </w:r>
    </w:p>
    <w:bookmarkEnd w:id="52"/>
    <w:bookmarkStart w:id="53" w:name="further-limitations"/>
    <w:p>
      <w:pPr>
        <w:pStyle w:val="Heading1"/>
      </w:pPr>
      <w:r>
        <w:t xml:space="preserve">6. Further limitations</w:t>
      </w:r>
    </w:p>
    <w:p>
      <w:pPr>
        <w:pStyle w:val="Compact"/>
        <w:numPr>
          <w:ilvl w:val="0"/>
          <w:numId w:val="1003"/>
        </w:numPr>
      </w:pPr>
      <w:r>
        <w:rPr>
          <w:b/>
          <w:bCs/>
        </w:rPr>
        <w:t xml:space="preserve">Population scope.</w:t>
      </w:r>
      <w:r>
        <w:t xml:space="preserve"> </w:t>
      </w:r>
      <w:r>
        <w:t xml:space="preserve">The model includes only people with a history of injecting drugs. It does not include other routes of infection or the general population. National elimination needs national data</w:t>
      </w:r>
      <w:r>
        <w:t xml:space="preserve"> </w:t>
      </w:r>
      <w:r>
        <w:t xml:space="preserve">[28,29]</w:t>
      </w:r>
      <w:r>
        <w:t xml:space="preserve">.</w:t>
      </w:r>
    </w:p>
    <w:p>
      <w:pPr>
        <w:pStyle w:val="Compact"/>
        <w:numPr>
          <w:ilvl w:val="0"/>
          <w:numId w:val="1003"/>
        </w:numPr>
      </w:pPr>
      <w:r>
        <w:rPr>
          <w:b/>
          <w:bCs/>
        </w:rPr>
        <w:t xml:space="preserve">Prison treatment history.</w:t>
      </w:r>
      <w:r>
        <w:t xml:space="preserve"> </w:t>
      </w:r>
      <w:r>
        <w:t xml:space="preserve">The 2019 prison treatment rate is an assumption. The model was not fitted to observed treatment numbers. In a Singapore prison cohort, 681 people were treated in 2019</w:t>
      </w:r>
      <w:r>
        <w:t xml:space="preserve"> </w:t>
      </w:r>
      <w:r>
        <w:t xml:space="preserve">[30]</w:t>
      </w:r>
      <w:r>
        <w:t xml:space="preserve">. The model gave 145 (95% UI: 126–168) prison treatment starts in 2026 because most prevalent cases had been treated by then.</w:t>
      </w:r>
    </w:p>
    <w:p>
      <w:pPr>
        <w:pStyle w:val="Compact"/>
        <w:numPr>
          <w:ilvl w:val="0"/>
          <w:numId w:val="1003"/>
        </w:numPr>
      </w:pPr>
      <w:r>
        <w:rPr>
          <w:b/>
          <w:bCs/>
        </w:rPr>
        <w:t xml:space="preserve">Linkage to care.</w:t>
      </w:r>
      <w:r>
        <w:t xml:space="preserve"> </w:t>
      </w:r>
      <w:r>
        <w:t xml:space="preserve">Screening, confirmation and treatment start were assumed to be complete. Real linkage is lower</w:t>
      </w:r>
      <w:r>
        <w:t xml:space="preserve"> </w:t>
      </w:r>
      <w:r>
        <w:t xml:space="preserve">[31,32]</w:t>
      </w:r>
      <w:r>
        <w:t xml:space="preserve">.</w:t>
      </w:r>
    </w:p>
    <w:p>
      <w:pPr>
        <w:pStyle w:val="Compact"/>
        <w:numPr>
          <w:ilvl w:val="0"/>
          <w:numId w:val="1003"/>
        </w:numPr>
      </w:pPr>
      <w:r>
        <w:rPr>
          <w:b/>
          <w:bCs/>
        </w:rPr>
        <w:t xml:space="preserve">Group X.</w:t>
      </w:r>
      <w:r>
        <w:t xml:space="preserve"> </w:t>
      </w:r>
      <w:r>
        <w:t xml:space="preserve">People in X cannot relapse or be reinfected. Relapse would add transmission and reinfection.</w:t>
      </w:r>
    </w:p>
    <w:p>
      <w:pPr>
        <w:pStyle w:val="Compact"/>
        <w:numPr>
          <w:ilvl w:val="0"/>
          <w:numId w:val="1003"/>
        </w:numPr>
      </w:pPr>
      <w:r>
        <w:rPr>
          <w:b/>
          <w:bCs/>
        </w:rPr>
        <w:t xml:space="preserve">Event counts.</w:t>
      </w:r>
      <w:r>
        <w:t xml:space="preserve"> </w:t>
      </w:r>
      <w:r>
        <w:t xml:space="preserve">Outcomes are annual event counts in the modelled population. They are not rates per person.</w:t>
      </w:r>
    </w:p>
    <w:p>
      <w:pPr>
        <w:pStyle w:val="Compact"/>
        <w:numPr>
          <w:ilvl w:val="0"/>
          <w:numId w:val="1003"/>
        </w:numPr>
      </w:pPr>
      <w:r>
        <w:rPr>
          <w:b/>
          <w:bCs/>
        </w:rPr>
        <w:t xml:space="preserve">Costs.</w:t>
      </w:r>
      <w:r>
        <w:t xml:space="preserve"> </w:t>
      </w:r>
      <w:r>
        <w:t xml:space="preserve">Prices are public list prices and an older drug price. Many programme costs are not included.</w:t>
      </w:r>
    </w:p>
    <w:p>
      <w:pPr>
        <w:pStyle w:val="Compact"/>
        <w:numPr>
          <w:ilvl w:val="0"/>
          <w:numId w:val="1003"/>
        </w:numPr>
      </w:pPr>
      <w:r>
        <w:rPr>
          <w:b/>
          <w:bCs/>
        </w:rPr>
        <w:t xml:space="preserve">Uncertainty.</w:t>
      </w:r>
      <w:r>
        <w:t xml:space="preserve"> </w:t>
      </w:r>
      <w:r>
        <w:t xml:space="preserve">The UIs reflect calibrated parameters only. Fixed natural history parameters, uptake and price were not varied.</w:t>
      </w:r>
    </w:p>
    <w:p>
      <w:pPr>
        <w:pStyle w:val="Compact"/>
        <w:numPr>
          <w:ilvl w:val="0"/>
          <w:numId w:val="1003"/>
        </w:numPr>
      </w:pPr>
      <w:r>
        <w:rPr>
          <w:b/>
          <w:bCs/>
        </w:rPr>
        <w:t xml:space="preserve">Prior.</w:t>
      </w:r>
      <w:r>
        <w:t xml:space="preserve"> </w:t>
      </w:r>
      <w:r>
        <w:t xml:space="preserve">The prior was centred on a deterministic fit to the same 12 observations. For θ6, θ9 and θ12 the posterior standard deviation was 85% to 102% of the prior standard deviation, so the 0.20 prior width partly sets their uncertainty.</w:t>
      </w:r>
    </w:p>
    <w:bookmarkEnd w:id="53"/>
    <w:bookmarkStart w:id="54" w:name="cheers-2022-checklist"/>
    <w:p>
      <w:pPr>
        <w:pStyle w:val="Heading1"/>
      </w:pPr>
      <w:r>
        <w:t xml:space="preserve">7. CHEERS 2022 checklist</w:t>
      </w:r>
    </w:p>
    <w:p>
      <w:pPr>
        <w:pStyle w:val="FirstParagraph"/>
      </w:pPr>
      <w:r>
        <w:rPr>
          <w:b/>
          <w:bCs/>
        </w:rPr>
        <w:t xml:space="preserve">Table S12. CHEERS 2022 items and where they are reported.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Item</w:t>
            </w:r>
          </w:p>
        </w:tc>
        <w:tc>
          <w:tcPr/>
          <w:p>
            <w:pPr>
              <w:pStyle w:val="Compact"/>
            </w:pPr>
            <w:r>
              <w:t xml:space="preserve">Location</w:t>
            </w:r>
          </w:p>
        </w:tc>
      </w:tr>
      <w:tr>
        <w:tc>
          <w:tcPr/>
          <w:p>
            <w:pPr>
              <w:pStyle w:val="Compact"/>
            </w:pPr>
            <w:r>
              <w:t xml:space="preserve">1</w:t>
            </w:r>
          </w:p>
        </w:tc>
        <w:tc>
          <w:tcPr/>
          <w:p>
            <w:pPr>
              <w:pStyle w:val="Compact"/>
            </w:pPr>
            <w:r>
              <w:t xml:space="preserve">Title</w:t>
            </w:r>
          </w:p>
        </w:tc>
        <w:tc>
          <w:tcPr/>
          <w:p>
            <w:pPr>
              <w:pStyle w:val="Compact"/>
            </w:pPr>
            <w:r>
              <w:t xml:space="preserve">Title page</w:t>
            </w:r>
          </w:p>
        </w:tc>
      </w:tr>
      <w:tr>
        <w:tc>
          <w:tcPr/>
          <w:p>
            <w:pPr>
              <w:pStyle w:val="Compact"/>
            </w:pPr>
            <w:r>
              <w:t xml:space="preserve">2</w:t>
            </w:r>
          </w:p>
        </w:tc>
        <w:tc>
          <w:tcPr/>
          <w:p>
            <w:pPr>
              <w:pStyle w:val="Compact"/>
            </w:pPr>
            <w:r>
              <w:t xml:space="preserve">Abstract</w:t>
            </w:r>
          </w:p>
        </w:tc>
        <w:tc>
          <w:tcPr/>
          <w:p>
            <w:pPr>
              <w:pStyle w:val="Compact"/>
            </w:pPr>
            <w:r>
              <w:t xml:space="preserve">Abstract</w:t>
            </w:r>
          </w:p>
        </w:tc>
      </w:tr>
      <w:tr>
        <w:tc>
          <w:tcPr/>
          <w:p>
            <w:pPr>
              <w:pStyle w:val="Compact"/>
            </w:pPr>
            <w:r>
              <w:t xml:space="preserve">3</w:t>
            </w:r>
          </w:p>
        </w:tc>
        <w:tc>
          <w:tcPr/>
          <w:p>
            <w:pPr>
              <w:pStyle w:val="Compact"/>
            </w:pPr>
            <w:r>
              <w:t xml:space="preserve">Background and objectives</w:t>
            </w:r>
          </w:p>
        </w:tc>
        <w:tc>
          <w:tcPr/>
          <w:p>
            <w:pPr>
              <w:pStyle w:val="Compact"/>
            </w:pPr>
            <w:r>
              <w:t xml:space="preserve">Introduction</w:t>
            </w:r>
          </w:p>
        </w:tc>
      </w:tr>
      <w:tr>
        <w:tc>
          <w:tcPr/>
          <w:p>
            <w:pPr>
              <w:pStyle w:val="Compact"/>
            </w:pPr>
            <w:r>
              <w:t xml:space="preserve">4</w:t>
            </w:r>
          </w:p>
        </w:tc>
        <w:tc>
          <w:tcPr/>
          <w:p>
            <w:pPr>
              <w:pStyle w:val="Compact"/>
            </w:pPr>
            <w:r>
              <w:t xml:space="preserve">Health economic analysis plan</w:t>
            </w:r>
          </w:p>
        </w:tc>
        <w:tc>
          <w:tcPr/>
          <w:p>
            <w:pPr>
              <w:pStyle w:val="Compact"/>
            </w:pPr>
            <w:r>
              <w:t xml:space="preserve">Methods, Study design (no prospective plan)</w:t>
            </w:r>
          </w:p>
        </w:tc>
      </w:tr>
      <w:tr>
        <w:tc>
          <w:tcPr/>
          <w:p>
            <w:pPr>
              <w:pStyle w:val="Compact"/>
            </w:pPr>
            <w:r>
              <w:t xml:space="preserve">5</w:t>
            </w:r>
          </w:p>
        </w:tc>
        <w:tc>
          <w:tcPr/>
          <w:p>
            <w:pPr>
              <w:pStyle w:val="Compact"/>
            </w:pPr>
            <w:r>
              <w:t xml:space="preserve">Study population</w:t>
            </w:r>
          </w:p>
        </w:tc>
        <w:tc>
          <w:tcPr/>
          <w:p>
            <w:pPr>
              <w:pStyle w:val="Compact"/>
            </w:pPr>
            <w:r>
              <w:t xml:space="preserve">Methods, Model structure</w:t>
            </w:r>
          </w:p>
        </w:tc>
      </w:tr>
      <w:tr>
        <w:tc>
          <w:tcPr/>
          <w:p>
            <w:pPr>
              <w:pStyle w:val="Compact"/>
            </w:pPr>
            <w:r>
              <w:t xml:space="preserve">6</w:t>
            </w:r>
          </w:p>
        </w:tc>
        <w:tc>
          <w:tcPr/>
          <w:p>
            <w:pPr>
              <w:pStyle w:val="Compact"/>
            </w:pPr>
            <w:r>
              <w:t xml:space="preserve">Setting and location</w:t>
            </w:r>
          </w:p>
        </w:tc>
        <w:tc>
          <w:tcPr/>
          <w:p>
            <w:pPr>
              <w:pStyle w:val="Compact"/>
            </w:pPr>
            <w:r>
              <w:t xml:space="preserve">Introduction, Methods</w:t>
            </w:r>
          </w:p>
        </w:tc>
      </w:tr>
      <w:tr>
        <w:tc>
          <w:tcPr/>
          <w:p>
            <w:pPr>
              <w:pStyle w:val="Compact"/>
            </w:pPr>
            <w:r>
              <w:t xml:space="preserve">7</w:t>
            </w:r>
          </w:p>
        </w:tc>
        <w:tc>
          <w:tcPr/>
          <w:p>
            <w:pPr>
              <w:pStyle w:val="Compact"/>
            </w:pPr>
            <w:r>
              <w:t xml:space="preserve">Comparators</w:t>
            </w:r>
          </w:p>
        </w:tc>
        <w:tc>
          <w:tcPr/>
          <w:p>
            <w:pPr>
              <w:pStyle w:val="Compact"/>
            </w:pPr>
            <w:r>
              <w:t xml:space="preserve">Methods, Treatment and screening scenarios</w:t>
            </w:r>
          </w:p>
        </w:tc>
      </w:tr>
      <w:tr>
        <w:tc>
          <w:tcPr/>
          <w:p>
            <w:pPr>
              <w:pStyle w:val="Compact"/>
            </w:pPr>
            <w:r>
              <w:t xml:space="preserve">8</w:t>
            </w:r>
          </w:p>
        </w:tc>
        <w:tc>
          <w:tcPr/>
          <w:p>
            <w:pPr>
              <w:pStyle w:val="Compact"/>
            </w:pPr>
            <w:r>
              <w:t xml:space="preserve">Perspective</w:t>
            </w:r>
          </w:p>
        </w:tc>
        <w:tc>
          <w:tcPr/>
          <w:p>
            <w:pPr>
              <w:pStyle w:val="Compact"/>
            </w:pPr>
            <w:r>
              <w:t xml:space="preserve">Methods, Outcomes (health service costs only)</w:t>
            </w:r>
          </w:p>
        </w:tc>
      </w:tr>
      <w:tr>
        <w:tc>
          <w:tcPr/>
          <w:p>
            <w:pPr>
              <w:pStyle w:val="Compact"/>
            </w:pPr>
            <w:r>
              <w:t xml:space="preserve">9</w:t>
            </w:r>
          </w:p>
        </w:tc>
        <w:tc>
          <w:tcPr/>
          <w:p>
            <w:pPr>
              <w:pStyle w:val="Compact"/>
            </w:pPr>
            <w:r>
              <w:t xml:space="preserve">Time horizon</w:t>
            </w:r>
          </w:p>
        </w:tc>
        <w:tc>
          <w:tcPr/>
          <w:p>
            <w:pPr>
              <w:pStyle w:val="Compact"/>
            </w:pPr>
            <w:r>
              <w:t xml:space="preserve">Methods, Outcomes (2026 to 2030)</w:t>
            </w:r>
          </w:p>
        </w:tc>
      </w:tr>
      <w:tr>
        <w:tc>
          <w:tcPr/>
          <w:p>
            <w:pPr>
              <w:pStyle w:val="Compact"/>
            </w:pPr>
            <w:r>
              <w:t xml:space="preserve">10</w:t>
            </w:r>
          </w:p>
        </w:tc>
        <w:tc>
          <w:tcPr/>
          <w:p>
            <w:pPr>
              <w:pStyle w:val="Compact"/>
            </w:pPr>
            <w:r>
              <w:t xml:space="preserve">Discount rate</w:t>
            </w:r>
          </w:p>
        </w:tc>
        <w:tc>
          <w:tcPr/>
          <w:p>
            <w:pPr>
              <w:pStyle w:val="Compact"/>
            </w:pPr>
            <w:r>
              <w:t xml:space="preserve">Methods, Outcomes; S1 Text 3.4</w:t>
            </w:r>
          </w:p>
        </w:tc>
      </w:tr>
      <w:tr>
        <w:tc>
          <w:tcPr/>
          <w:p>
            <w:pPr>
              <w:pStyle w:val="Compact"/>
            </w:pPr>
            <w:r>
              <w:t xml:space="preserve">11</w:t>
            </w:r>
          </w:p>
        </w:tc>
        <w:tc>
          <w:tcPr/>
          <w:p>
            <w:pPr>
              <w:pStyle w:val="Compact"/>
            </w:pPr>
            <w:r>
              <w:t xml:space="preserve">Selection of outcomes</w:t>
            </w:r>
          </w:p>
        </w:tc>
        <w:tc>
          <w:tcPr/>
          <w:p>
            <w:pPr>
              <w:pStyle w:val="Compact"/>
            </w:pPr>
            <w:r>
              <w:t xml:space="preserve">Methods, Outcomes</w:t>
            </w:r>
          </w:p>
        </w:tc>
      </w:tr>
      <w:tr>
        <w:tc>
          <w:tcPr/>
          <w:p>
            <w:pPr>
              <w:pStyle w:val="Compact"/>
            </w:pPr>
            <w:r>
              <w:t xml:space="preserve">12</w:t>
            </w:r>
          </w:p>
        </w:tc>
        <w:tc>
          <w:tcPr/>
          <w:p>
            <w:pPr>
              <w:pStyle w:val="Compact"/>
            </w:pPr>
            <w:r>
              <w:t xml:space="preserve">Measurement of outcomes</w:t>
            </w:r>
          </w:p>
        </w:tc>
        <w:tc>
          <w:tcPr/>
          <w:p>
            <w:pPr>
              <w:pStyle w:val="Compact"/>
            </w:pPr>
            <w:r>
              <w:t xml:space="preserve">Methods, Outcomes; S1 Text 3.3</w:t>
            </w:r>
          </w:p>
        </w:tc>
      </w:tr>
      <w:tr>
        <w:tc>
          <w:tcPr/>
          <w:p>
            <w:pPr>
              <w:pStyle w:val="Compact"/>
            </w:pPr>
            <w:r>
              <w:t xml:space="preserve">13</w:t>
            </w:r>
          </w:p>
        </w:tc>
        <w:tc>
          <w:tcPr/>
          <w:p>
            <w:pPr>
              <w:pStyle w:val="Compact"/>
            </w:pPr>
            <w:r>
              <w:t xml:space="preserve">Valuation of outcomes</w:t>
            </w:r>
          </w:p>
        </w:tc>
        <w:tc>
          <w:tcPr/>
          <w:p>
            <w:pPr>
              <w:pStyle w:val="Compact"/>
            </w:pPr>
            <w:r>
              <w:t xml:space="preserve">Not applicable (no utility weights)</w:t>
            </w:r>
          </w:p>
        </w:tc>
      </w:tr>
      <w:tr>
        <w:tc>
          <w:tcPr/>
          <w:p>
            <w:pPr>
              <w:pStyle w:val="Compact"/>
            </w:pPr>
            <w:r>
              <w:t xml:space="preserve">14</w:t>
            </w:r>
          </w:p>
        </w:tc>
        <w:tc>
          <w:tcPr/>
          <w:p>
            <w:pPr>
              <w:pStyle w:val="Compact"/>
            </w:pPr>
            <w:r>
              <w:t xml:space="preserve">Measurement and valuation of resources and costs</w:t>
            </w:r>
          </w:p>
        </w:tc>
        <w:tc>
          <w:tcPr/>
          <w:p>
            <w:pPr>
              <w:pStyle w:val="Compact"/>
            </w:pPr>
            <w:r>
              <w:t xml:space="preserve">S1 Text 3.4</w:t>
            </w:r>
          </w:p>
        </w:tc>
      </w:tr>
      <w:tr>
        <w:tc>
          <w:tcPr/>
          <w:p>
            <w:pPr>
              <w:pStyle w:val="Compact"/>
            </w:pPr>
            <w:r>
              <w:t xml:space="preserve">15</w:t>
            </w:r>
          </w:p>
        </w:tc>
        <w:tc>
          <w:tcPr/>
          <w:p>
            <w:pPr>
              <w:pStyle w:val="Compact"/>
            </w:pPr>
            <w:r>
              <w:t xml:space="preserve">Currency, price date and conversion</w:t>
            </w:r>
          </w:p>
        </w:tc>
        <w:tc>
          <w:tcPr/>
          <w:p>
            <w:pPr>
              <w:pStyle w:val="Compact"/>
            </w:pPr>
            <w:r>
              <w:t xml:space="preserve">S1 Text 3.4</w:t>
            </w:r>
          </w:p>
        </w:tc>
      </w:tr>
      <w:tr>
        <w:tc>
          <w:tcPr/>
          <w:p>
            <w:pPr>
              <w:pStyle w:val="Compact"/>
            </w:pPr>
            <w:r>
              <w:t xml:space="preserve">16</w:t>
            </w:r>
          </w:p>
        </w:tc>
        <w:tc>
          <w:tcPr/>
          <w:p>
            <w:pPr>
              <w:pStyle w:val="Compact"/>
            </w:pPr>
            <w:r>
              <w:t xml:space="preserve">Rationale and description of model</w:t>
            </w:r>
          </w:p>
        </w:tc>
        <w:tc>
          <w:tcPr/>
          <w:p>
            <w:pPr>
              <w:pStyle w:val="Compact"/>
            </w:pPr>
            <w:r>
              <w:t xml:space="preserve">Methods; S1 Text 1</w:t>
            </w:r>
          </w:p>
        </w:tc>
      </w:tr>
      <w:tr>
        <w:tc>
          <w:tcPr/>
          <w:p>
            <w:pPr>
              <w:pStyle w:val="Compact"/>
            </w:pPr>
            <w:r>
              <w:t xml:space="preserve">17</w:t>
            </w:r>
          </w:p>
        </w:tc>
        <w:tc>
          <w:tcPr/>
          <w:p>
            <w:pPr>
              <w:pStyle w:val="Compact"/>
            </w:pPr>
            <w:r>
              <w:t xml:space="preserve">Analytics and assumptions</w:t>
            </w:r>
          </w:p>
        </w:tc>
        <w:tc>
          <w:tcPr/>
          <w:p>
            <w:pPr>
              <w:pStyle w:val="Compact"/>
            </w:pPr>
            <w:r>
              <w:t xml:space="preserve">S1 Text 1.5, 3</w:t>
            </w:r>
          </w:p>
        </w:tc>
      </w:tr>
      <w:tr>
        <w:tc>
          <w:tcPr/>
          <w:p>
            <w:pPr>
              <w:pStyle w:val="Compact"/>
            </w:pPr>
            <w:r>
              <w:t xml:space="preserve">18</w:t>
            </w:r>
          </w:p>
        </w:tc>
        <w:tc>
          <w:tcPr/>
          <w:p>
            <w:pPr>
              <w:pStyle w:val="Compact"/>
            </w:pPr>
            <w:r>
              <w:t xml:space="preserve">Characterising heterogeneity</w:t>
            </w:r>
          </w:p>
        </w:tc>
        <w:tc>
          <w:tcPr/>
          <w:p>
            <w:pPr>
              <w:pStyle w:val="Compact"/>
            </w:pPr>
            <w:r>
              <w:t xml:space="preserve">Results by group and age structure in model</w:t>
            </w:r>
          </w:p>
        </w:tc>
      </w:tr>
      <w:tr>
        <w:tc>
          <w:tcPr/>
          <w:p>
            <w:pPr>
              <w:pStyle w:val="Compact"/>
            </w:pPr>
            <w:r>
              <w:t xml:space="preserve">19</w:t>
            </w:r>
          </w:p>
        </w:tc>
        <w:tc>
          <w:tcPr/>
          <w:p>
            <w:pPr>
              <w:pStyle w:val="Compact"/>
            </w:pPr>
            <w:r>
              <w:t xml:space="preserve">Characterising distributional effects</w:t>
            </w:r>
          </w:p>
        </w:tc>
        <w:tc>
          <w:tcPr/>
          <w:p>
            <w:pPr>
              <w:pStyle w:val="Compact"/>
            </w:pPr>
            <w:r>
              <w:t xml:space="preserve">Not assessed</w:t>
            </w:r>
          </w:p>
        </w:tc>
      </w:tr>
      <w:tr>
        <w:tc>
          <w:tcPr/>
          <w:p>
            <w:pPr>
              <w:pStyle w:val="Compact"/>
            </w:pPr>
            <w:r>
              <w:t xml:space="preserve">20</w:t>
            </w:r>
          </w:p>
        </w:tc>
        <w:tc>
          <w:tcPr/>
          <w:p>
            <w:pPr>
              <w:pStyle w:val="Compact"/>
            </w:pPr>
            <w:r>
              <w:t xml:space="preserve">Characterising uncertainty</w:t>
            </w:r>
          </w:p>
        </w:tc>
        <w:tc>
          <w:tcPr/>
          <w:p>
            <w:pPr>
              <w:pStyle w:val="Compact"/>
            </w:pPr>
            <w:r>
              <w:t xml:space="preserve">Methods, Uncertainty analysis; S1 Text 2.4, 2.5, 4.3, 5</w:t>
            </w:r>
          </w:p>
        </w:tc>
      </w:tr>
      <w:tr>
        <w:tc>
          <w:tcPr/>
          <w:p>
            <w:pPr>
              <w:pStyle w:val="Compact"/>
            </w:pPr>
            <w:r>
              <w:t xml:space="preserve">21</w:t>
            </w:r>
          </w:p>
        </w:tc>
        <w:tc>
          <w:tcPr/>
          <w:p>
            <w:pPr>
              <w:pStyle w:val="Compact"/>
            </w:pPr>
            <w:r>
              <w:t xml:space="preserve">Approach to engagement with patients and others affected by the study</w:t>
            </w:r>
          </w:p>
        </w:tc>
        <w:tc>
          <w:tcPr/>
          <w:p>
            <w:pPr>
              <w:pStyle w:val="Compact"/>
            </w:pPr>
            <w:r>
              <w:t xml:space="preserve">No engagement</w:t>
            </w:r>
          </w:p>
        </w:tc>
      </w:tr>
      <w:tr>
        <w:tc>
          <w:tcPr/>
          <w:p>
            <w:pPr>
              <w:pStyle w:val="Compact"/>
            </w:pPr>
            <w:r>
              <w:t xml:space="preserve">22</w:t>
            </w:r>
          </w:p>
        </w:tc>
        <w:tc>
          <w:tcPr/>
          <w:p>
            <w:pPr>
              <w:pStyle w:val="Compact"/>
            </w:pPr>
            <w:r>
              <w:t xml:space="preserve">Study parameters</w:t>
            </w:r>
          </w:p>
        </w:tc>
        <w:tc>
          <w:tcPr/>
          <w:p>
            <w:pPr>
              <w:pStyle w:val="Compact"/>
            </w:pPr>
            <w:r>
              <w:t xml:space="preserve">S1 Text Tables S1 to S8</w:t>
            </w:r>
          </w:p>
        </w:tc>
      </w:tr>
      <w:tr>
        <w:tc>
          <w:tcPr/>
          <w:p>
            <w:pPr>
              <w:pStyle w:val="Compact"/>
            </w:pPr>
            <w:r>
              <w:t xml:space="preserve">23</w:t>
            </w:r>
          </w:p>
        </w:tc>
        <w:tc>
          <w:tcPr/>
          <w:p>
            <w:pPr>
              <w:pStyle w:val="Compact"/>
            </w:pPr>
            <w:r>
              <w:t xml:space="preserve">Summary of main results</w:t>
            </w:r>
          </w:p>
        </w:tc>
        <w:tc>
          <w:tcPr/>
          <w:p>
            <w:pPr>
              <w:pStyle w:val="Compact"/>
            </w:pPr>
            <w:r>
              <w:t xml:space="preserve">Results; Table 1</w:t>
            </w:r>
          </w:p>
        </w:tc>
      </w:tr>
      <w:tr>
        <w:tc>
          <w:tcPr/>
          <w:p>
            <w:pPr>
              <w:pStyle w:val="Compact"/>
            </w:pPr>
            <w:r>
              <w:t xml:space="preserve">24</w:t>
            </w:r>
          </w:p>
        </w:tc>
        <w:tc>
          <w:tcPr/>
          <w:p>
            <w:pPr>
              <w:pStyle w:val="Compact"/>
            </w:pPr>
            <w:r>
              <w:t xml:space="preserve">Effect of uncertainty</w:t>
            </w:r>
          </w:p>
        </w:tc>
        <w:tc>
          <w:tcPr/>
          <w:p>
            <w:pPr>
              <w:pStyle w:val="Compact"/>
            </w:pPr>
            <w:r>
              <w:t xml:space="preserve">Results; S1 Text 2.5, 4.3</w:t>
            </w:r>
          </w:p>
        </w:tc>
      </w:tr>
      <w:tr>
        <w:tc>
          <w:tcPr/>
          <w:p>
            <w:pPr>
              <w:pStyle w:val="Compact"/>
            </w:pPr>
            <w:r>
              <w:t xml:space="preserve">25</w:t>
            </w:r>
          </w:p>
        </w:tc>
        <w:tc>
          <w:tcPr/>
          <w:p>
            <w:pPr>
              <w:pStyle w:val="Compact"/>
            </w:pPr>
            <w:r>
              <w:t xml:space="preserve">Effect of engagement with patients and others affected by the study</w:t>
            </w:r>
          </w:p>
        </w:tc>
        <w:tc>
          <w:tcPr/>
          <w:p>
            <w:pPr>
              <w:pStyle w:val="Compact"/>
            </w:pPr>
            <w:r>
              <w:t xml:space="preserve">Not applicable</w:t>
            </w:r>
          </w:p>
        </w:tc>
      </w:tr>
      <w:tr>
        <w:tc>
          <w:tcPr/>
          <w:p>
            <w:pPr>
              <w:pStyle w:val="Compact"/>
            </w:pPr>
            <w:r>
              <w:t xml:space="preserve">26</w:t>
            </w:r>
          </w:p>
        </w:tc>
        <w:tc>
          <w:tcPr/>
          <w:p>
            <w:pPr>
              <w:pStyle w:val="Compact"/>
            </w:pPr>
            <w:r>
              <w:t xml:space="preserve">Study findings, limitations, generalisability and current knowledge</w:t>
            </w:r>
          </w:p>
        </w:tc>
        <w:tc>
          <w:tcPr/>
          <w:p>
            <w:pPr>
              <w:pStyle w:val="Compact"/>
            </w:pPr>
            <w:r>
              <w:t xml:space="preserve">Discussion</w:t>
            </w:r>
          </w:p>
        </w:tc>
      </w:tr>
      <w:tr>
        <w:tc>
          <w:tcPr/>
          <w:p>
            <w:pPr>
              <w:pStyle w:val="Compact"/>
            </w:pPr>
            <w:r>
              <w:t xml:space="preserve">27</w:t>
            </w:r>
          </w:p>
        </w:tc>
        <w:tc>
          <w:tcPr/>
          <w:p>
            <w:pPr>
              <w:pStyle w:val="Compact"/>
            </w:pPr>
            <w:r>
              <w:t xml:space="preserve">Source of funding</w:t>
            </w:r>
          </w:p>
        </w:tc>
        <w:tc>
          <w:tcPr/>
          <w:p>
            <w:pPr>
              <w:pStyle w:val="Compact"/>
            </w:pPr>
            <w:r>
              <w:t xml:space="preserve">Funding statement</w:t>
            </w:r>
          </w:p>
        </w:tc>
      </w:tr>
      <w:tr>
        <w:tc>
          <w:tcPr/>
          <w:p>
            <w:pPr>
              <w:pStyle w:val="Compact"/>
            </w:pPr>
            <w:r>
              <w:t xml:space="preserve">28</w:t>
            </w:r>
          </w:p>
        </w:tc>
        <w:tc>
          <w:tcPr/>
          <w:p>
            <w:pPr>
              <w:pStyle w:val="Compact"/>
            </w:pPr>
            <w:r>
              <w:t xml:space="preserve">Conflicts of interest</w:t>
            </w:r>
          </w:p>
        </w:tc>
        <w:tc>
          <w:tcPr/>
          <w:p>
            <w:pPr>
              <w:pStyle w:val="Compact"/>
            </w:pPr>
            <w:r>
              <w:t xml:space="preserve">Competing interests statement</w:t>
            </w:r>
          </w:p>
        </w:tc>
      </w:tr>
    </w:tbl>
    <w:bookmarkEnd w:id="54"/>
    <w:bookmarkStart w:id="116" w:name="references"/>
    <w:p>
      <w:pPr>
        <w:pStyle w:val="Heading1"/>
      </w:pPr>
      <w:r>
        <w:t xml:space="preserve">References</w:t>
      </w:r>
    </w:p>
    <w:bookmarkStart w:id="115" w:name="refs"/>
    <w:bookmarkStart w:id="56" w:name="ref-boelen2014"/>
    <w:p>
      <w:pPr>
        <w:pStyle w:val="Bibliography"/>
      </w:pPr>
      <w:r>
        <w:t xml:space="preserve">1.</w:t>
      </w:r>
      <w:r>
        <w:t xml:space="preserve"> </w:t>
      </w:r>
      <w:r>
        <w:t xml:space="preserve">	</w:t>
      </w:r>
      <w:r>
        <w:t xml:space="preserve">Boelen L, Teutsch S, Wilson DP, Dolan K, Dore GJ, Lloyd AR, et al.</w:t>
      </w:r>
      <w:r>
        <w:t xml:space="preserve"> </w:t>
      </w:r>
      <w:r>
        <w:t xml:space="preserve">Per-Event Probability of Hepatitis C Infection during Sharing of Injecting Equipment</w:t>
      </w:r>
      <w:r>
        <w:t xml:space="preserve">. PLoS ONE. 2014;9: e100749. doi:</w:t>
      </w:r>
      <w:hyperlink r:id="rId55">
        <w:r>
          <w:rPr>
            <w:rStyle w:val="Hyperlink"/>
          </w:rPr>
          <w:t xml:space="preserve">10.1371/journal.pone.0100749</w:t>
        </w:r>
      </w:hyperlink>
    </w:p>
    <w:bookmarkEnd w:id="56"/>
    <w:bookmarkStart w:id="58" w:name="ref-fasano2024"/>
    <w:p>
      <w:pPr>
        <w:pStyle w:val="Bibliography"/>
      </w:pPr>
      <w:r>
        <w:t xml:space="preserve">2.</w:t>
      </w:r>
      <w:r>
        <w:t xml:space="preserve"> </w:t>
      </w:r>
      <w:r>
        <w:t xml:space="preserve">	</w:t>
      </w:r>
      <w:r>
        <w:t xml:space="preserve">Fasano M, Ieva F, Ciarallo M, Caccianotti B, Santantonio TA.</w:t>
      </w:r>
      <w:r>
        <w:t xml:space="preserve"> </w:t>
      </w:r>
      <w:r>
        <w:t xml:space="preserve">Acute Hepatitis C: Current Status and Future Perspectives</w:t>
      </w:r>
      <w:r>
        <w:t xml:space="preserve">. Viruses. 2024;16: 1739. doi:</w:t>
      </w:r>
      <w:hyperlink r:id="rId57">
        <w:r>
          <w:rPr>
            <w:rStyle w:val="Hyperlink"/>
          </w:rPr>
          <w:t xml:space="preserve">10.3390/v16111739</w:t>
        </w:r>
      </w:hyperlink>
    </w:p>
    <w:bookmarkEnd w:id="58"/>
    <w:bookmarkStart w:id="60" w:name="ref-tanaka2000"/>
    <w:p>
      <w:pPr>
        <w:pStyle w:val="Bibliography"/>
      </w:pPr>
      <w:r>
        <w:t xml:space="preserve">3.</w:t>
      </w:r>
      <w:r>
        <w:t xml:space="preserve"> </w:t>
      </w:r>
      <w:r>
        <w:t xml:space="preserve">	</w:t>
      </w:r>
      <w:r>
        <w:t xml:space="preserve">Tanaka E, Kiyosawa K.</w:t>
      </w:r>
      <w:r>
        <w:t xml:space="preserve"> </w:t>
      </w:r>
      <w:r>
        <w:t xml:space="preserve">Natural history of acute hepatitis C</w:t>
      </w:r>
      <w:r>
        <w:t xml:space="preserve">. Journal of Gastroenterology and Hepatology. 2000;15: E97–E104. doi:</w:t>
      </w:r>
      <w:hyperlink r:id="rId59">
        <w:r>
          <w:rPr>
            <w:rStyle w:val="Hyperlink"/>
          </w:rPr>
          <w:t xml:space="preserve">10.1046/j.1440-1746.2000.02112.x</w:t>
        </w:r>
      </w:hyperlink>
    </w:p>
    <w:bookmarkEnd w:id="60"/>
    <w:bookmarkStart w:id="62" w:name="ref-micallef2006"/>
    <w:p>
      <w:pPr>
        <w:pStyle w:val="Bibliography"/>
      </w:pPr>
      <w:r>
        <w:t xml:space="preserve">4.</w:t>
      </w:r>
      <w:r>
        <w:t xml:space="preserve"> </w:t>
      </w:r>
      <w:r>
        <w:t xml:space="preserve">	</w:t>
      </w:r>
      <w:r>
        <w:t xml:space="preserve">Micallef JM, Kaldor JM, Dore GJ.</w:t>
      </w:r>
      <w:r>
        <w:t xml:space="preserve"> </w:t>
      </w:r>
      <w:r>
        <w:t xml:space="preserve">Spontaneous viral clearance following acute hepatitis C infection: a systematic review of longitudinal studies</w:t>
      </w:r>
      <w:r>
        <w:t xml:space="preserve">. Journal of Viral Hepatitis. 2006;13: 34–41. doi:</w:t>
      </w:r>
      <w:hyperlink r:id="rId61">
        <w:r>
          <w:rPr>
            <w:rStyle w:val="Hyperlink"/>
          </w:rPr>
          <w:t xml:space="preserve">10.1111/j.1365-2893.2005.00651.x</w:t>
        </w:r>
      </w:hyperlink>
    </w:p>
    <w:bookmarkEnd w:id="62"/>
    <w:bookmarkStart w:id="64" w:name="ref-zhao2019"/>
    <w:p>
      <w:pPr>
        <w:pStyle w:val="Bibliography"/>
      </w:pPr>
      <w:r>
        <w:t xml:space="preserve">5.</w:t>
      </w:r>
      <w:r>
        <w:t xml:space="preserve"> </w:t>
      </w:r>
      <w:r>
        <w:t xml:space="preserve">	</w:t>
      </w:r>
      <w:r>
        <w:t xml:space="preserve">Zhao Y, Thurairajah PH, Kumar R, Tan J, Teo EK, Hsiang JC.</w:t>
      </w:r>
      <w:r>
        <w:t xml:space="preserve"> </w:t>
      </w:r>
      <w:r>
        <w:t xml:space="preserve">Novel non-invasive score to predict cirrhosis in the era of hepatitis C elimination: A population study of ex-substance users in Singapore</w:t>
      </w:r>
      <w:r>
        <w:t xml:space="preserve">. Hepatobiliary &amp; Pancreatic Diseases International. 2019;18: 143–148. doi:</w:t>
      </w:r>
      <w:hyperlink r:id="rId63">
        <w:r>
          <w:rPr>
            <w:rStyle w:val="Hyperlink"/>
          </w:rPr>
          <w:t xml:space="preserve">10.1016/j.hbpd.2018.12.002</w:t>
        </w:r>
      </w:hyperlink>
    </w:p>
    <w:bookmarkEnd w:id="64"/>
    <w:bookmarkStart w:id="66" w:name="ref-kanwal2014"/>
    <w:p>
      <w:pPr>
        <w:pStyle w:val="Bibliography"/>
      </w:pPr>
      <w:r>
        <w:t xml:space="preserve">6.</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65">
        <w:r>
          <w:rPr>
            <w:rStyle w:val="Hyperlink"/>
          </w:rPr>
          <w:t xml:space="preserve">10.1002/hep.27095</w:t>
        </w:r>
      </w:hyperlink>
    </w:p>
    <w:bookmarkEnd w:id="66"/>
    <w:bookmarkStart w:id="68" w:name="ref-vandermeer2012"/>
    <w:p>
      <w:pPr>
        <w:pStyle w:val="Bibliography"/>
      </w:pPr>
      <w:r>
        <w:t xml:space="preserve">7.</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67">
        <w:r>
          <w:rPr>
            <w:rStyle w:val="Hyperlink"/>
          </w:rPr>
          <w:t xml:space="preserve">10.1001/jama.2012.144878</w:t>
        </w:r>
      </w:hyperlink>
    </w:p>
    <w:bookmarkEnd w:id="68"/>
    <w:bookmarkStart w:id="70" w:name="ref-morgan2013"/>
    <w:p>
      <w:pPr>
        <w:pStyle w:val="Bibliography"/>
      </w:pPr>
      <w:r>
        <w:t xml:space="preserve">8.</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69">
        <w:r>
          <w:rPr>
            <w:rStyle w:val="Hyperlink"/>
          </w:rPr>
          <w:t xml:space="preserve">10.7326/0003-4819-158-5-201303050-00005</w:t>
        </w:r>
      </w:hyperlink>
    </w:p>
    <w:bookmarkEnd w:id="70"/>
    <w:bookmarkStart w:id="72" w:name="ref-premkumar2024"/>
    <w:p>
      <w:pPr>
        <w:pStyle w:val="Bibliography"/>
      </w:pPr>
      <w:r>
        <w:t xml:space="preserve">9.</w:t>
      </w:r>
      <w:r>
        <w:t xml:space="preserve"> </w:t>
      </w:r>
      <w:r>
        <w:t xml:space="preserve">	</w:t>
      </w:r>
      <w:r>
        <w:t xml:space="preserve">Premkumar M, Dhiman RK, Duseja A, Mehtani R, Taneja S, Gupta E, et al.</w:t>
      </w:r>
      <w:r>
        <w:t xml:space="preserve"> </w:t>
      </w:r>
      <w:r>
        <w:t xml:space="preserve">Recompensation of Chronic Hepatitis C–Related Decompensated Cirrhosis Following Direct-Acting Antiviral Therapy: Prospective Cohort Study From a Hepatitis C Virus Elimination Program</w:t>
      </w:r>
      <w:r>
        <w:t xml:space="preserve">. Gastroenterology. 2024;167: 1429–1445. doi:</w:t>
      </w:r>
      <w:hyperlink r:id="rId71">
        <w:r>
          <w:rPr>
            <w:rStyle w:val="Hyperlink"/>
          </w:rPr>
          <w:t xml:space="preserve">10.1053/j.gastro.2024.08.018</w:t>
        </w:r>
      </w:hyperlink>
    </w:p>
    <w:bookmarkEnd w:id="72"/>
    <w:bookmarkStart w:id="74" w:name="ref-dang2020"/>
    <w:p>
      <w:pPr>
        <w:pStyle w:val="Bibliography"/>
      </w:pPr>
      <w:r>
        <w:t xml:space="preserve">10.</w:t>
      </w:r>
      <w:r>
        <w:t xml:space="preserve"> </w:t>
      </w:r>
      <w:r>
        <w:t xml:space="preserve">	</w:t>
      </w:r>
      <w:r>
        <w:t xml:space="preserve">Dang H, Yeo YH, Yasuda S, Huang C, Iio E, Landis C, et al.</w:t>
      </w:r>
      <w:r>
        <w:t xml:space="preserve"> </w:t>
      </w:r>
      <w:r>
        <w:t xml:space="preserve">Cure With Interferon‐Free Direct‐Acting Antiviral Is Associated With Increased Survival in Patients With Hepatitis C Virus‐Related Hepatocellular Carcinoma From Both East and West</w:t>
      </w:r>
      <w:r>
        <w:t xml:space="preserve">. Hepatology. 2020;71: 1910–1922. doi:</w:t>
      </w:r>
      <w:hyperlink r:id="rId73">
        <w:r>
          <w:rPr>
            <w:rStyle w:val="Hyperlink"/>
          </w:rPr>
          <w:t xml:space="preserve">10.1002/hep.30988</w:t>
        </w:r>
      </w:hyperlink>
    </w:p>
    <w:bookmarkEnd w:id="74"/>
    <w:bookmarkStart w:id="76" w:name="ref-mathers2013"/>
    <w:p>
      <w:pPr>
        <w:pStyle w:val="Bibliography"/>
      </w:pPr>
      <w:r>
        <w:t xml:space="preserve">11.</w:t>
      </w:r>
      <w:r>
        <w:t xml:space="preserve"> </w:t>
      </w:r>
      <w:r>
        <w:t xml:space="preserve">	</w:t>
      </w:r>
      <w:r>
        <w:t xml:space="preserve">Mathers BM, Degenhardt L, Bucello C, Lemon J, Wiessing L, Hickman M.</w:t>
      </w:r>
      <w:r>
        <w:t xml:space="preserve"> </w:t>
      </w:r>
      <w:r>
        <w:t xml:space="preserve">Mortality among people who inject drugs: a systematic review and meta-analysis</w:t>
      </w:r>
      <w:r>
        <w:t xml:space="preserve">. Bulletin of the World Health Organization. 2013;91: 102–123. doi:</w:t>
      </w:r>
      <w:hyperlink r:id="rId75">
        <w:r>
          <w:rPr>
            <w:rStyle w:val="Hyperlink"/>
          </w:rPr>
          <w:t xml:space="preserve">10.2471/blt.12.108282</w:t>
        </w:r>
      </w:hyperlink>
    </w:p>
    <w:bookmarkEnd w:id="76"/>
    <w:bookmarkStart w:id="78" w:name="ref-lim2018"/>
    <w:p>
      <w:pPr>
        <w:pStyle w:val="Bibliography"/>
      </w:pPr>
      <w:r>
        <w:t xml:space="preserve">12.</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7">
        <w:r>
          <w:rPr>
            <w:rStyle w:val="Hyperlink"/>
          </w:rPr>
          <w:t xml:space="preserve">10.1093/ije/dyx270</w:t>
        </w:r>
      </w:hyperlink>
    </w:p>
    <w:bookmarkEnd w:id="78"/>
    <w:bookmarkStart w:id="80" w:name="ref-pawlotsky2020"/>
    <w:p>
      <w:pPr>
        <w:pStyle w:val="Bibliography"/>
      </w:pPr>
      <w:r>
        <w:t xml:space="preserve">13.</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79">
        <w:r>
          <w:rPr>
            <w:rStyle w:val="Hyperlink"/>
          </w:rPr>
          <w:t xml:space="preserve">10.1016/j.jhep.2020.08.018</w:t>
        </w:r>
      </w:hyperlink>
    </w:p>
    <w:bookmarkEnd w:id="80"/>
    <w:bookmarkStart w:id="82" w:name="ref-xiao2025"/>
    <w:p>
      <w:pPr>
        <w:pStyle w:val="Bibliography"/>
      </w:pPr>
      <w:r>
        <w:t xml:space="preserve">14.</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1">
        <w:r>
          <w:rPr>
            <w:rStyle w:val="Hyperlink"/>
          </w:rPr>
          <w:t xml:space="preserve">10.1111/jvh.70078</w:t>
        </w:r>
      </w:hyperlink>
    </w:p>
    <w:bookmarkEnd w:id="82"/>
    <w:bookmarkStart w:id="84" w:name="ref-thein2008"/>
    <w:p>
      <w:pPr>
        <w:pStyle w:val="Bibliography"/>
      </w:pPr>
      <w:r>
        <w:t xml:space="preserve">15.</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83">
        <w:r>
          <w:rPr>
            <w:rStyle w:val="Hyperlink"/>
          </w:rPr>
          <w:t xml:space="preserve">10.1002/hep.22375</w:t>
        </w:r>
      </w:hyperlink>
    </w:p>
    <w:bookmarkEnd w:id="84"/>
    <w:bookmarkStart w:id="86" w:name="ref-singstat_drug"/>
    <w:p>
      <w:pPr>
        <w:pStyle w:val="Bibliography"/>
      </w:pPr>
      <w:r>
        <w:t xml:space="preserve">16.</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85">
        <w:r>
          <w:rPr>
            <w:rStyle w:val="Hyperlink"/>
          </w:rPr>
          <w:t xml:space="preserve">https://data.gov.sg/datasets/d_f174679381e9085e32869c32bdb01b87/view</w:t>
        </w:r>
      </w:hyperlink>
    </w:p>
    <w:bookmarkEnd w:id="86"/>
    <w:bookmarkStart w:id="88" w:name="ref-haario2001"/>
    <w:p>
      <w:pPr>
        <w:pStyle w:val="Bibliography"/>
      </w:pPr>
      <w:r>
        <w:t xml:space="preserve">17.</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87">
        <w:r>
          <w:rPr>
            <w:rStyle w:val="Hyperlink"/>
          </w:rPr>
          <w:t xml:space="preserve">10.2307/3318737</w:t>
        </w:r>
      </w:hyperlink>
    </w:p>
    <w:bookmarkEnd w:id="88"/>
    <w:bookmarkStart w:id="90" w:name="ref-vehtari2021"/>
    <w:p>
      <w:pPr>
        <w:pStyle w:val="Bibliography"/>
      </w:pPr>
      <w:r>
        <w:t xml:space="preserve">18.</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89">
        <w:r>
          <w:rPr>
            <w:rStyle w:val="Hyperlink"/>
          </w:rPr>
          <w:t xml:space="preserve">10.1214/20-BA1221</w:t>
        </w:r>
      </w:hyperlink>
    </w:p>
    <w:bookmarkEnd w:id="90"/>
    <w:bookmarkStart w:id="91" w:name="ref-greenberg2019"/>
    <w:p>
      <w:pPr>
        <w:pStyle w:val="Bibliography"/>
      </w:pPr>
      <w:r>
        <w:t xml:space="preserve">19.</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1"/>
    <w:bookmarkStart w:id="93" w:name="ref-sbi2020"/>
    <w:p>
      <w:pPr>
        <w:pStyle w:val="Bibliography"/>
      </w:pPr>
      <w:r>
        <w:t xml:space="preserve">20.</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2">
        <w:r>
          <w:rPr>
            <w:rStyle w:val="Hyperlink"/>
          </w:rPr>
          <w:t xml:space="preserve">10.21105/joss.02505</w:t>
        </w:r>
      </w:hyperlink>
    </w:p>
    <w:bookmarkEnd w:id="93"/>
    <w:bookmarkStart w:id="94" w:name="ref-papamakarios2017"/>
    <w:p>
      <w:pPr>
        <w:pStyle w:val="Bibliography"/>
      </w:pPr>
      <w:r>
        <w:t xml:space="preserve">21.</w:t>
      </w:r>
      <w:r>
        <w:t xml:space="preserve"> </w:t>
      </w:r>
      <w:r>
        <w:t xml:space="preserve">	</w:t>
      </w:r>
      <w:r>
        <w:t xml:space="preserve">Papamakarios G, Pavlakou T, Murray I.</w:t>
      </w:r>
      <w:r>
        <w:t xml:space="preserve"> </w:t>
      </w:r>
      <w:r>
        <w:t xml:space="preserve">Masked autoregressive flow for density estimation</w:t>
      </w:r>
      <w:r>
        <w:t xml:space="preserve">. Advances in neural information processing systems 30. 2017. pp. 2335–2344.</w:t>
      </w:r>
      <w:r>
        <w:t xml:space="preserve"> </w:t>
      </w:r>
    </w:p>
    <w:bookmarkEnd w:id="94"/>
    <w:bookmarkStart w:id="95" w:name="ref-talts2018"/>
    <w:p>
      <w:pPr>
        <w:pStyle w:val="Bibliography"/>
      </w:pPr>
      <w:r>
        <w:t xml:space="preserve">22.</w:t>
      </w:r>
      <w:r>
        <w:t xml:space="preserve"> </w:t>
      </w:r>
      <w:r>
        <w:t xml:space="preserve">	</w:t>
      </w:r>
      <w:r>
        <w:t xml:space="preserve">Talts S, Betancourt M, Simpson D, Vehtari A, Gelman A.</w:t>
      </w:r>
      <w:r>
        <w:t xml:space="preserve"> </w:t>
      </w:r>
      <w:r>
        <w:t xml:space="preserve">Validating Bayesian inference algorithms with simulation-based calibration</w:t>
      </w:r>
      <w:r>
        <w:t xml:space="preserve">. arXiv preprint. 2018.</w:t>
      </w:r>
      <w:r>
        <w:t xml:space="preserve"> </w:t>
      </w:r>
    </w:p>
    <w:bookmarkEnd w:id="95"/>
    <w:bookmarkStart w:id="97" w:name="ref-wong2019"/>
    <w:p>
      <w:pPr>
        <w:pStyle w:val="Bibliography"/>
      </w:pPr>
      <w:r>
        <w:t xml:space="preserve">23.</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6">
        <w:r>
          <w:rPr>
            <w:rStyle w:val="Hyperlink"/>
          </w:rPr>
          <w:t xml:space="preserve">10.1002/jgh3.12139</w:t>
        </w:r>
      </w:hyperlink>
    </w:p>
    <w:bookmarkEnd w:id="97"/>
    <w:bookmarkStart w:id="99" w:name="ref-sgd_rate"/>
    <w:p>
      <w:pPr>
        <w:pStyle w:val="Bibliography"/>
      </w:pPr>
      <w:r>
        <w:t xml:space="preserve">24.</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98">
        <w:r>
          <w:rPr>
            <w:rStyle w:val="Hyperlink"/>
          </w:rPr>
          <w:t xml:space="preserve">https://data.gov.sg/datasets/d_b09aeaf8eb591c4bfe347b66148c6b53/view</w:t>
        </w:r>
      </w:hyperlink>
    </w:p>
    <w:bookmarkEnd w:id="99"/>
    <w:bookmarkStart w:id="101" w:name="ref-nhg_dsc"/>
    <w:p>
      <w:pPr>
        <w:pStyle w:val="Bibliography"/>
      </w:pPr>
      <w:r>
        <w:t xml:space="preserve">25.</w:t>
      </w:r>
      <w:r>
        <w:t xml:space="preserve"> </w:t>
      </w:r>
      <w:r>
        <w:t xml:space="preserve">	</w:t>
      </w:r>
      <w:r>
        <w:t xml:space="preserve">National Healthcare Group.</w:t>
      </w:r>
      <w:r>
        <w:t xml:space="preserve"> </w:t>
      </w:r>
      <w:r>
        <w:t xml:space="preserve">DSC clinic charges</w:t>
      </w:r>
      <w:r>
        <w:t xml:space="preserve">. Available:</w:t>
      </w:r>
      <w:r>
        <w:t xml:space="preserve"> </w:t>
      </w:r>
      <w:hyperlink r:id="rId100">
        <w:r>
          <w:rPr>
            <w:rStyle w:val="Hyperlink"/>
          </w:rPr>
          <w:t xml:space="preserve">https://www.nhghealth.com.sg/nsc/about-dsc-clinic/dsc-patient-information/dsc-services/clinic-charges/</w:t>
        </w:r>
      </w:hyperlink>
    </w:p>
    <w:bookmarkEnd w:id="101"/>
    <w:bookmarkStart w:id="103" w:name="ref-parkway_rna"/>
    <w:p>
      <w:pPr>
        <w:pStyle w:val="Bibliography"/>
      </w:pPr>
      <w:r>
        <w:t xml:space="preserve">26.</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2">
        <w:r>
          <w:rPr>
            <w:rStyle w:val="Hyperlink"/>
          </w:rPr>
          <w:t xml:space="preserve">https://www.parkwaylabs.com.sg/docs/parkwaylablibraries/test-catalogues/send-out-test-price.pdf</w:t>
        </w:r>
      </w:hyperlink>
    </w:p>
    <w:bookmarkEnd w:id="103"/>
    <w:bookmarkStart w:id="105" w:name="ref-rcpp2011"/>
    <w:p>
      <w:pPr>
        <w:pStyle w:val="Bibliography"/>
      </w:pPr>
      <w:r>
        <w:t xml:space="preserve">27.</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4">
        <w:r>
          <w:rPr>
            <w:rStyle w:val="Hyperlink"/>
          </w:rPr>
          <w:t xml:space="preserve">10.18637/jss.v040.i08</w:t>
        </w:r>
      </w:hyperlink>
    </w:p>
    <w:bookmarkEnd w:id="105"/>
    <w:bookmarkStart w:id="106" w:name="ref-who2023validation"/>
    <w:p>
      <w:pPr>
        <w:pStyle w:val="Bibliography"/>
      </w:pPr>
      <w:r>
        <w:t xml:space="preserve">28.</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106"/>
    <w:bookmarkStart w:id="108" w:name="ref-cda_hcv"/>
    <w:p>
      <w:pPr>
        <w:pStyle w:val="Bibliography"/>
      </w:pPr>
      <w:r>
        <w:t xml:space="preserve">29.</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107">
        <w:r>
          <w:rPr>
            <w:rStyle w:val="Hyperlink"/>
          </w:rPr>
          <w:t xml:space="preserve">https://www.cda.gov.sg/professionals/diseases/hepatitis-c/</w:t>
        </w:r>
      </w:hyperlink>
    </w:p>
    <w:bookmarkEnd w:id="108"/>
    <w:bookmarkStart w:id="110" w:name="ref-prison2021"/>
    <w:p>
      <w:pPr>
        <w:pStyle w:val="Bibliography"/>
      </w:pPr>
      <w:r>
        <w:t xml:space="preserve">30.</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109">
        <w:r>
          <w:rPr>
            <w:rStyle w:val="Hyperlink"/>
          </w:rPr>
          <w:t xml:space="preserve">10.3350/cmh.2021.0015</w:t>
        </w:r>
      </w:hyperlink>
    </w:p>
    <w:bookmarkEnd w:id="110"/>
    <w:bookmarkStart w:id="112" w:name="ref-hsiang2022"/>
    <w:p>
      <w:pPr>
        <w:pStyle w:val="Bibliography"/>
      </w:pPr>
      <w:r>
        <w:t xml:space="preserve">31.</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11">
        <w:r>
          <w:rPr>
            <w:rStyle w:val="Hyperlink"/>
          </w:rPr>
          <w:t xml:space="preserve">10.11622/smedj.2020116</w:t>
        </w:r>
      </w:hyperlink>
    </w:p>
    <w:bookmarkEnd w:id="112"/>
    <w:bookmarkStart w:id="114" w:name="ref-clink2022"/>
    <w:p>
      <w:pPr>
        <w:pStyle w:val="Bibliography"/>
      </w:pPr>
      <w:r>
        <w:t xml:space="preserve">32.</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3">
        <w:r>
          <w:rPr>
            <w:rStyle w:val="Hyperlink"/>
          </w:rPr>
          <w:t xml:space="preserve">10.1093/ofid/ofac350</w:t>
        </w:r>
      </w:hyperlink>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98" Target="https://data.gov.sg/datasets/d_b09aeaf8eb591c4bfe347b66148c6b53/view" TargetMode="External" /><Relationship Type="http://schemas.openxmlformats.org/officeDocument/2006/relationships/hyperlink" Id="rId85"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3"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96"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79"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113" Target="https://doi.org/10.1093/ofid/ofac350" TargetMode="External" /><Relationship Type="http://schemas.openxmlformats.org/officeDocument/2006/relationships/hyperlink" Id="rId61" Target="https://doi.org/10.1111/j.1365-2893.2005.00651.x" TargetMode="External" /><Relationship Type="http://schemas.openxmlformats.org/officeDocument/2006/relationships/hyperlink" Id="rId81" Target="https://doi.org/10.1111/jvh.70078" TargetMode="External" /><Relationship Type="http://schemas.openxmlformats.org/officeDocument/2006/relationships/hyperlink" Id="rId111" Target="https://doi.org/10.11622/smedj.2020116" TargetMode="External" /><Relationship Type="http://schemas.openxmlformats.org/officeDocument/2006/relationships/hyperlink" Id="rId89"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4" Target="https://doi.org/10.18637/jss.v040.i08" TargetMode="External" /><Relationship Type="http://schemas.openxmlformats.org/officeDocument/2006/relationships/hyperlink" Id="rId92" Target="https://doi.org/10.21105/joss.02505" TargetMode="External" /><Relationship Type="http://schemas.openxmlformats.org/officeDocument/2006/relationships/hyperlink" Id="rId87" Target="https://doi.org/10.2307/3318737" TargetMode="External" /><Relationship Type="http://schemas.openxmlformats.org/officeDocument/2006/relationships/hyperlink" Id="rId75" Target="https://doi.org/10.2471/blt.12.108282" TargetMode="External" /><Relationship Type="http://schemas.openxmlformats.org/officeDocument/2006/relationships/hyperlink" Id="rId109"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07" Target="https://www.cda.gov.sg/professionals/diseases/hepatitis-c/" TargetMode="External" /><Relationship Type="http://schemas.openxmlformats.org/officeDocument/2006/relationships/hyperlink" Id="rId100" Target="https://www.nhghealth.com.sg/nsc/about-dsc-clinic/dsc-patient-information/dsc-services/clinic-charges/" TargetMode="External" /><Relationship Type="http://schemas.openxmlformats.org/officeDocument/2006/relationships/hyperlink" Id="rId102"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98" Target="https://data.gov.sg/datasets/d_b09aeaf8eb591c4bfe347b66148c6b53/view" TargetMode="External" /><Relationship Type="http://schemas.openxmlformats.org/officeDocument/2006/relationships/hyperlink" Id="rId85"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3"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96"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79"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113" Target="https://doi.org/10.1093/ofid/ofac350" TargetMode="External" /><Relationship Type="http://schemas.openxmlformats.org/officeDocument/2006/relationships/hyperlink" Id="rId61" Target="https://doi.org/10.1111/j.1365-2893.2005.00651.x" TargetMode="External" /><Relationship Type="http://schemas.openxmlformats.org/officeDocument/2006/relationships/hyperlink" Id="rId81" Target="https://doi.org/10.1111/jvh.70078" TargetMode="External" /><Relationship Type="http://schemas.openxmlformats.org/officeDocument/2006/relationships/hyperlink" Id="rId111" Target="https://doi.org/10.11622/smedj.2020116" TargetMode="External" /><Relationship Type="http://schemas.openxmlformats.org/officeDocument/2006/relationships/hyperlink" Id="rId89"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4" Target="https://doi.org/10.18637/jss.v040.i08" TargetMode="External" /><Relationship Type="http://schemas.openxmlformats.org/officeDocument/2006/relationships/hyperlink" Id="rId92" Target="https://doi.org/10.21105/joss.02505" TargetMode="External" /><Relationship Type="http://schemas.openxmlformats.org/officeDocument/2006/relationships/hyperlink" Id="rId87" Target="https://doi.org/10.2307/3318737" TargetMode="External" /><Relationship Type="http://schemas.openxmlformats.org/officeDocument/2006/relationships/hyperlink" Id="rId75" Target="https://doi.org/10.2471/blt.12.108282" TargetMode="External" /><Relationship Type="http://schemas.openxmlformats.org/officeDocument/2006/relationships/hyperlink" Id="rId109"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07" Target="https://www.cda.gov.sg/professionals/diseases/hepatitis-c/" TargetMode="External" /><Relationship Type="http://schemas.openxmlformats.org/officeDocument/2006/relationships/hyperlink" Id="rId100" Target="https://www.nhghealth.com.sg/nsc/about-dsc-clinic/dsc-patient-information/dsc-services/clinic-charges/" TargetMode="External" /><Relationship Type="http://schemas.openxmlformats.org/officeDocument/2006/relationships/hyperlink" Id="rId102"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2026-10-13T17:54:30Z</dcterms:created>
  <dcterms:modified xsi:type="dcterms:W3CDTF">2026-10-13T17:54:30Z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y fmtid="{D5CDD505-2E9C-101B-9397-08002B2CF9AE}" pid="4" name="subtitle">
    <vt:lpwstr>Prison treatment and community screening to reduce hepatitis C infections and deaths among people who inject drugs in Singapore: A modelling study</vt:lpwstr>
  </property>
</Properties>
</file>