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The modelled population is the people with a known HCV screening result, who were assumed to be the PWID; their 2015 prison counts are the calibration targets. The re-arrest model includes the 2015 prison steady state, with the same ageing (0.1 per year) and background mortality as the model. It gives the yearly first arrest flow</w:t>
      </w:r>
      <w:r>
        <w:t xml:space="preserve"> </w:t>
      </w:r>
      <m:oMath>
        <m:sSub>
          <m:e>
            <m:r>
              <m:t>f</m:t>
            </m:r>
          </m:e>
          <m:sub>
            <m:r>
              <m:t>i</m:t>
            </m:r>
          </m:sub>
        </m:sSub>
      </m:oMath>
      <w:r>
        <w:t xml:space="preserve"> </w:t>
      </w:r>
      <w:r>
        <w:t xml:space="preserve">(32, 304, 102, 75.9, 66.1, 19.6 people by age). The first arrest rate is derived from it: in the HCV free steady state of D,</w:t>
      </w:r>
      <w:r>
        <w:t xml:space="preserve"> </w:t>
      </w:r>
      <m:oMath>
        <m:sSub>
          <m:e>
            <m:r>
              <m:t>D</m:t>
            </m:r>
          </m:e>
          <m:sub>
            <m:r>
              <m:t>i</m:t>
            </m:r>
          </m:sub>
        </m:sSub>
        <m:r>
          <m:rPr>
            <m:sty m:val="p"/>
          </m:rPr>
          <m:t>=</m:t>
        </m:r>
        <m:r>
          <m:rPr>
            <m:sty m:val="p"/>
          </m:rPr>
          <m:t>(</m:t>
        </m:r>
        <m:sSub>
          <m:e>
            <m:r>
              <m:t>β</m:t>
            </m:r>
          </m:e>
          <m:sub>
            <m:r>
              <m:t>i</m:t>
            </m:r>
          </m:sub>
        </m:sSub>
        <m:r>
          <m:rPr>
            <m:sty m:val="p"/>
          </m:rPr>
          <m:t>+</m:t>
        </m:r>
        <m:r>
          <m:t>0.1</m:t>
        </m:r>
        <m:sSub>
          <m:e>
            <m:r>
              <m:t>D</m:t>
            </m:r>
          </m:e>
          <m:sub>
            <m:r>
              <m:t>i</m:t>
            </m:r>
            <m:r>
              <m:rPr>
                <m:sty m:val="p"/>
              </m:rPr>
              <m:t>−</m:t>
            </m:r>
            <m:r>
              <m:t>1</m:t>
            </m:r>
          </m:sub>
        </m:sSub>
        <m:r>
          <m:rPr>
            <m:sty m:val="p"/>
          </m:rPr>
          <m:t>−</m:t>
        </m:r>
        <m:sSub>
          <m:e>
            <m:r>
              <m:t>f</m:t>
            </m:r>
          </m:e>
          <m:sub>
            <m:r>
              <m:t>i</m:t>
            </m:r>
          </m:sub>
        </m:sSub>
        <m:r>
          <m:rPr>
            <m:sty m:val="p"/>
          </m:rPr>
          <m:t>)</m:t>
        </m:r>
        <m:r>
          <m:rPr>
            <m:sty m:val="p"/>
          </m:rPr>
          <m:t>/</m:t>
        </m:r>
        <m:r>
          <m:rPr>
            <m:sty m:val="p"/>
          </m:rPr>
          <m:t>(</m:t>
        </m:r>
        <m:r>
          <m:t>ω</m:t>
        </m:r>
        <m:sSub>
          <m:e>
            <m:r>
              <m:t>μ</m:t>
            </m:r>
          </m:e>
          <m:sub>
            <m:r>
              <m:t>i</m:t>
            </m:r>
          </m:sub>
        </m:sSub>
        <m:r>
          <m:rPr>
            <m:sty m:val="p"/>
          </m:rPr>
          <m:t>+</m:t>
        </m:r>
        <m:sSub>
          <m:e>
            <m:r>
              <m:t>a</m:t>
            </m:r>
          </m:e>
          <m:sub>
            <m:r>
              <m:t>i</m:t>
            </m:r>
          </m:sub>
        </m:sSub>
        <m:r>
          <m:rPr>
            <m:sty m:val="p"/>
          </m:rPr>
          <m:t>)</m:t>
        </m:r>
      </m:oMath>
      <w:r>
        <w:t xml:space="preserve">, with ageing</w:t>
      </w:r>
      <w:r>
        <w:t xml:space="preserve"> </w:t>
      </w:r>
      <m:oMath>
        <m:sSub>
          <m:e>
            <m:r>
              <m:t>a</m:t>
            </m:r>
          </m:e>
          <m:sub>
            <m:r>
              <m:t>i</m:t>
            </m:r>
          </m:sub>
        </m:sSub>
        <m:r>
          <m:rPr>
            <m:sty m:val="p"/>
          </m:rPr>
          <m:t>=</m:t>
        </m:r>
        <m:r>
          <m:t>0.1</m:t>
        </m:r>
      </m:oMath>
      <w:r>
        <w:t xml:space="preserve"> </w:t>
      </w:r>
      <w:r>
        <w:t xml:space="preserve">(</w:t>
      </w:r>
      <m:oMath>
        <m:sSub>
          <m:e>
            <m:r>
              <m:t>a</m:t>
            </m:r>
          </m:e>
          <m:sub>
            <m:r>
              <m:t>6</m:t>
            </m:r>
          </m:sub>
        </m:sSub>
        <m:r>
          <m:rPr>
            <m:sty m:val="p"/>
          </m:rPr>
          <m:t>=</m:t>
        </m:r>
        <m:r>
          <m:t>0</m:t>
        </m:r>
      </m:oMath>
      <w:r>
        <w:t xml:space="preserve">), and</w:t>
      </w:r>
      <w:r>
        <w:t xml:space="preserve"> </w:t>
      </w:r>
      <m:oMath>
        <m:sSubSup>
          <m:e>
            <m:r>
              <m:t>λ</m:t>
            </m:r>
          </m:e>
          <m:sub>
            <m:r>
              <m:t>i</m:t>
            </m:r>
          </m:sub>
          <m:sup>
            <m:r>
              <m:rPr>
                <m:sty m:val="p"/>
              </m:rPr>
              <m:t>(</m:t>
            </m:r>
            <m:r>
              <m:t>1</m:t>
            </m:r>
            <m:r>
              <m:rPr>
                <m:sty m:val="p"/>
              </m:rPr>
              <m:t>)</m:t>
            </m:r>
          </m:sup>
        </m:sSubSup>
        <m:r>
          <m:rPr>
            <m:sty m:val="p"/>
          </m:rPr>
          <m:t>=</m:t>
        </m:r>
        <m:sSub>
          <m:e>
            <m:r>
              <m:t>f</m:t>
            </m:r>
          </m:e>
          <m:sub>
            <m:r>
              <m:t>i</m:t>
            </m:r>
          </m:sub>
        </m:sSub>
        <m:r>
          <m:rPr>
            <m:sty m:val="p"/>
          </m:rPr>
          <m:t>/</m:t>
        </m:r>
        <m:sSub>
          <m:e>
            <m:r>
              <m:t>D</m:t>
            </m:r>
          </m:e>
          <m:sub>
            <m:r>
              <m:t>i</m:t>
            </m:r>
          </m:sub>
        </m:sSub>
      </m:oMath>
      <w:r>
        <w:t xml:space="preserve">. Entry is parameterised as the minimum that supplies</w:t>
      </w:r>
      <w:r>
        <w:t xml:space="preserve"> </w:t>
      </w:r>
      <m:oMath>
        <m:sSub>
          <m:e>
            <m:r>
              <m:t>f</m:t>
            </m:r>
          </m:e>
          <m:sub>
            <m:r>
              <m:t>i</m:t>
            </m:r>
          </m:sub>
        </m:sSub>
      </m:oMath>
      <w:r>
        <w:t xml:space="preserve"> </w:t>
      </w:r>
      <w:r>
        <w:t xml:space="preserve">plus a positive excess (Section 2.3), so every parameter set can supply the first arrests.</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PWID</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r>
                <m:t>h</m:t>
              </m:r>
              <m:r>
                <m:t> </m:t>
              </m:r>
              <m:sSub>
                <m:e>
                  <m:r>
                    <m:t>ω</m:t>
                  </m:r>
                </m:e>
                <m:sub>
                  <m:r>
                    <m:t>0</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sSub>
          <m:e>
            <m:r>
              <m:t>ω</m:t>
            </m:r>
          </m:e>
          <m:sub>
            <m:r>
              <m:t>0</m:t>
            </m:r>
          </m:sub>
        </m:sSub>
        <m:sSub>
          <m:e>
            <m:r>
              <m:t>μ</m:t>
            </m:r>
          </m:e>
          <m:sub>
            <m:r>
              <m:t>i</m:t>
            </m:r>
          </m:sub>
        </m:sSub>
      </m:oMath>
      <w:r>
        <w:t xml:space="preserve">, where</w:t>
      </w:r>
      <w:r>
        <w:t xml:space="preserve"> </w:t>
      </w:r>
      <m:oMath>
        <m:sSub>
          <m:e>
            <m:r>
              <m:t>μ</m:t>
            </m:r>
          </m:e>
          <m:sub>
            <m:r>
              <m:t>i</m:t>
            </m:r>
          </m:sub>
        </m:sSub>
      </m:oMath>
      <w:r>
        <w:t xml:space="preserve"> </w:t>
      </w:r>
      <w:r>
        <w:t xml:space="preserve">is the Singapore resident death rate. Chronic infection (state c) multiplies it by</w:t>
      </w:r>
      <w:r>
        <w:t xml:space="preserve"> </w:t>
      </w:r>
      <m:oMath>
        <m:r>
          <m:t>h</m:t>
        </m:r>
        <m:r>
          <m:rPr>
            <m:sty m:val="p"/>
          </m:rPr>
          <m:t>=</m:t>
        </m:r>
        <m:r>
          <m:t>1.47</m:t>
        </m:r>
      </m:oMath>
      <w:r>
        <w:t xml:space="preserve">. This is the multivariable adjusted hazard ratio for extrahepatic death with detectable HCV RNA, against anti-HCV negative people, in the REVEAL-HCV cohort (95% CI 1.23 to 1.77; people with undetectable RNA had 0.90)</w:t>
      </w:r>
      <w:r>
        <w:t xml:space="preserve"> </w:t>
      </w:r>
      <w:r>
        <w:t xml:space="preserve">[13]</w:t>
      </w:r>
      <w:r>
        <w:t xml:space="preserve">. We used the extrahepatic ratio because liver deaths are explicit in stages 3 and 4, and we applied it to state c only because the cohort measured chronic carriers.</w:t>
      </w:r>
      <w:r>
        <w:t xml:space="preserve"> </w:t>
      </w:r>
      <m:oMath>
        <m:sSub>
          <m:e>
            <m:r>
              <m:t>ω</m:t>
            </m:r>
          </m:e>
          <m:sub>
            <m:r>
              <m:t>0</m:t>
            </m:r>
          </m:sub>
        </m:sSub>
        <m:r>
          <m:rPr>
            <m:sty m:val="p"/>
          </m:rPr>
          <m:t>=</m:t>
        </m:r>
        <m:r>
          <m:t>ω</m:t>
        </m:r>
        <m:r>
          <m:rPr>
            <m:sty m:val="p"/>
          </m:rPr>
          <m:t>/</m:t>
        </m:r>
        <m:r>
          <m:rPr>
            <m:sty m:val="p"/>
          </m:rPr>
          <m:t>(</m:t>
        </m:r>
        <m:r>
          <m:t>1</m:t>
        </m:r>
        <m:r>
          <m:rPr>
            <m:sty m:val="p"/>
          </m:rPr>
          <m:t>+</m:t>
        </m:r>
        <m:r>
          <m:rPr>
            <m:sty m:val="p"/>
          </m:rPr>
          <m:t>(</m:t>
        </m:r>
        <m:r>
          <m:t>h</m:t>
        </m:r>
        <m:r>
          <m:rPr>
            <m:sty m:val="p"/>
          </m:rPr>
          <m:t>−</m:t>
        </m:r>
        <m:r>
          <m:t>1</m:t>
        </m:r>
        <m:r>
          <m:rPr>
            <m:sty m:val="p"/>
          </m:rPr>
          <m:t>)</m:t>
        </m:r>
        <m:r>
          <m:t>v</m:t>
        </m:r>
        <m:r>
          <m:rPr>
            <m:sty m:val="p"/>
          </m:rPr>
          <m:t>)</m:t>
        </m:r>
      </m:oMath>
      <w:r>
        <w:t xml:space="preserve"> </w:t>
      </w:r>
      <w:r>
        <w:t xml:space="preserve">keeps the average PWID rate at the pooled standardised mortality ratio</w:t>
      </w:r>
      <w:r>
        <w:t xml:space="preserve"> </w:t>
      </w:r>
      <m:oMath>
        <m:r>
          <m:t>ω</m:t>
        </m:r>
      </m:oMath>
      <w:r>
        <w:t xml:space="preserve"> </w:t>
      </w:r>
      <w:r>
        <w:t xml:space="preserve">[11]</w:t>
      </w:r>
      <w:r>
        <w:t xml:space="preserve">, with</w:t>
      </w:r>
      <w:r>
        <w:t xml:space="preserve"> </w:t>
      </w:r>
      <m:oMath>
        <m:r>
          <m:t>v</m:t>
        </m:r>
        <m:r>
          <m:rPr>
            <m:sty m:val="p"/>
          </m:rPr>
          <m:t>=</m:t>
        </m:r>
        <m:r>
          <m:t>0.205</m:t>
        </m:r>
      </m:oMath>
      <w:r>
        <w:t xml:space="preserve"> </w:t>
      </w:r>
      <w:r>
        <w:t xml:space="preserve">the chronic viraemic share of PWID at the 2015 best fit (fixed point; held constant so that treating one person does not change the death rate of others). These extra deaths are not counted as HCV-related deaths.</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r>
                <m:t>ω</m:t>
              </m:r>
            </m:oMath>
          </w:p>
        </w:tc>
        <w:tc>
          <w:tcPr/>
          <w:p>
            <w:pPr>
              <w:pStyle w:val="Compact"/>
            </w:pPr>
            <w:r>
              <w:t xml:space="preserve">Standardised mortality ratio for PWID</w:t>
            </w:r>
          </w:p>
        </w:tc>
        <w:tc>
          <w:tcPr/>
          <w:p>
            <w:pPr>
              <w:pStyle w:val="Compact"/>
            </w:pPr>
            <w:r>
              <w:t xml:space="preserve">14.68</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r>
                <m:t>h</m:t>
              </m:r>
            </m:oMath>
          </w:p>
        </w:tc>
        <w:tc>
          <w:tcPr/>
          <w:p>
            <w:pPr>
              <w:pStyle w:val="Compact"/>
            </w:pPr>
            <w:r>
              <w:t xml:space="preserve">Hazard ratio for non-liver death, chronic infection</w:t>
            </w:r>
          </w:p>
        </w:tc>
        <w:tc>
          <w:tcPr/>
          <w:p>
            <w:pPr>
              <w:pStyle w:val="Compact"/>
            </w:pPr>
            <w:r>
              <w:t xml:space="preserve">1.47</w:t>
            </w:r>
          </w:p>
        </w:tc>
        <w:tc>
          <w:tcPr/>
          <w:p>
            <w:pPr>
              <w:pStyle w:val="Compact"/>
            </w:pPr>
            <w:r>
              <w:t xml:space="preserve">[13]</w:t>
            </w:r>
          </w:p>
        </w:tc>
      </w:tr>
      <w:tr>
        <w:tc>
          <w:tcPr/>
          <w:p>
            <w:pPr>
              <w:pStyle w:val="Compact"/>
            </w:pPr>
            <m:oMath>
              <m:r>
                <m:t>v</m:t>
              </m:r>
            </m:oMath>
          </w:p>
        </w:tc>
        <w:tc>
          <w:tcPr/>
          <w:p>
            <w:pPr>
              <w:pStyle w:val="Compact"/>
            </w:pPr>
            <w:r>
              <w:t xml:space="preserve">Chronic viraemic share of PWID, 2015 (fixed point)</w:t>
            </w:r>
          </w:p>
        </w:tc>
        <w:tc>
          <w:tcPr/>
          <w:p>
            <w:pPr>
              <w:pStyle w:val="Compact"/>
            </w:pPr>
            <w:r>
              <w:t xml:space="preserve">0.205</w:t>
            </w:r>
          </w:p>
        </w:tc>
        <w:tc>
          <w:tcPr/>
          <w:p>
            <w:pPr>
              <w:pStyle w:val="Compact"/>
            </w:pPr>
            <w:r>
              <w:t xml:space="preserve">Model fit</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
                <m:e>
                  <m:r>
                    <m:t>f</m:t>
                  </m:r>
                </m:e>
                <m:sub>
                  <m:r>
                    <m:t>i</m:t>
                  </m:r>
                </m:sub>
              </m:sSub>
            </m:oMath>
          </w:p>
        </w:tc>
        <w:tc>
          <w:tcPr/>
          <w:p>
            <w:pPr>
              <w:pStyle w:val="Compact"/>
            </w:pPr>
            <w:r>
              <w:t xml:space="preserve">First arrests per year, by age</w:t>
            </w:r>
          </w:p>
        </w:tc>
        <w:tc>
          <w:tcPr/>
          <w:p>
            <w:pPr>
              <w:pStyle w:val="Compact"/>
            </w:pPr>
            <w:r>
              <w:t xml:space="preserve">32, 304, 102, 75.9, 66.1, 19.6</w:t>
            </w:r>
          </w:p>
        </w:tc>
        <w:tc>
          <w:tcPr/>
          <w:p>
            <w:pPr>
              <w:pStyle w:val="Compact"/>
            </w:pPr>
            <w:r>
              <w:t xml:space="preserve">Fitted to prison records</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2015 Singapore Prison Service data on HCV seroprevalence and the number of people in prison with a history of drug use, in six age groups. Seroprevalence in the model is the share of people in states a, c, t and r among all people in J. The prevalence terms used a binomial likelihood. The population terms used a log normal likelihood with standard deviation 0.10 on the log scale.</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[17]</w:t>
      </w:r>
      <w:r>
        <w:t xml:space="preserve"> </w:t>
      </w:r>
      <w:r>
        <w:t xml:space="preserve">(Table S2). Each age specific series was multiplied by a calibrated scale.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12 parameters on the log scale. Parameters θ1 to θ6 multiply the contact rates of the six age groups. Parameters θ7 to θ12 set the entry rates of the six age groups. Entry into age group</w:t>
      </w:r>
      <w:r>
        <w:t xml:space="preserve"> </w:t>
      </w:r>
      <m:oMath>
        <m:r>
          <m:t>i</m:t>
        </m:r>
      </m:oMath>
      <w:r>
        <w:t xml:space="preserve"> </w:t>
      </w:r>
      <w:r>
        <w:t xml:space="preserve">is the minimum that supplies its first arrests,</w:t>
      </w:r>
      <w:r>
        <w:t xml:space="preserve"> </w:t>
      </w:r>
      <m:oMath>
        <m:r>
          <m:rPr>
            <m:sty m:val="p"/>
          </m:rPr>
          <m:t>max</m:t>
        </m:r>
        <m:r>
          <m:rPr>
            <m:sty m:val="p"/>
          </m:rPr>
          <m:t>(</m:t>
        </m:r>
        <m:r>
          <m:t>0</m:t>
        </m:r>
        <m:r>
          <m:rPr>
            <m:sty m:val="p"/>
          </m:rPr>
          <m:t>,</m:t>
        </m:r>
        <m:sSub>
          <m:e>
            <m:r>
              <m:t>f</m:t>
            </m:r>
          </m:e>
          <m:sub>
            <m:r>
              <m:t>i</m:t>
            </m:r>
          </m:sub>
        </m:sSub>
        <m:r>
          <m:rPr>
            <m:sty m:val="p"/>
          </m:rPr>
          <m:t>−</m:t>
        </m:r>
        <m:r>
          <m:t>0.1</m:t>
        </m:r>
        <m:sSub>
          <m:e>
            <m:r>
              <m:t>D</m:t>
            </m:r>
          </m:e>
          <m:sub>
            <m:r>
              <m:t>i</m:t>
            </m:r>
            <m:r>
              <m:rPr>
                <m:sty m:val="p"/>
              </m:rPr>
              <m:t>−</m:t>
            </m:r>
            <m:r>
              <m:t>1</m:t>
            </m:r>
          </m:sub>
        </m:sSub>
        <m:r>
          <m:rPr>
            <m:sty m:val="p"/>
          </m:rPr>
          <m:t>)</m:t>
        </m:r>
      </m:oMath>
      <w:r>
        <w:t xml:space="preserve">, plus an excess</w:t>
      </w:r>
      <w:r>
        <w:t xml:space="preserve"> </w:t>
      </w:r>
      <m:oMath>
        <m:sSup>
          <m:e>
            <m:r>
              <m:t>e</m:t>
            </m:r>
          </m:e>
          <m:sup>
            <m:sSub>
              <m:e>
                <m:r>
                  <m:t>θ</m:t>
                </m:r>
              </m:e>
              <m:sub>
                <m:r>
                  <m:t>6</m:t>
                </m:r>
                <m:r>
                  <m:rPr>
                    <m:sty m:val="p"/>
                  </m:rPr>
                  <m:t>+</m:t>
                </m:r>
                <m:r>
                  <m:t>i</m:t>
                </m:r>
              </m:sub>
            </m:sSub>
          </m:sup>
        </m:sSup>
        <m:sSub>
          <m:e>
            <m:r>
              <m:t>β</m:t>
            </m:r>
          </m:e>
          <m:sub>
            <m:r>
              <m:t>i</m:t>
            </m:r>
          </m:sub>
        </m:sSub>
      </m:oMath>
      <w:r>
        <w:t xml:space="preserve">, so every parameter set can supply the first arrest flow. Where first arrests use up the entry, the excess sets the size of the never imprisoned group D; at age 60+, where people ageing in supply the first arrests, it is the whole entry. A deterministic Nelder Mead fit with 8 starts gave the centre of the prior. The starts were an earlier anchor, 6 random perturbations of it (standard deviation 0.9 on the log scale) and a population informed start. Each start ran for up to 3,000 iterations and was then restarted from its own solution, up to 5 times, while the objective still fell by more than 0.001. The best fit had an objective of 21.44, a prevalence root mean square error of 0.0116 and a population mean absolute percentage error of 5.7%. Every model evaluation ran from model year 0 to 150. The last ten years had to be at equilibrium. The prior for each parameter was normal on the log scale with standard deviation 0.20. Its centre was the best fit, except that any value closer than five prior standard deviations (1.0 on the log scale) to a parameter bound was moved inward to that distance. This changed only θ3, θ6, which the best fit placed at its lower bound, where the likelihood is flat (Table S5). Without this step about half of the prior mass for that parameter would lie outside the bounds. Contact scales were bounded to 0.01 to 1,000 and entry scales to 0.01 to 10⁶.</w:t>
      </w:r>
    </w:p>
    <w:bookmarkEnd w:id="17"/>
    <w:bookmarkStart w:id="18" w:name="posterior-sampling"/>
    <w:p>
      <w:pPr>
        <w:pStyle w:val="Heading2"/>
      </w:pPr>
      <w:r>
        <w:t xml:space="preserve">2.4 Posterior sampling</w:t>
      </w:r>
    </w:p>
    <w:p>
      <w:pPr>
        <w:pStyle w:val="FirstParagraph"/>
      </w:pPr>
      <w:r>
        <w:t xml:space="preserve">The posterior combined the prior, a binomial likelihood for the six prevalence counts, a log normal likelihood (standard deviation 0.10) for the six population counts and a log normal likelihood (standard deviation 1.0) comparing the 2015 entry into D with the official count of new drug users</w:t>
      </w:r>
      <w:r>
        <w:t xml:space="preserve"> </w:t>
      </w:r>
      <w:r>
        <w:t xml:space="preserve">[17]</w:t>
      </w:r>
      <w:r>
        <w:t xml:space="preserve">. Because first arrests are fixed by the prison records, the prison data alone do not determine how many people inject without ever being imprisoned; the entry term anchors that number to the official count, allowing roughly a sevenfold difference either way.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0.25 to 0.27.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1.0028</w:t>
            </w:r>
          </w:p>
        </w:tc>
        <w:tc>
          <w:tcPr/>
          <w:p>
            <w:pPr>
              <w:pStyle w:val="Compact"/>
            </w:pPr>
            <w:r>
              <w:t xml:space="preserve">3,105</w:t>
            </w:r>
          </w:p>
        </w:tc>
        <w:tc>
          <w:tcPr/>
          <w:p>
            <w:pPr>
              <w:pStyle w:val="Compact"/>
            </w:pPr>
            <w:r>
              <w:t xml:space="preserve">6,162</w:t>
            </w:r>
          </w:p>
        </w:tc>
        <w:tc>
          <w:tcPr/>
          <w:p>
            <w:pPr>
              <w:pStyle w:val="Compact"/>
            </w:pPr>
            <w:r>
              <w:t xml:space="preserve">0.018</w:t>
            </w:r>
          </w:p>
        </w:tc>
      </w:tr>
      <w:tr>
        <w:tc>
          <w:tcPr/>
          <w:p>
            <w:pPr>
              <w:pStyle w:val="Compact"/>
            </w:pPr>
            <w:r>
              <w:t xml:space="preserve">θ2</w:t>
            </w:r>
          </w:p>
        </w:tc>
        <w:tc>
          <w:tcPr/>
          <w:p>
            <w:pPr>
              <w:pStyle w:val="Compact"/>
            </w:pPr>
            <w:r>
              <w:t xml:space="preserve">1.0014</w:t>
            </w:r>
          </w:p>
        </w:tc>
        <w:tc>
          <w:tcPr/>
          <w:p>
            <w:pPr>
              <w:pStyle w:val="Compact"/>
            </w:pPr>
            <w:r>
              <w:t xml:space="preserve">2,803</w:t>
            </w:r>
          </w:p>
        </w:tc>
        <w:tc>
          <w:tcPr/>
          <w:p>
            <w:pPr>
              <w:pStyle w:val="Compact"/>
            </w:pPr>
            <w:r>
              <w:t xml:space="preserve">6,209</w:t>
            </w:r>
          </w:p>
        </w:tc>
        <w:tc>
          <w:tcPr/>
          <w:p>
            <w:pPr>
              <w:pStyle w:val="Compact"/>
            </w:pPr>
            <w:r>
              <w:t xml:space="preserve">0.019</w:t>
            </w:r>
          </w:p>
        </w:tc>
      </w:tr>
      <w:tr>
        <w:tc>
          <w:tcPr/>
          <w:p>
            <w:pPr>
              <w:pStyle w:val="Compact"/>
            </w:pPr>
            <w:r>
              <w:t xml:space="preserve">θ3</w:t>
            </w:r>
          </w:p>
        </w:tc>
        <w:tc>
          <w:tcPr/>
          <w:p>
            <w:pPr>
              <w:pStyle w:val="Compact"/>
            </w:pPr>
            <w:r>
              <w:t xml:space="preserve">1.0017</w:t>
            </w:r>
          </w:p>
        </w:tc>
        <w:tc>
          <w:tcPr/>
          <w:p>
            <w:pPr>
              <w:pStyle w:val="Compact"/>
            </w:pPr>
            <w:r>
              <w:t xml:space="preserve">2,932</w:t>
            </w:r>
          </w:p>
        </w:tc>
        <w:tc>
          <w:tcPr/>
          <w:p>
            <w:pPr>
              <w:pStyle w:val="Compact"/>
            </w:pPr>
            <w:r>
              <w:t xml:space="preserve">5,690</w:t>
            </w:r>
          </w:p>
        </w:tc>
        <w:tc>
          <w:tcPr/>
          <w:p>
            <w:pPr>
              <w:pStyle w:val="Compact"/>
            </w:pPr>
            <w:r>
              <w:t xml:space="preserve">0.019</w:t>
            </w:r>
          </w:p>
        </w:tc>
      </w:tr>
      <w:tr>
        <w:tc>
          <w:tcPr/>
          <w:p>
            <w:pPr>
              <w:pStyle w:val="Compact"/>
            </w:pPr>
            <w:r>
              <w:t xml:space="preserve">θ4</w:t>
            </w:r>
          </w:p>
        </w:tc>
        <w:tc>
          <w:tcPr/>
          <w:p>
            <w:pPr>
              <w:pStyle w:val="Compact"/>
            </w:pPr>
            <w:r>
              <w:t xml:space="preserve">1.0008</w:t>
            </w:r>
          </w:p>
        </w:tc>
        <w:tc>
          <w:tcPr/>
          <w:p>
            <w:pPr>
              <w:pStyle w:val="Compact"/>
            </w:pPr>
            <w:r>
              <w:t xml:space="preserve">3,258</w:t>
            </w:r>
          </w:p>
        </w:tc>
        <w:tc>
          <w:tcPr/>
          <w:p>
            <w:pPr>
              <w:pStyle w:val="Compact"/>
            </w:pPr>
            <w:r>
              <w:t xml:space="preserve">5,799</w:t>
            </w:r>
          </w:p>
        </w:tc>
        <w:tc>
          <w:tcPr/>
          <w:p>
            <w:pPr>
              <w:pStyle w:val="Compact"/>
            </w:pPr>
            <w:r>
              <w:t xml:space="preserve">0.018</w:t>
            </w:r>
          </w:p>
        </w:tc>
      </w:tr>
      <w:tr>
        <w:tc>
          <w:tcPr/>
          <w:p>
            <w:pPr>
              <w:pStyle w:val="Compact"/>
            </w:pPr>
            <w:r>
              <w:t xml:space="preserve">θ5</w:t>
            </w:r>
          </w:p>
        </w:tc>
        <w:tc>
          <w:tcPr/>
          <w:p>
            <w:pPr>
              <w:pStyle w:val="Compact"/>
            </w:pPr>
            <w:r>
              <w:t xml:space="preserve">1.0015</w:t>
            </w:r>
          </w:p>
        </w:tc>
        <w:tc>
          <w:tcPr/>
          <w:p>
            <w:pPr>
              <w:pStyle w:val="Compact"/>
            </w:pPr>
            <w:r>
              <w:t xml:space="preserve">2,990</w:t>
            </w:r>
          </w:p>
        </w:tc>
        <w:tc>
          <w:tcPr/>
          <w:p>
            <w:pPr>
              <w:pStyle w:val="Compact"/>
            </w:pPr>
            <w:r>
              <w:t xml:space="preserve">5,372</w:t>
            </w:r>
          </w:p>
        </w:tc>
        <w:tc>
          <w:tcPr/>
          <w:p>
            <w:pPr>
              <w:pStyle w:val="Compact"/>
            </w:pPr>
            <w:r>
              <w:t xml:space="preserve">0.018</w:t>
            </w:r>
          </w:p>
        </w:tc>
      </w:tr>
      <w:tr>
        <w:tc>
          <w:tcPr/>
          <w:p>
            <w:pPr>
              <w:pStyle w:val="Compact"/>
            </w:pPr>
            <w:r>
              <w:t xml:space="preserve">θ6</w:t>
            </w:r>
          </w:p>
        </w:tc>
        <w:tc>
          <w:tcPr/>
          <w:p>
            <w:pPr>
              <w:pStyle w:val="Compact"/>
            </w:pPr>
            <w:r>
              <w:t xml:space="preserve">1.0013</w:t>
            </w:r>
          </w:p>
        </w:tc>
        <w:tc>
          <w:tcPr/>
          <w:p>
            <w:pPr>
              <w:pStyle w:val="Compact"/>
            </w:pPr>
            <w:r>
              <w:t xml:space="preserve">3,408</w:t>
            </w:r>
          </w:p>
        </w:tc>
        <w:tc>
          <w:tcPr/>
          <w:p>
            <w:pPr>
              <w:pStyle w:val="Compact"/>
            </w:pPr>
            <w:r>
              <w:t xml:space="preserve">6,663</w:t>
            </w:r>
          </w:p>
        </w:tc>
        <w:tc>
          <w:tcPr/>
          <w:p>
            <w:pPr>
              <w:pStyle w:val="Compact"/>
            </w:pPr>
            <w:r>
              <w:t xml:space="preserve">0.017</w:t>
            </w:r>
          </w:p>
        </w:tc>
      </w:tr>
      <w:tr>
        <w:tc>
          <w:tcPr/>
          <w:p>
            <w:pPr>
              <w:pStyle w:val="Compact"/>
            </w:pPr>
            <w:r>
              <w:t xml:space="preserve">θ7</w:t>
            </w:r>
          </w:p>
        </w:tc>
        <w:tc>
          <w:tcPr/>
          <w:p>
            <w:pPr>
              <w:pStyle w:val="Compact"/>
            </w:pPr>
            <w:r>
              <w:t xml:space="preserve">1.0024</w:t>
            </w:r>
          </w:p>
        </w:tc>
        <w:tc>
          <w:tcPr/>
          <w:p>
            <w:pPr>
              <w:pStyle w:val="Compact"/>
            </w:pPr>
            <w:r>
              <w:t xml:space="preserve">2,791</w:t>
            </w:r>
          </w:p>
        </w:tc>
        <w:tc>
          <w:tcPr/>
          <w:p>
            <w:pPr>
              <w:pStyle w:val="Compact"/>
            </w:pPr>
            <w:r>
              <w:t xml:space="preserve">5,447</w:t>
            </w:r>
          </w:p>
        </w:tc>
        <w:tc>
          <w:tcPr/>
          <w:p>
            <w:pPr>
              <w:pStyle w:val="Compact"/>
            </w:pPr>
            <w:r>
              <w:t xml:space="preserve">0.019</w:t>
            </w:r>
          </w:p>
        </w:tc>
      </w:tr>
      <w:tr>
        <w:tc>
          <w:tcPr/>
          <w:p>
            <w:pPr>
              <w:pStyle w:val="Compact"/>
            </w:pPr>
            <w:r>
              <w:t xml:space="preserve">θ8</w:t>
            </w:r>
          </w:p>
        </w:tc>
        <w:tc>
          <w:tcPr/>
          <w:p>
            <w:pPr>
              <w:pStyle w:val="Compact"/>
            </w:pPr>
            <w:r>
              <w:t xml:space="preserve">1.0006</w:t>
            </w:r>
          </w:p>
        </w:tc>
        <w:tc>
          <w:tcPr/>
          <w:p>
            <w:pPr>
              <w:pStyle w:val="Compact"/>
            </w:pPr>
            <w:r>
              <w:t xml:space="preserve">3,226</w:t>
            </w:r>
          </w:p>
        </w:tc>
        <w:tc>
          <w:tcPr/>
          <w:p>
            <w:pPr>
              <w:pStyle w:val="Compact"/>
            </w:pPr>
            <w:r>
              <w:t xml:space="preserve">6,315</w:t>
            </w:r>
          </w:p>
        </w:tc>
        <w:tc>
          <w:tcPr/>
          <w:p>
            <w:pPr>
              <w:pStyle w:val="Compact"/>
            </w:pPr>
            <w:r>
              <w:t xml:space="preserve">0.018</w:t>
            </w:r>
          </w:p>
        </w:tc>
      </w:tr>
      <w:tr>
        <w:tc>
          <w:tcPr/>
          <w:p>
            <w:pPr>
              <w:pStyle w:val="Compact"/>
            </w:pPr>
            <w:r>
              <w:t xml:space="preserve">θ9</w:t>
            </w:r>
          </w:p>
        </w:tc>
        <w:tc>
          <w:tcPr/>
          <w:p>
            <w:pPr>
              <w:pStyle w:val="Compact"/>
            </w:pPr>
            <w:r>
              <w:t xml:space="preserve">1.0019</w:t>
            </w:r>
          </w:p>
        </w:tc>
        <w:tc>
          <w:tcPr/>
          <w:p>
            <w:pPr>
              <w:pStyle w:val="Compact"/>
            </w:pPr>
            <w:r>
              <w:t xml:space="preserve">2,319</w:t>
            </w:r>
          </w:p>
        </w:tc>
        <w:tc>
          <w:tcPr/>
          <w:p>
            <w:pPr>
              <w:pStyle w:val="Compact"/>
            </w:pPr>
            <w:r>
              <w:t xml:space="preserve">2,728</w:t>
            </w:r>
          </w:p>
        </w:tc>
        <w:tc>
          <w:tcPr/>
          <w:p>
            <w:pPr>
              <w:pStyle w:val="Compact"/>
            </w:pPr>
            <w:r>
              <w:t xml:space="preserve">0.021</w:t>
            </w:r>
          </w:p>
        </w:tc>
      </w:tr>
      <w:tr>
        <w:tc>
          <w:tcPr/>
          <w:p>
            <w:pPr>
              <w:pStyle w:val="Compact"/>
            </w:pPr>
            <w:r>
              <w:t xml:space="preserve">θ10</w:t>
            </w:r>
          </w:p>
        </w:tc>
        <w:tc>
          <w:tcPr/>
          <w:p>
            <w:pPr>
              <w:pStyle w:val="Compact"/>
            </w:pPr>
            <w:r>
              <w:t xml:space="preserve">1.0012</w:t>
            </w:r>
          </w:p>
        </w:tc>
        <w:tc>
          <w:tcPr/>
          <w:p>
            <w:pPr>
              <w:pStyle w:val="Compact"/>
            </w:pPr>
            <w:r>
              <w:t xml:space="preserve">2,682</w:t>
            </w:r>
          </w:p>
        </w:tc>
        <w:tc>
          <w:tcPr/>
          <w:p>
            <w:pPr>
              <w:pStyle w:val="Compact"/>
            </w:pPr>
            <w:r>
              <w:t xml:space="preserve">5,130</w:t>
            </w:r>
          </w:p>
        </w:tc>
        <w:tc>
          <w:tcPr/>
          <w:p>
            <w:pPr>
              <w:pStyle w:val="Compact"/>
            </w:pPr>
            <w:r>
              <w:t xml:space="preserve">0.019</w:t>
            </w:r>
          </w:p>
        </w:tc>
      </w:tr>
      <w:tr>
        <w:tc>
          <w:tcPr/>
          <w:p>
            <w:pPr>
              <w:pStyle w:val="Compact"/>
            </w:pPr>
            <w:r>
              <w:t xml:space="preserve">θ11</w:t>
            </w:r>
          </w:p>
        </w:tc>
        <w:tc>
          <w:tcPr/>
          <w:p>
            <w:pPr>
              <w:pStyle w:val="Compact"/>
            </w:pPr>
            <w:r>
              <w:t xml:space="preserve">1.0007</w:t>
            </w:r>
          </w:p>
        </w:tc>
        <w:tc>
          <w:tcPr/>
          <w:p>
            <w:pPr>
              <w:pStyle w:val="Compact"/>
            </w:pPr>
            <w:r>
              <w:t xml:space="preserve">3,210</w:t>
            </w:r>
          </w:p>
        </w:tc>
        <w:tc>
          <w:tcPr/>
          <w:p>
            <w:pPr>
              <w:pStyle w:val="Compact"/>
            </w:pPr>
            <w:r>
              <w:t xml:space="preserve">6,014</w:t>
            </w:r>
          </w:p>
        </w:tc>
        <w:tc>
          <w:tcPr/>
          <w:p>
            <w:pPr>
              <w:pStyle w:val="Compact"/>
            </w:pPr>
            <w:r>
              <w:t xml:space="preserve">0.018</w:t>
            </w:r>
          </w:p>
        </w:tc>
      </w:tr>
      <w:tr>
        <w:tc>
          <w:tcPr/>
          <w:p>
            <w:pPr>
              <w:pStyle w:val="Compact"/>
            </w:pPr>
            <w:r>
              <w:t xml:space="preserve">θ12</w:t>
            </w:r>
          </w:p>
        </w:tc>
        <w:tc>
          <w:tcPr/>
          <w:p>
            <w:pPr>
              <w:pStyle w:val="Compact"/>
            </w:pPr>
            <w:r>
              <w:t xml:space="preserve">1.0014</w:t>
            </w:r>
          </w:p>
        </w:tc>
        <w:tc>
          <w:tcPr/>
          <w:p>
            <w:pPr>
              <w:pStyle w:val="Compact"/>
            </w:pPr>
            <w:r>
              <w:t xml:space="preserve">3,495</w:t>
            </w:r>
          </w:p>
        </w:tc>
        <w:tc>
          <w:tcPr/>
          <w:p>
            <w:pPr>
              <w:pStyle w:val="Compact"/>
            </w:pPr>
            <w:r>
              <w:t xml:space="preserve">6,304</w:t>
            </w:r>
          </w:p>
        </w:tc>
        <w:tc>
          <w:tcPr/>
          <w:p>
            <w:pPr>
              <w:pStyle w:val="Compact"/>
            </w:pPr>
            <w:r>
              <w:t xml:space="preserve">0.017</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prior by Latin hypercube sampling. The design had one point in each of 50,000 equal probability strata for every parameter, and each column was mapped through the normal inverse distribution function of that parameter’s prior. Of these, 48,918 simulations were valid. Exclusions were 0 draws outside the bounds, 1,082 equilibrium failures and 0 non-finite simulations; excluded draws are dropped, not replaced.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A single network gave a small seed dependent bias in one parameter, which the ensemble removed.</w:t>
      </w:r>
    </w:p>
    <w:p>
      <w:pPr>
        <w:pStyle w:val="BodyText"/>
      </w:pPr>
      <w:r>
        <w:t xml:space="preserve">We checked the neural posterior by simulation based calibration</w:t>
      </w:r>
      <w:r>
        <w:t xml:space="preserve"> </w:t>
      </w:r>
      <w:r>
        <w:t xml:space="preserve">[23]</w:t>
      </w:r>
      <w:r>
        <w:t xml:space="preserve"> </w:t>
      </w:r>
      <w:r>
        <w:t xml:space="preserve">on 973 datasets simulated from independent prior draws. For each parameter, 95% interval coverage was 0.936 to 0.958 and 90% coverage 0.879 to 0.918. No rank histogram showed systematic skew (U shape, central peak, shift or Bonferroni corrected chi-square departure). The predeclared gate required 95% coverage of at least 0.85 and 90% coverage of at least 0.75 for every parameter. As a smaller direct check, we reran the MCMC on 8 of these simulated datasets, with one chain of 30,000 evaluations each. Pooled 95% coverage was 0.93 and 90% coverage 0.83 over 96 ranks; this guards only against gross miscalibration.</w:t>
      </w:r>
    </w:p>
    <w:p>
      <w:pPr>
        <w:pStyle w:val="BodyText"/>
      </w:pPr>
      <w:r>
        <w:t xml:space="preserve">Table S4 compares the neural posterior with the MCMC posterior.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median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(48,918)</w:t>
            </w:r>
          </w:p>
        </w:tc>
        <w:tc>
          <w:tcPr/>
          <w:p>
            <w:pPr>
              <w:pStyle w:val="Compact"/>
            </w:pPr>
            <w:r>
              <w:t xml:space="preserve">0.08</w:t>
            </w:r>
          </w:p>
        </w:tc>
        <w:tc>
          <w:tcPr/>
          <w:p>
            <w:pPr>
              <w:pStyle w:val="Compact"/>
            </w:pPr>
            <w:r>
              <w:t xml:space="preserve">0.12</w:t>
            </w:r>
          </w:p>
        </w:tc>
        <w:tc>
          <w:tcPr/>
          <w:p>
            <w:pPr>
              <w:pStyle w:val="Compact"/>
            </w:pPr>
            <w:r>
              <w:t xml:space="preserve">0.992 (0.96 to 1.01)</w:t>
            </w:r>
          </w:p>
        </w:tc>
        <w:tc>
          <w:tcPr/>
          <w:p>
            <w:pPr>
              <w:pStyle w:val="Compact"/>
            </w:pPr>
            <w:r>
              <w:t xml:space="preserve">100%</w:t>
            </w:r>
          </w:p>
        </w:tc>
        <w:tc>
          <w:tcPr/>
          <w:p>
            <w:pPr>
              <w:pStyle w:val="Compact"/>
            </w:pPr>
            <w:r>
              <w:t xml:space="preserve">1.2%</w:t>
            </w:r>
          </w:p>
        </w:tc>
        <w:tc>
          <w:tcPr/>
          <w:p>
            <w:pPr>
              <w:pStyle w:val="Compact"/>
            </w:pPr>
            <w:r>
              <w:t xml:space="preserve">0.0</w:t>
            </w:r>
          </w:p>
        </w:tc>
      </w:tr>
    </w:tbl>
    <w:p>
      <w:pPr>
        <w:pStyle w:val="BodyText"/>
      </w:pPr>
      <w:r>
        <w:t xml:space="preserve">Checks: absolute mean difference at most 0.1 SD, 95% interval endpoints within 0.2 SD and width ratio between 0.9 and 1.1. Policy errors compare 1,000 neural posterior states with the 2,000 MCMC states used for the scenarios.</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θ7, θ8, θ9, θ10, θ11 and θ12 the posterior standard deviation was more than 0.8 times the prior standard deviation, so these parameters remain mostly informed by the prior.</w:t>
      </w:r>
    </w:p>
    <w:p>
      <w:pPr>
        <w:pStyle w:val="BodyText"/>
      </w:pPr>
      <w:r>
        <w:rPr>
          <w:b/>
          <w:bCs/>
        </w:rPr>
        <w:t xml:space="preserve">Table S5. Nelder Mead best fit, prior centre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Nelder Mead best fit</w:t>
            </w:r>
          </w:p>
        </w:tc>
        <w:tc>
          <w:tcPr/>
          <w:p>
            <w:pPr>
              <w:pStyle w:val="Compact"/>
            </w:pPr>
            <w:r>
              <w:t xml:space="preserve">Prior centre</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0.640</w:t>
            </w:r>
          </w:p>
        </w:tc>
        <w:tc>
          <w:tcPr/>
          <w:p>
            <w:pPr>
              <w:pStyle w:val="Compact"/>
            </w:pPr>
            <w:r>
              <w:t xml:space="preserve">0.640</w:t>
            </w:r>
          </w:p>
        </w:tc>
        <w:tc>
          <w:tcPr/>
          <w:p>
            <w:pPr>
              <w:pStyle w:val="Compact"/>
            </w:pPr>
            <w:r>
              <w:t xml:space="preserve">0.641 (0.341 to 0.926)</w:t>
            </w:r>
          </w:p>
        </w:tc>
        <w:tc>
          <w:tcPr/>
          <w:p>
            <w:pPr>
              <w:pStyle w:val="Compact"/>
            </w:pPr>
            <w:r>
              <w:t xml:space="preserve">0.149</w:t>
            </w:r>
          </w:p>
        </w:tc>
        <w:tc>
          <w:tcPr/>
          <w:p>
            <w:pPr>
              <w:pStyle w:val="Compact"/>
            </w:pPr>
            <w:r>
              <w:t xml:space="preserve">0.75</w:t>
            </w:r>
          </w:p>
        </w:tc>
      </w:tr>
      <w:tr>
        <w:tc>
          <w:tcPr/>
          <w:p>
            <w:pPr>
              <w:pStyle w:val="Compact"/>
            </w:pPr>
            <w:r>
              <w:t xml:space="preserve">θ2</w:t>
            </w:r>
          </w:p>
        </w:tc>
        <w:tc>
          <w:tcPr/>
          <w:p>
            <w:pPr>
              <w:pStyle w:val="Compact"/>
            </w:pPr>
            <w:r>
              <w:t xml:space="preserve">Contact scale, age 20–29</w:t>
            </w:r>
          </w:p>
        </w:tc>
        <w:tc>
          <w:tcPr/>
          <w:p>
            <w:pPr>
              <w:pStyle w:val="Compact"/>
            </w:pPr>
            <w:r>
              <w:t xml:space="preserve">-2.807</w:t>
            </w:r>
          </w:p>
        </w:tc>
        <w:tc>
          <w:tcPr/>
          <w:p>
            <w:pPr>
              <w:pStyle w:val="Compact"/>
            </w:pPr>
            <w:r>
              <w:t xml:space="preserve">-2.807</w:t>
            </w:r>
          </w:p>
        </w:tc>
        <w:tc>
          <w:tcPr/>
          <w:p>
            <w:pPr>
              <w:pStyle w:val="Compact"/>
            </w:pPr>
            <w:r>
              <w:t xml:space="preserve">-2.817 (-3.020 to -2.625)</w:t>
            </w:r>
          </w:p>
        </w:tc>
        <w:tc>
          <w:tcPr/>
          <w:p>
            <w:pPr>
              <w:pStyle w:val="Compact"/>
            </w:pPr>
            <w:r>
              <w:t xml:space="preserve">0.101</w:t>
            </w:r>
          </w:p>
        </w:tc>
        <w:tc>
          <w:tcPr/>
          <w:p>
            <w:pPr>
              <w:pStyle w:val="Compact"/>
            </w:pPr>
            <w:r>
              <w:t xml:space="preserve">0.50</w:t>
            </w:r>
          </w:p>
        </w:tc>
      </w:tr>
      <w:tr>
        <w:tc>
          <w:tcPr/>
          <w:p>
            <w:pPr>
              <w:pStyle w:val="Compact"/>
            </w:pPr>
            <w:r>
              <w:t xml:space="preserve">θ3</w:t>
            </w:r>
          </w:p>
        </w:tc>
        <w:tc>
          <w:tcPr/>
          <w:p>
            <w:pPr>
              <w:pStyle w:val="Compact"/>
            </w:pPr>
            <w:r>
              <w:t xml:space="preserve">Contact scale, age 30–39</w:t>
            </w:r>
          </w:p>
        </w:tc>
        <w:tc>
          <w:tcPr/>
          <w:p>
            <w:pPr>
              <w:pStyle w:val="Compact"/>
            </w:pPr>
            <w:r>
              <w:t xml:space="preserve">-3.624</w:t>
            </w:r>
          </w:p>
        </w:tc>
        <w:tc>
          <w:tcPr/>
          <w:p>
            <w:pPr>
              <w:pStyle w:val="Compact"/>
            </w:pPr>
            <w:r>
              <w:t xml:space="preserve">-3.605</w:t>
            </w:r>
          </w:p>
        </w:tc>
        <w:tc>
          <w:tcPr/>
          <w:p>
            <w:pPr>
              <w:pStyle w:val="Compact"/>
            </w:pPr>
            <w:r>
              <w:t xml:space="preserve">-3.632 (-3.819 to -3.457)</w:t>
            </w:r>
          </w:p>
        </w:tc>
        <w:tc>
          <w:tcPr/>
          <w:p>
            <w:pPr>
              <w:pStyle w:val="Compact"/>
            </w:pPr>
            <w:r>
              <w:t xml:space="preserve">0.093</w:t>
            </w:r>
          </w:p>
        </w:tc>
        <w:tc>
          <w:tcPr/>
          <w:p>
            <w:pPr>
              <w:pStyle w:val="Compact"/>
            </w:pPr>
            <w:r>
              <w:t xml:space="preserve">0.47</w:t>
            </w:r>
          </w:p>
        </w:tc>
      </w:tr>
      <w:tr>
        <w:tc>
          <w:tcPr/>
          <w:p>
            <w:pPr>
              <w:pStyle w:val="Compact"/>
            </w:pPr>
            <w:r>
              <w:t xml:space="preserve">θ4</w:t>
            </w:r>
          </w:p>
        </w:tc>
        <w:tc>
          <w:tcPr/>
          <w:p>
            <w:pPr>
              <w:pStyle w:val="Compact"/>
            </w:pPr>
            <w:r>
              <w:t xml:space="preserve">Contact scale, age 40–49</w:t>
            </w:r>
          </w:p>
        </w:tc>
        <w:tc>
          <w:tcPr/>
          <w:p>
            <w:pPr>
              <w:pStyle w:val="Compact"/>
            </w:pPr>
            <w:r>
              <w:t xml:space="preserve">-1.268</w:t>
            </w:r>
          </w:p>
        </w:tc>
        <w:tc>
          <w:tcPr/>
          <w:p>
            <w:pPr>
              <w:pStyle w:val="Compact"/>
            </w:pPr>
            <w:r>
              <w:t xml:space="preserve">-1.268</w:t>
            </w:r>
          </w:p>
        </w:tc>
        <w:tc>
          <w:tcPr/>
          <w:p>
            <w:pPr>
              <w:pStyle w:val="Compact"/>
            </w:pPr>
            <w:r>
              <w:t xml:space="preserve">-1.283 (-1.501 to -1.075)</w:t>
            </w:r>
          </w:p>
        </w:tc>
        <w:tc>
          <w:tcPr/>
          <w:p>
            <w:pPr>
              <w:pStyle w:val="Compact"/>
            </w:pPr>
            <w:r>
              <w:t xml:space="preserve">0.109</w:t>
            </w:r>
          </w:p>
        </w:tc>
        <w:tc>
          <w:tcPr/>
          <w:p>
            <w:pPr>
              <w:pStyle w:val="Compact"/>
            </w:pPr>
            <w:r>
              <w:t xml:space="preserve">0.54</w:t>
            </w:r>
          </w:p>
        </w:tc>
      </w:tr>
      <w:tr>
        <w:tc>
          <w:tcPr/>
          <w:p>
            <w:pPr>
              <w:pStyle w:val="Compact"/>
            </w:pPr>
            <w:r>
              <w:t xml:space="preserve">θ5</w:t>
            </w:r>
          </w:p>
        </w:tc>
        <w:tc>
          <w:tcPr/>
          <w:p>
            <w:pPr>
              <w:pStyle w:val="Compact"/>
            </w:pPr>
            <w:r>
              <w:t xml:space="preserve">Contact scale, age 50–59</w:t>
            </w:r>
          </w:p>
        </w:tc>
        <w:tc>
          <w:tcPr/>
          <w:p>
            <w:pPr>
              <w:pStyle w:val="Compact"/>
            </w:pPr>
            <w:r>
              <w:t xml:space="preserve">1.119</w:t>
            </w:r>
          </w:p>
        </w:tc>
        <w:tc>
          <w:tcPr/>
          <w:p>
            <w:pPr>
              <w:pStyle w:val="Compact"/>
            </w:pPr>
            <w:r>
              <w:t xml:space="preserve">1.119</w:t>
            </w:r>
          </w:p>
        </w:tc>
        <w:tc>
          <w:tcPr/>
          <w:p>
            <w:pPr>
              <w:pStyle w:val="Compact"/>
            </w:pPr>
            <w:r>
              <w:t xml:space="preserve">1.105 (0.745 to 1.456)</w:t>
            </w:r>
          </w:p>
        </w:tc>
        <w:tc>
          <w:tcPr/>
          <w:p>
            <w:pPr>
              <w:pStyle w:val="Compact"/>
            </w:pPr>
            <w:r>
              <w:t xml:space="preserve">0.180</w:t>
            </w:r>
          </w:p>
        </w:tc>
        <w:tc>
          <w:tcPr/>
          <w:p>
            <w:pPr>
              <w:pStyle w:val="Compact"/>
            </w:pPr>
            <w:r>
              <w:t xml:space="preserve">0.90</w:t>
            </w:r>
          </w:p>
        </w:tc>
      </w:tr>
      <w:tr>
        <w:tc>
          <w:tcPr/>
          <w:p>
            <w:pPr>
              <w:pStyle w:val="Compact"/>
            </w:pPr>
            <w:r>
              <w:t xml:space="preserve">θ6</w:t>
            </w:r>
          </w:p>
        </w:tc>
        <w:tc>
          <w:tcPr/>
          <w:p>
            <w:pPr>
              <w:pStyle w:val="Compact"/>
            </w:pPr>
            <w:r>
              <w:t xml:space="preserve">Contact scale, age 60+</w:t>
            </w:r>
          </w:p>
        </w:tc>
        <w:tc>
          <w:tcPr/>
          <w:p>
            <w:pPr>
              <w:pStyle w:val="Compact"/>
            </w:pPr>
            <w:r>
              <w:t xml:space="preserve">-3.695</w:t>
            </w:r>
          </w:p>
        </w:tc>
        <w:tc>
          <w:tcPr/>
          <w:p>
            <w:pPr>
              <w:pStyle w:val="Compact"/>
            </w:pPr>
            <w:r>
              <w:t xml:space="preserve">-3.605</w:t>
            </w:r>
          </w:p>
        </w:tc>
        <w:tc>
          <w:tcPr/>
          <w:p>
            <w:pPr>
              <w:pStyle w:val="Compact"/>
            </w:pPr>
            <w:r>
              <w:t xml:space="preserve">-3.604 (-4.002 to -3.211)</w:t>
            </w:r>
          </w:p>
        </w:tc>
        <w:tc>
          <w:tcPr/>
          <w:p>
            <w:pPr>
              <w:pStyle w:val="Compact"/>
            </w:pPr>
            <w:r>
              <w:t xml:space="preserve">0.202</w:t>
            </w:r>
          </w:p>
        </w:tc>
        <w:tc>
          <w:tcPr/>
          <w:p>
            <w:pPr>
              <w:pStyle w:val="Compact"/>
            </w:pPr>
            <w:r>
              <w:t xml:space="preserve">1.01</w:t>
            </w:r>
          </w:p>
        </w:tc>
      </w:tr>
      <w:tr>
        <w:tc>
          <w:tcPr/>
          <w:p>
            <w:pPr>
              <w:pStyle w:val="Compact"/>
            </w:pPr>
            <w:r>
              <w:t xml:space="preserve">θ7</w:t>
            </w:r>
          </w:p>
        </w:tc>
        <w:tc>
          <w:tcPr/>
          <w:p>
            <w:pPr>
              <w:pStyle w:val="Compact"/>
            </w:pPr>
            <w:r>
              <w:t xml:space="preserve">Excess entry scale, age &lt;20</w:t>
            </w:r>
          </w:p>
        </w:tc>
        <w:tc>
          <w:tcPr/>
          <w:p>
            <w:pPr>
              <w:pStyle w:val="Compact"/>
            </w:pPr>
            <w:r>
              <w:t xml:space="preserve">-0.832</w:t>
            </w:r>
          </w:p>
        </w:tc>
        <w:tc>
          <w:tcPr/>
          <w:p>
            <w:pPr>
              <w:pStyle w:val="Compact"/>
            </w:pPr>
            <w:r>
              <w:t xml:space="preserve">-0.832</w:t>
            </w:r>
          </w:p>
        </w:tc>
        <w:tc>
          <w:tcPr/>
          <w:p>
            <w:pPr>
              <w:pStyle w:val="Compact"/>
            </w:pPr>
            <w:r>
              <w:t xml:space="preserve">-0.836 (-1.214 to -0.482)</w:t>
            </w:r>
          </w:p>
        </w:tc>
        <w:tc>
          <w:tcPr/>
          <w:p>
            <w:pPr>
              <w:pStyle w:val="Compact"/>
            </w:pPr>
            <w:r>
              <w:t xml:space="preserve">0.188</w:t>
            </w:r>
          </w:p>
        </w:tc>
        <w:tc>
          <w:tcPr/>
          <w:p>
            <w:pPr>
              <w:pStyle w:val="Compact"/>
            </w:pPr>
            <w:r>
              <w:t xml:space="preserve">0.94</w:t>
            </w:r>
          </w:p>
        </w:tc>
      </w:tr>
      <w:tr>
        <w:tc>
          <w:tcPr/>
          <w:p>
            <w:pPr>
              <w:pStyle w:val="Compact"/>
            </w:pPr>
            <w:r>
              <w:t xml:space="preserve">θ8</w:t>
            </w:r>
          </w:p>
        </w:tc>
        <w:tc>
          <w:tcPr/>
          <w:p>
            <w:pPr>
              <w:pStyle w:val="Compact"/>
            </w:pPr>
            <w:r>
              <w:t xml:space="preserve">Excess entry scale, age 20–29</w:t>
            </w:r>
          </w:p>
        </w:tc>
        <w:tc>
          <w:tcPr/>
          <w:p>
            <w:pPr>
              <w:pStyle w:val="Compact"/>
            </w:pPr>
            <w:r>
              <w:t xml:space="preserve">-2.815</w:t>
            </w:r>
          </w:p>
        </w:tc>
        <w:tc>
          <w:tcPr/>
          <w:p>
            <w:pPr>
              <w:pStyle w:val="Compact"/>
            </w:pPr>
            <w:r>
              <w:t xml:space="preserve">-2.815</w:t>
            </w:r>
          </w:p>
        </w:tc>
        <w:tc>
          <w:tcPr/>
          <w:p>
            <w:pPr>
              <w:pStyle w:val="Compact"/>
            </w:pPr>
            <w:r>
              <w:t xml:space="preserve">-2.814 (-3.190 to -2.442)</w:t>
            </w:r>
          </w:p>
        </w:tc>
        <w:tc>
          <w:tcPr/>
          <w:p>
            <w:pPr>
              <w:pStyle w:val="Compact"/>
            </w:pPr>
            <w:r>
              <w:t xml:space="preserve">0.193</w:t>
            </w:r>
          </w:p>
        </w:tc>
        <w:tc>
          <w:tcPr/>
          <w:p>
            <w:pPr>
              <w:pStyle w:val="Compact"/>
            </w:pPr>
            <w:r>
              <w:t xml:space="preserve">0.96</w:t>
            </w:r>
          </w:p>
        </w:tc>
      </w:tr>
      <w:tr>
        <w:tc>
          <w:tcPr/>
          <w:p>
            <w:pPr>
              <w:pStyle w:val="Compact"/>
            </w:pPr>
            <w:r>
              <w:t xml:space="preserve">θ9</w:t>
            </w:r>
          </w:p>
        </w:tc>
        <w:tc>
          <w:tcPr/>
          <w:p>
            <w:pPr>
              <w:pStyle w:val="Compact"/>
            </w:pPr>
            <w:r>
              <w:t xml:space="preserve">Excess entry scale, age 30–39</w:t>
            </w:r>
          </w:p>
        </w:tc>
        <w:tc>
          <w:tcPr/>
          <w:p>
            <w:pPr>
              <w:pStyle w:val="Compact"/>
            </w:pPr>
            <w:r>
              <w:t xml:space="preserve">-1.120</w:t>
            </w:r>
          </w:p>
        </w:tc>
        <w:tc>
          <w:tcPr/>
          <w:p>
            <w:pPr>
              <w:pStyle w:val="Compact"/>
            </w:pPr>
            <w:r>
              <w:t xml:space="preserve">-1.120</w:t>
            </w:r>
          </w:p>
        </w:tc>
        <w:tc>
          <w:tcPr/>
          <w:p>
            <w:pPr>
              <w:pStyle w:val="Compact"/>
            </w:pPr>
            <w:r>
              <w:t xml:space="preserve">-1.093 (-1.471 to -0.782)</w:t>
            </w:r>
          </w:p>
        </w:tc>
        <w:tc>
          <w:tcPr/>
          <w:p>
            <w:pPr>
              <w:pStyle w:val="Compact"/>
            </w:pPr>
            <w:r>
              <w:t xml:space="preserve">0.174</w:t>
            </w:r>
          </w:p>
        </w:tc>
        <w:tc>
          <w:tcPr/>
          <w:p>
            <w:pPr>
              <w:pStyle w:val="Compact"/>
            </w:pPr>
            <w:r>
              <w:t xml:space="preserve">0.87</w:t>
            </w:r>
          </w:p>
        </w:tc>
      </w:tr>
      <w:tr>
        <w:tc>
          <w:tcPr/>
          <w:p>
            <w:pPr>
              <w:pStyle w:val="Compact"/>
            </w:pPr>
            <w:r>
              <w:t xml:space="preserve">θ10</w:t>
            </w:r>
          </w:p>
        </w:tc>
        <w:tc>
          <w:tcPr/>
          <w:p>
            <w:pPr>
              <w:pStyle w:val="Compact"/>
            </w:pPr>
            <w:r>
              <w:t xml:space="preserve">Excess entry scale, age 40–49</w:t>
            </w:r>
          </w:p>
        </w:tc>
        <w:tc>
          <w:tcPr/>
          <w:p>
            <w:pPr>
              <w:pStyle w:val="Compact"/>
            </w:pPr>
            <w:r>
              <w:t xml:space="preserve">-0.249</w:t>
            </w:r>
          </w:p>
        </w:tc>
        <w:tc>
          <w:tcPr/>
          <w:p>
            <w:pPr>
              <w:pStyle w:val="Compact"/>
            </w:pPr>
            <w:r>
              <w:t xml:space="preserve">-0.249</w:t>
            </w:r>
          </w:p>
        </w:tc>
        <w:tc>
          <w:tcPr/>
          <w:p>
            <w:pPr>
              <w:pStyle w:val="Compact"/>
            </w:pPr>
            <w:r>
              <w:t xml:space="preserve">-0.208 (-0.565 to 0.128)</w:t>
            </w:r>
          </w:p>
        </w:tc>
        <w:tc>
          <w:tcPr/>
          <w:p>
            <w:pPr>
              <w:pStyle w:val="Compact"/>
            </w:pPr>
            <w:r>
              <w:t xml:space="preserve">0.177</w:t>
            </w:r>
          </w:p>
        </w:tc>
        <w:tc>
          <w:tcPr/>
          <w:p>
            <w:pPr>
              <w:pStyle w:val="Compact"/>
            </w:pPr>
            <w:r>
              <w:t xml:space="preserve">0.89</w:t>
            </w:r>
          </w:p>
        </w:tc>
      </w:tr>
      <w:tr>
        <w:tc>
          <w:tcPr/>
          <w:p>
            <w:pPr>
              <w:pStyle w:val="Compact"/>
            </w:pPr>
            <w:r>
              <w:t xml:space="preserve">θ11</w:t>
            </w:r>
          </w:p>
        </w:tc>
        <w:tc>
          <w:tcPr/>
          <w:p>
            <w:pPr>
              <w:pStyle w:val="Compact"/>
            </w:pPr>
            <w:r>
              <w:t xml:space="preserve">Excess entry scale, age 50–59</w:t>
            </w:r>
          </w:p>
        </w:tc>
        <w:tc>
          <w:tcPr/>
          <w:p>
            <w:pPr>
              <w:pStyle w:val="Compact"/>
            </w:pPr>
            <w:r>
              <w:t xml:space="preserve">0.140</w:t>
            </w:r>
          </w:p>
        </w:tc>
        <w:tc>
          <w:tcPr/>
          <w:p>
            <w:pPr>
              <w:pStyle w:val="Compact"/>
            </w:pPr>
            <w:r>
              <w:t xml:space="preserve">0.140</w:t>
            </w:r>
          </w:p>
        </w:tc>
        <w:tc>
          <w:tcPr/>
          <w:p>
            <w:pPr>
              <w:pStyle w:val="Compact"/>
            </w:pPr>
            <w:r>
              <w:t xml:space="preserve">0.178 (-0.211 to 0.543)</w:t>
            </w:r>
          </w:p>
        </w:tc>
        <w:tc>
          <w:tcPr/>
          <w:p>
            <w:pPr>
              <w:pStyle w:val="Compact"/>
            </w:pPr>
            <w:r>
              <w:t xml:space="preserve">0.195</w:t>
            </w:r>
          </w:p>
        </w:tc>
        <w:tc>
          <w:tcPr/>
          <w:p>
            <w:pPr>
              <w:pStyle w:val="Compact"/>
            </w:pPr>
            <w:r>
              <w:t xml:space="preserve">0.97</w:t>
            </w:r>
          </w:p>
        </w:tc>
      </w:tr>
      <w:tr>
        <w:tc>
          <w:tcPr/>
          <w:p>
            <w:pPr>
              <w:pStyle w:val="Compact"/>
            </w:pPr>
            <w:r>
              <w:t xml:space="preserve">θ12</w:t>
            </w:r>
          </w:p>
        </w:tc>
        <w:tc>
          <w:tcPr/>
          <w:p>
            <w:pPr>
              <w:pStyle w:val="Compact"/>
            </w:pPr>
            <w:r>
              <w:t xml:space="preserve">Excess entry scale, age 60+</w:t>
            </w:r>
          </w:p>
        </w:tc>
        <w:tc>
          <w:tcPr/>
          <w:p>
            <w:pPr>
              <w:pStyle w:val="Compact"/>
            </w:pPr>
            <w:r>
              <w:t xml:space="preserve">0.109</w:t>
            </w:r>
          </w:p>
        </w:tc>
        <w:tc>
          <w:tcPr/>
          <w:p>
            <w:pPr>
              <w:pStyle w:val="Compact"/>
            </w:pPr>
            <w:r>
              <w:t xml:space="preserve">0.109</w:t>
            </w:r>
          </w:p>
        </w:tc>
        <w:tc>
          <w:tcPr/>
          <w:p>
            <w:pPr>
              <w:pStyle w:val="Compact"/>
            </w:pPr>
            <w:r>
              <w:t xml:space="preserve">0.113 (-0.283 to 0.496)</w:t>
            </w:r>
          </w:p>
        </w:tc>
        <w:tc>
          <w:tcPr/>
          <w:p>
            <w:pPr>
              <w:pStyle w:val="Compact"/>
            </w:pPr>
            <w:r>
              <w:t xml:space="preserve">0.195</w:t>
            </w:r>
          </w:p>
        </w:tc>
        <w:tc>
          <w:tcPr/>
          <w:p>
            <w:pPr>
              <w:pStyle w:val="Compact"/>
            </w:pPr>
            <w:r>
              <w:t xml:space="preserve">0.98</w:t>
            </w:r>
          </w:p>
        </w:tc>
      </w:tr>
    </w:tbl>
    <w:p>
      <w:pPr>
        <w:pStyle w:val="BodyText"/>
      </w:pPr>
      <w:r>
        <w:t xml:space="preserve">Table S6 compares the targets with the best deterministic fit and the 95% posterior predictive interval. All 12 predictive intervals overlapped the target intervals. Fig S1 shows the fit. At age 60+, the best fit gave a seroprevalence of 45.5% against a target of 42.9%. Without the excess mortality (</w:t>
      </w:r>
      <m:oMath>
        <m:r>
          <m:t>h</m:t>
        </m:r>
        <m:r>
          <m:rPr>
            <m:sty m:val="p"/>
          </m:rPr>
          <m:t>=</m:t>
        </m:r>
        <m:r>
          <m:t>1</m:t>
        </m:r>
      </m:oMath>
      <w:r>
        <w:t xml:space="preserve">) the 60+ fit was 49.4%, and over</w:t>
      </w:r>
      <w:r>
        <w:t xml:space="preserve"> </w:t>
      </w:r>
      <m:oMath>
        <m:r>
          <m:t>h</m:t>
        </m:r>
      </m:oMath>
      <w:r>
        <w:t xml:space="preserve"> </w:t>
      </w:r>
      <w:r>
        <w:t xml:space="preserve">from 1.11 to 1.77 it was 43.9% to 49.3% (3 starts each).</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group</w:t>
            </w:r>
          </w:p>
        </w:tc>
        <w:tc>
          <w:tcPr/>
          <w:p>
            <w:pPr>
              <w:pStyle w:val="Compact"/>
            </w:pPr>
            <w:r>
              <w:t xml:space="preserve">Seroprevalence target</w:t>
            </w:r>
          </w:p>
        </w:tc>
        <w:tc>
          <w:tcPr/>
          <w:p>
            <w:pPr>
              <w:pStyle w:val="Compact"/>
            </w:pPr>
            <w:r>
              <w:t xml:space="preserve">Best fit</w:t>
            </w:r>
          </w:p>
        </w:tc>
        <w:tc>
          <w:tcPr/>
          <w:p>
            <w:pPr>
              <w:pStyle w:val="Compact"/>
            </w:pPr>
            <w:r>
              <w:t xml:space="preserve">Posterior 95% interval</w:t>
            </w:r>
          </w:p>
        </w:tc>
        <w:tc>
          <w:tcPr/>
          <w:p>
            <w:pPr>
              <w:pStyle w:val="Compact"/>
            </w:pPr>
            <w:r>
              <w:t xml:space="preserve">Population target</w:t>
            </w:r>
          </w:p>
        </w:tc>
        <w:tc>
          <w:tcPr/>
          <w:p>
            <w:pPr>
              <w:pStyle w:val="Compact"/>
            </w:pPr>
            <w:r>
              <w:t xml:space="preserve">Best fit</w:t>
            </w:r>
          </w:p>
        </w:tc>
        <w:tc>
          <w:tcPr/>
          <w:p>
            <w:pPr>
              <w:pStyle w:val="Compact"/>
            </w:pPr>
            <w:r>
              <w:t xml:space="preserve">Posterior 95% interval</w:t>
            </w:r>
          </w:p>
        </w:tc>
      </w:tr>
      <w:tr>
        <w:tc>
          <w:tcPr/>
          <w:p>
            <w:pPr>
              <w:pStyle w:val="Compact"/>
            </w:pPr>
            <w:r>
              <w:t xml:space="preserve">&lt;20</w:t>
            </w:r>
          </w:p>
        </w:tc>
        <w:tc>
          <w:tcPr/>
          <w:p>
            <w:pPr>
              <w:pStyle w:val="Compact"/>
            </w:pPr>
            <w:r>
              <w:t xml:space="preserve">12.7%</w:t>
            </w:r>
          </w:p>
        </w:tc>
        <w:tc>
          <w:tcPr/>
          <w:p>
            <w:pPr>
              <w:pStyle w:val="Compact"/>
            </w:pPr>
            <w:r>
              <w:t xml:space="preserve">12.7%</w:t>
            </w:r>
          </w:p>
        </w:tc>
        <w:tc>
          <w:tcPr/>
          <w:p>
            <w:pPr>
              <w:pStyle w:val="Compact"/>
            </w:pPr>
            <w:r>
              <w:t xml:space="preserve">8.7% to 17.5%</w:t>
            </w:r>
          </w:p>
        </w:tc>
        <w:tc>
          <w:tcPr/>
          <w:p>
            <w:pPr>
              <w:pStyle w:val="Compact"/>
            </w:pPr>
            <w:r>
              <w:t xml:space="preserve">102</w:t>
            </w:r>
          </w:p>
        </w:tc>
        <w:tc>
          <w:tcPr/>
          <w:p>
            <w:pPr>
              <w:pStyle w:val="Compact"/>
            </w:pPr>
            <w:r>
              <w:t xml:space="preserve">112</w:t>
            </w:r>
          </w:p>
        </w:tc>
        <w:tc>
          <w:tcPr/>
          <w:p>
            <w:pPr>
              <w:pStyle w:val="Compact"/>
            </w:pPr>
            <w:r>
              <w:t xml:space="preserve">111 to 112</w:t>
            </w:r>
          </w:p>
        </w:tc>
      </w:tr>
      <w:tr>
        <w:tc>
          <w:tcPr/>
          <w:p>
            <w:pPr>
              <w:pStyle w:val="Compact"/>
            </w:pPr>
            <w:r>
              <w:t xml:space="preserve">20-29</w:t>
            </w:r>
          </w:p>
        </w:tc>
        <w:tc>
          <w:tcPr/>
          <w:p>
            <w:pPr>
              <w:pStyle w:val="Compact"/>
            </w:pPr>
            <w:r>
              <w:t xml:space="preserve">19.2%</w:t>
            </w:r>
          </w:p>
        </w:tc>
        <w:tc>
          <w:tcPr/>
          <w:p>
            <w:pPr>
              <w:pStyle w:val="Compact"/>
            </w:pPr>
            <w:r>
              <w:t xml:space="preserve">19.2%</w:t>
            </w:r>
          </w:p>
        </w:tc>
        <w:tc>
          <w:tcPr/>
          <w:p>
            <w:pPr>
              <w:pStyle w:val="Compact"/>
            </w:pPr>
            <w:r>
              <w:t xml:space="preserve">17.0% to 21.6%</w:t>
            </w:r>
          </w:p>
        </w:tc>
        <w:tc>
          <w:tcPr/>
          <w:p>
            <w:pPr>
              <w:pStyle w:val="Compact"/>
            </w:pPr>
            <w:r>
              <w:t xml:space="preserve">1001</w:t>
            </w:r>
          </w:p>
        </w:tc>
        <w:tc>
          <w:tcPr/>
          <w:p>
            <w:pPr>
              <w:pStyle w:val="Compact"/>
            </w:pPr>
            <w:r>
              <w:t xml:space="preserve">879</w:t>
            </w:r>
          </w:p>
        </w:tc>
        <w:tc>
          <w:tcPr/>
          <w:p>
            <w:pPr>
              <w:pStyle w:val="Compact"/>
            </w:pPr>
            <w:r>
              <w:t xml:space="preserve">878 to 881</w:t>
            </w:r>
          </w:p>
        </w:tc>
      </w:tr>
      <w:tr>
        <w:tc>
          <w:tcPr/>
          <w:p>
            <w:pPr>
              <w:pStyle w:val="Compact"/>
            </w:pPr>
            <w:r>
              <w:t xml:space="preserve">30-39</w:t>
            </w:r>
          </w:p>
        </w:tc>
        <w:tc>
          <w:tcPr/>
          <w:p>
            <w:pPr>
              <w:pStyle w:val="Compact"/>
            </w:pPr>
            <w:r>
              <w:t xml:space="preserve">30.0%</w:t>
            </w:r>
          </w:p>
        </w:tc>
        <w:tc>
          <w:tcPr/>
          <w:p>
            <w:pPr>
              <w:pStyle w:val="Compact"/>
            </w:pPr>
            <w:r>
              <w:t xml:space="preserve">30.0%</w:t>
            </w:r>
          </w:p>
        </w:tc>
        <w:tc>
          <w:tcPr/>
          <w:p>
            <w:pPr>
              <w:pStyle w:val="Compact"/>
            </w:pPr>
            <w:r>
              <w:t xml:space="preserve">27.2% to 32.7%</w:t>
            </w:r>
          </w:p>
        </w:tc>
        <w:tc>
          <w:tcPr/>
          <w:p>
            <w:pPr>
              <w:pStyle w:val="Compact"/>
            </w:pPr>
            <w:r>
              <w:t xml:space="preserve">806</w:t>
            </w:r>
          </w:p>
        </w:tc>
        <w:tc>
          <w:tcPr/>
          <w:p>
            <w:pPr>
              <w:pStyle w:val="Compact"/>
            </w:pPr>
            <w:r>
              <w:t xml:space="preserve">827</w:t>
            </w:r>
          </w:p>
        </w:tc>
        <w:tc>
          <w:tcPr/>
          <w:p>
            <w:pPr>
              <w:pStyle w:val="Compact"/>
            </w:pPr>
            <w:r>
              <w:t xml:space="preserve">825 to 829</w:t>
            </w:r>
          </w:p>
        </w:tc>
      </w:tr>
      <w:tr>
        <w:tc>
          <w:tcPr/>
          <w:p>
            <w:pPr>
              <w:pStyle w:val="Compact"/>
            </w:pPr>
            <w:r>
              <w:t xml:space="preserve">40-49</w:t>
            </w:r>
          </w:p>
        </w:tc>
        <w:tc>
          <w:tcPr/>
          <w:p>
            <w:pPr>
              <w:pStyle w:val="Compact"/>
            </w:pPr>
            <w:r>
              <w:t xml:space="preserve">48.3%</w:t>
            </w:r>
          </w:p>
        </w:tc>
        <w:tc>
          <w:tcPr/>
          <w:p>
            <w:pPr>
              <w:pStyle w:val="Compact"/>
            </w:pPr>
            <w:r>
              <w:t xml:space="preserve">48.4%</w:t>
            </w:r>
          </w:p>
        </w:tc>
        <w:tc>
          <w:tcPr/>
          <w:p>
            <w:pPr>
              <w:pStyle w:val="Compact"/>
            </w:pPr>
            <w:r>
              <w:t xml:space="preserve">45.4% to 51.2%</w:t>
            </w:r>
          </w:p>
        </w:tc>
        <w:tc>
          <w:tcPr/>
          <w:p>
            <w:pPr>
              <w:pStyle w:val="Compact"/>
            </w:pPr>
            <w:r>
              <w:t xml:space="preserve">754</w:t>
            </w:r>
          </w:p>
        </w:tc>
        <w:tc>
          <w:tcPr/>
          <w:p>
            <w:pPr>
              <w:pStyle w:val="Compact"/>
            </w:pPr>
            <w:r>
              <w:t xml:space="preserve">763</w:t>
            </w:r>
          </w:p>
        </w:tc>
        <w:tc>
          <w:tcPr/>
          <w:p>
            <w:pPr>
              <w:pStyle w:val="Compact"/>
            </w:pPr>
            <w:r>
              <w:t xml:space="preserve">759 to 765</w:t>
            </w:r>
          </w:p>
        </w:tc>
      </w:tr>
      <w:tr>
        <w:tc>
          <w:tcPr/>
          <w:p>
            <w:pPr>
              <w:pStyle w:val="Compact"/>
            </w:pPr>
            <w:r>
              <w:t xml:space="preserve">50-59</w:t>
            </w:r>
          </w:p>
        </w:tc>
        <w:tc>
          <w:tcPr/>
          <w:p>
            <w:pPr>
              <w:pStyle w:val="Compact"/>
            </w:pPr>
            <w:r>
              <w:t xml:space="preserve">53.1%</w:t>
            </w:r>
          </w:p>
        </w:tc>
        <w:tc>
          <w:tcPr/>
          <w:p>
            <w:pPr>
              <w:pStyle w:val="Compact"/>
            </w:pPr>
            <w:r>
              <w:t xml:space="preserve">52.2%</w:t>
            </w:r>
          </w:p>
        </w:tc>
        <w:tc>
          <w:tcPr/>
          <w:p>
            <w:pPr>
              <w:pStyle w:val="Compact"/>
            </w:pPr>
            <w:r>
              <w:t xml:space="preserve">49.3% to 55.5%</w:t>
            </w:r>
          </w:p>
        </w:tc>
        <w:tc>
          <w:tcPr/>
          <w:p>
            <w:pPr>
              <w:pStyle w:val="Compact"/>
            </w:pPr>
            <w:r>
              <w:t xml:space="preserve">557</w:t>
            </w:r>
          </w:p>
        </w:tc>
        <w:tc>
          <w:tcPr/>
          <w:p>
            <w:pPr>
              <w:pStyle w:val="Compact"/>
            </w:pPr>
            <w:r>
              <w:t xml:space="preserve">535</w:t>
            </w:r>
          </w:p>
        </w:tc>
        <w:tc>
          <w:tcPr/>
          <w:p>
            <w:pPr>
              <w:pStyle w:val="Compact"/>
            </w:pPr>
            <w:r>
              <w:t xml:space="preserve">527 to 539</w:t>
            </w:r>
          </w:p>
        </w:tc>
      </w:tr>
      <w:tr>
        <w:tc>
          <w:tcPr/>
          <w:p>
            <w:pPr>
              <w:pStyle w:val="Compact"/>
            </w:pPr>
            <w:r>
              <w:t xml:space="preserve">60+</w:t>
            </w:r>
          </w:p>
        </w:tc>
        <w:tc>
          <w:tcPr/>
          <w:p>
            <w:pPr>
              <w:pStyle w:val="Compact"/>
            </w:pPr>
            <w:r>
              <w:t xml:space="preserve">42.9%</w:t>
            </w:r>
          </w:p>
        </w:tc>
        <w:tc>
          <w:tcPr/>
          <w:p>
            <w:pPr>
              <w:pStyle w:val="Compact"/>
            </w:pPr>
            <w:r>
              <w:t xml:space="preserve">45.5%</w:t>
            </w:r>
          </w:p>
        </w:tc>
        <w:tc>
          <w:tcPr/>
          <w:p>
            <w:pPr>
              <w:pStyle w:val="Compact"/>
            </w:pPr>
            <w:r>
              <w:t xml:space="preserve">41.4% to 49.1%</w:t>
            </w:r>
          </w:p>
        </w:tc>
        <w:tc>
          <w:tcPr/>
          <w:p>
            <w:pPr>
              <w:pStyle w:val="Compact"/>
            </w:pPr>
            <w:r>
              <w:t xml:space="preserve">147</w:t>
            </w:r>
          </w:p>
        </w:tc>
        <w:tc>
          <w:tcPr/>
          <w:p>
            <w:pPr>
              <w:pStyle w:val="Compact"/>
            </w:pPr>
            <w:r>
              <w:t xml:space="preserve">140</w:t>
            </w:r>
          </w:p>
        </w:tc>
        <w:tc>
          <w:tcPr/>
          <w:p>
            <w:pPr>
              <w:pStyle w:val="Compact"/>
            </w:pPr>
            <w:r>
              <w:t xml:space="preserve">135 to 142</w:t>
            </w:r>
          </w:p>
        </w:tc>
      </w:tr>
    </w:tbl>
    <w:p>
      <w:pPr>
        <w:pStyle w:val="CaptionedFigure"/>
      </w:pPr>
      <w:r>
        <w:drawing>
          <wp:inline>
            <wp:extent cx="5334000" cy="2377778"/>
            <wp:effectExtent b="0" l="0" r="0" t="0"/>
            <wp:docPr descr="Fig S1. Calibration of age specific seroprevalence and prison population in 2015. Target intervals are compared with 95% posterior predictive intervals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S1. Calibration of age specific seroprevalence and prison population in 2015. Target intervals are compared with 95% posterior predictive intervals from the MCMC posterior and, for contrast, single round neural posterior estimation.</w:t>
      </w:r>
    </w:p>
    <w:p>
      <w:pPr>
        <w:pStyle w:val="BodyText"/>
      </w:pPr>
      <w:r>
        <w:t xml:space="preserve">In 2015 the model estimated 3,433 (95% interval: 2,753–4,388) people in D, 3,253 (3,239–3,265) in J, 2,157 (2,148–2,165) in F and 9,608 (9,545–9,664) in X. The total was 18,453 (17,799–19,380) people with a history of injecting drugs. Of these, 3,843 (3,579–4,199) were viraemic.</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47.6% (95% UI: 36.5%–57.5%)</w:t>
            </w:r>
          </w:p>
        </w:tc>
        <w:tc>
          <w:tcPr/>
          <w:p>
            <w:pPr>
              <w:pStyle w:val="Compact"/>
            </w:pPr>
            <w:r>
              <w:t xml:space="preserve">47.4% (95% UI: 44.7%–48.8%)</w:t>
            </w:r>
          </w:p>
        </w:tc>
        <w:tc>
          <w:tcPr/>
          <w:p>
            <w:pPr>
              <w:pStyle w:val="Compact"/>
            </w:pPr>
            <w:r>
              <w:t xml:space="preserve">0%</w:t>
            </w:r>
          </w:p>
        </w:tc>
        <w:tc>
          <w:tcPr/>
          <w:p>
            <w:pPr>
              <w:pStyle w:val="Compact"/>
            </w:pPr>
            <w:r>
              <w:t xml:space="preserve">46.4% (95% UI: 35.2%–56.8%)</w:t>
            </w:r>
          </w:p>
        </w:tc>
        <w:tc>
          <w:tcPr/>
          <w:p>
            <w:pPr>
              <w:pStyle w:val="Compact"/>
            </w:pPr>
            <w:r>
              <w:t xml:space="preserve">42.4% (95% UI: 41.8%–42.9%)</w:t>
            </w:r>
          </w:p>
        </w:tc>
      </w:tr>
      <w:tr>
        <w:tc>
          <w:tcPr/>
          <w:p>
            <w:pPr>
              <w:pStyle w:val="Compact"/>
            </w:pPr>
            <w:r>
              <w:t xml:space="preserve">J + 600/year, F 25%</w:t>
            </w:r>
          </w:p>
        </w:tc>
        <w:tc>
          <w:tcPr/>
          <w:p>
            <w:pPr>
              <w:pStyle w:val="Compact"/>
            </w:pPr>
            <w:r>
              <w:t xml:space="preserve">49.1% (95% UI: 37.8%–59.2%)</w:t>
            </w:r>
          </w:p>
        </w:tc>
        <w:tc>
          <w:tcPr/>
          <w:p>
            <w:pPr>
              <w:pStyle w:val="Compact"/>
            </w:pPr>
            <w:r>
              <w:t xml:space="preserve">51.1% (95% UI: 48.1%–52.7%)</w:t>
            </w:r>
          </w:p>
        </w:tc>
        <w:tc>
          <w:tcPr/>
          <w:p>
            <w:pPr>
              <w:pStyle w:val="Compact"/>
            </w:pPr>
            <w:r>
              <w:t xml:space="preserve">0%</w:t>
            </w:r>
          </w:p>
        </w:tc>
        <w:tc>
          <w:tcPr/>
          <w:p>
            <w:pPr>
              <w:pStyle w:val="Compact"/>
            </w:pPr>
            <w:r>
              <w:t xml:space="preserve">47.8% (95% UI: 36.3%–58.6%)</w:t>
            </w:r>
          </w:p>
        </w:tc>
        <w:tc>
          <w:tcPr/>
          <w:p>
            <w:pPr>
              <w:pStyle w:val="Compact"/>
            </w:pPr>
            <w:r>
              <w:t xml:space="preserve">47.4% (95% UI: 46.9%–47.9%)</w:t>
            </w:r>
          </w:p>
        </w:tc>
      </w:tr>
      <w:tr>
        <w:tc>
          <w:tcPr/>
          <w:p>
            <w:pPr>
              <w:pStyle w:val="Compact"/>
            </w:pPr>
            <w:r>
              <w:t xml:space="preserve">J + 1,000/year, F 25%</w:t>
            </w:r>
          </w:p>
        </w:tc>
        <w:tc>
          <w:tcPr/>
          <w:p>
            <w:pPr>
              <w:pStyle w:val="Compact"/>
            </w:pPr>
            <w:r>
              <w:t xml:space="preserve">50.0% (95% UI: 38.5%–60.2%)</w:t>
            </w:r>
          </w:p>
        </w:tc>
        <w:tc>
          <w:tcPr/>
          <w:p>
            <w:pPr>
              <w:pStyle w:val="Compact"/>
            </w:pPr>
            <w:r>
              <w:t xml:space="preserve">53.2% (95% UI: 50.1%–54.9%)</w:t>
            </w:r>
          </w:p>
        </w:tc>
        <w:tc>
          <w:tcPr/>
          <w:p>
            <w:pPr>
              <w:pStyle w:val="Compact"/>
            </w:pPr>
            <w:r>
              <w:t xml:space="preserve">0%</w:t>
            </w:r>
          </w:p>
        </w:tc>
        <w:tc>
          <w:tcPr/>
          <w:p>
            <w:pPr>
              <w:pStyle w:val="Compact"/>
            </w:pPr>
            <w:r>
              <w:t xml:space="preserve">48.7% (95% UI: 36.9%–59.5%)</w:t>
            </w:r>
          </w:p>
        </w:tc>
        <w:tc>
          <w:tcPr/>
          <w:p>
            <w:pPr>
              <w:pStyle w:val="Compact"/>
            </w:pPr>
            <w:r>
              <w:t xml:space="preserve">50.3% (95% UI: 49.8%–50.8%)</w:t>
            </w:r>
          </w:p>
        </w:tc>
      </w:tr>
      <w:tr>
        <w:tc>
          <w:tcPr/>
          <w:p>
            <w:pPr>
              <w:pStyle w:val="Compact"/>
            </w:pPr>
            <w:r>
              <w:t xml:space="preserve">J + 2,000/year, F 25%</w:t>
            </w:r>
          </w:p>
        </w:tc>
        <w:tc>
          <w:tcPr/>
          <w:p>
            <w:pPr>
              <w:pStyle w:val="Compact"/>
            </w:pPr>
            <w:r>
              <w:t xml:space="preserve">51.9% (95% UI: 40.0%–62.4%)</w:t>
            </w:r>
          </w:p>
        </w:tc>
        <w:tc>
          <w:tcPr/>
          <w:p>
            <w:pPr>
              <w:pStyle w:val="Compact"/>
            </w:pPr>
            <w:r>
              <w:t xml:space="preserve">57.6% (95% UI: 54.2%–59.5%)</w:t>
            </w:r>
          </w:p>
        </w:tc>
        <w:tc>
          <w:tcPr/>
          <w:p>
            <w:pPr>
              <w:pStyle w:val="Compact"/>
            </w:pPr>
            <w:r>
              <w:t xml:space="preserve">0%</w:t>
            </w:r>
          </w:p>
        </w:tc>
        <w:tc>
          <w:tcPr/>
          <w:p>
            <w:pPr>
              <w:pStyle w:val="Compact"/>
            </w:pPr>
            <w:r>
              <w:t xml:space="preserve">50.4% (95% UI: 38.3%–61.6%)</w:t>
            </w:r>
          </w:p>
        </w:tc>
        <w:tc>
          <w:tcPr/>
          <w:p>
            <w:pPr>
              <w:pStyle w:val="Compact"/>
            </w:pPr>
            <w:r>
              <w:t xml:space="preserve">56.2% (95% UI: 55.7%–56.7%)</w:t>
            </w:r>
          </w:p>
        </w:tc>
      </w:tr>
      <w:tr>
        <w:tc>
          <w:tcPr/>
          <w:p>
            <w:pPr>
              <w:pStyle w:val="Compact"/>
            </w:pPr>
            <w:r>
              <w:t xml:space="preserve">J + 5,000/year, F 25%</w:t>
            </w:r>
          </w:p>
        </w:tc>
        <w:tc>
          <w:tcPr/>
          <w:p>
            <w:pPr>
              <w:pStyle w:val="Compact"/>
            </w:pPr>
            <w:r>
              <w:t xml:space="preserve">55.4% (95% UI: 42.8%–66.3%)</w:t>
            </w:r>
          </w:p>
        </w:tc>
        <w:tc>
          <w:tcPr/>
          <w:p>
            <w:pPr>
              <w:pStyle w:val="Compact"/>
            </w:pPr>
            <w:r>
              <w:t xml:space="preserve">64.9% (95% UI: 60.9%–67.0%)</w:t>
            </w:r>
          </w:p>
        </w:tc>
        <w:tc>
          <w:tcPr/>
          <w:p>
            <w:pPr>
              <w:pStyle w:val="Compact"/>
            </w:pPr>
            <w:r>
              <w:t xml:space="preserve">0%</w:t>
            </w:r>
          </w:p>
        </w:tc>
        <w:tc>
          <w:tcPr/>
          <w:p>
            <w:pPr>
              <w:pStyle w:val="Compact"/>
            </w:pPr>
            <w:r>
              <w:t xml:space="preserve">53.8% (95% UI: 41.1%–65.5%)</w:t>
            </w:r>
          </w:p>
        </w:tc>
        <w:tc>
          <w:tcPr/>
          <w:p>
            <w:pPr>
              <w:pStyle w:val="Compact"/>
            </w:pPr>
            <w:r>
              <w:t xml:space="preserve">65.9% (95% UI: 65.4%–66.4%)</w:t>
            </w:r>
          </w:p>
        </w:tc>
      </w:tr>
      <w:tr>
        <w:tc>
          <w:tcPr/>
          <w:p>
            <w:pPr>
              <w:pStyle w:val="Compact"/>
            </w:pPr>
            <w:r>
              <w:t xml:space="preserve">J + 8,000/year, F 25%</w:t>
            </w:r>
          </w:p>
        </w:tc>
        <w:tc>
          <w:tcPr/>
          <w:p>
            <w:pPr>
              <w:pStyle w:val="Compact"/>
            </w:pPr>
            <w:r>
              <w:t xml:space="preserve">57.1% (95% UI: 44.3%–68.2%)</w:t>
            </w:r>
          </w:p>
        </w:tc>
        <w:tc>
          <w:tcPr/>
          <w:p>
            <w:pPr>
              <w:pStyle w:val="Compact"/>
            </w:pPr>
            <w:r>
              <w:t xml:space="preserve">67.2% (95% UI: 63.1%–69.4%)</w:t>
            </w:r>
          </w:p>
        </w:tc>
        <w:tc>
          <w:tcPr/>
          <w:p>
            <w:pPr>
              <w:pStyle w:val="Compact"/>
            </w:pPr>
            <w:r>
              <w:t xml:space="preserve">0%</w:t>
            </w:r>
          </w:p>
        </w:tc>
        <w:tc>
          <w:tcPr/>
          <w:p>
            <w:pPr>
              <w:pStyle w:val="Compact"/>
            </w:pPr>
            <w:r>
              <w:t xml:space="preserve">55.5% (95% UI: 42.6%–67.5%)</w:t>
            </w:r>
          </w:p>
        </w:tc>
        <w:tc>
          <w:tcPr/>
          <w:p>
            <w:pPr>
              <w:pStyle w:val="Compact"/>
            </w:pPr>
            <w:r>
              <w:t xml:space="preserve">69.0% (95% UI: 68.4%–69.5%)</w:t>
            </w:r>
          </w:p>
        </w:tc>
      </w:tr>
      <w:tr>
        <w:tc>
          <w:tcPr/>
          <w:p>
            <w:pPr>
              <w:pStyle w:val="Compact"/>
            </w:pPr>
            <w:r>
              <w:t xml:space="preserve">J + 600/year, F 50%</w:t>
            </w:r>
          </w:p>
        </w:tc>
        <w:tc>
          <w:tcPr/>
          <w:p>
            <w:pPr>
              <w:pStyle w:val="Compact"/>
            </w:pPr>
            <w:r>
              <w:t xml:space="preserve">50.4% (95% UI: 38.8%–60.7%)</w:t>
            </w:r>
          </w:p>
        </w:tc>
        <w:tc>
          <w:tcPr/>
          <w:p>
            <w:pPr>
              <w:pStyle w:val="Compact"/>
            </w:pPr>
            <w:r>
              <w:t xml:space="preserve">50.1% (95% UI: 47.2%–51.6%)</w:t>
            </w:r>
          </w:p>
        </w:tc>
        <w:tc>
          <w:tcPr/>
          <w:p>
            <w:pPr>
              <w:pStyle w:val="Compact"/>
            </w:pPr>
            <w:r>
              <w:t xml:space="preserve">0%</w:t>
            </w:r>
          </w:p>
        </w:tc>
        <w:tc>
          <w:tcPr/>
          <w:p>
            <w:pPr>
              <w:pStyle w:val="Compact"/>
            </w:pPr>
            <w:r>
              <w:t xml:space="preserve">49.1% (95% UI: 37.2%–60.0%)</w:t>
            </w:r>
          </w:p>
        </w:tc>
        <w:tc>
          <w:tcPr/>
          <w:p>
            <w:pPr>
              <w:pStyle w:val="Compact"/>
            </w:pPr>
            <w:r>
              <w:t xml:space="preserve">46.0% (95% UI: 45.5%–46.5%)</w:t>
            </w:r>
          </w:p>
        </w:tc>
      </w:tr>
      <w:tr>
        <w:tc>
          <w:tcPr/>
          <w:p>
            <w:pPr>
              <w:pStyle w:val="Compact"/>
            </w:pPr>
            <w:r>
              <w:t xml:space="preserve">J + 1,000/year, F 50%</w:t>
            </w:r>
          </w:p>
        </w:tc>
        <w:tc>
          <w:tcPr/>
          <w:p>
            <w:pPr>
              <w:pStyle w:val="Compact"/>
            </w:pPr>
            <w:r>
              <w:t xml:space="preserve">51.9% (95% UI: 40.0%–62.4%)</w:t>
            </w:r>
          </w:p>
        </w:tc>
        <w:tc>
          <w:tcPr/>
          <w:p>
            <w:pPr>
              <w:pStyle w:val="Compact"/>
            </w:pPr>
            <w:r>
              <w:t xml:space="preserve">51.7% (95% UI: 48.7%–53.3%)</w:t>
            </w:r>
          </w:p>
        </w:tc>
        <w:tc>
          <w:tcPr/>
          <w:p>
            <w:pPr>
              <w:pStyle w:val="Compact"/>
            </w:pPr>
            <w:r>
              <w:t xml:space="preserve">0%</w:t>
            </w:r>
          </w:p>
        </w:tc>
        <w:tc>
          <w:tcPr/>
          <w:p>
            <w:pPr>
              <w:pStyle w:val="Compact"/>
            </w:pPr>
            <w:r>
              <w:t xml:space="preserve">50.4% (95% UI: 38.3%–61.6%)</w:t>
            </w:r>
          </w:p>
        </w:tc>
        <w:tc>
          <w:tcPr/>
          <w:p>
            <w:pPr>
              <w:pStyle w:val="Compact"/>
            </w:pPr>
            <w:r>
              <w:t xml:space="preserve">48.1% (95% UI: 47.7%–48.7%)</w:t>
            </w:r>
          </w:p>
        </w:tc>
      </w:tr>
      <w:tr>
        <w:tc>
          <w:tcPr/>
          <w:p>
            <w:pPr>
              <w:pStyle w:val="Compact"/>
            </w:pPr>
            <w:r>
              <w:t xml:space="preserve">J + 2,000/year, F 50%</w:t>
            </w:r>
          </w:p>
        </w:tc>
        <w:tc>
          <w:tcPr/>
          <w:p>
            <w:pPr>
              <w:pStyle w:val="Compact"/>
            </w:pPr>
            <w:r>
              <w:t xml:space="preserve">54.5% (95% UI: 42.1%–65.2%)</w:t>
            </w:r>
          </w:p>
        </w:tc>
        <w:tc>
          <w:tcPr/>
          <w:p>
            <w:pPr>
              <w:pStyle w:val="Compact"/>
            </w:pPr>
            <w:r>
              <w:t xml:space="preserve">55.2% (95% UI: 52.0%–56.9%)</w:t>
            </w:r>
          </w:p>
        </w:tc>
        <w:tc>
          <w:tcPr/>
          <w:p>
            <w:pPr>
              <w:pStyle w:val="Compact"/>
            </w:pPr>
            <w:r>
              <w:t xml:space="preserve">0%</w:t>
            </w:r>
          </w:p>
        </w:tc>
        <w:tc>
          <w:tcPr/>
          <w:p>
            <w:pPr>
              <w:pStyle w:val="Compact"/>
            </w:pPr>
            <w:r>
              <w:t xml:space="preserve">53.0% (95% UI: 40.3%–64.6%)</w:t>
            </w:r>
          </w:p>
        </w:tc>
        <w:tc>
          <w:tcPr/>
          <w:p>
            <w:pPr>
              <w:pStyle w:val="Compact"/>
            </w:pPr>
            <w:r>
              <w:t xml:space="preserve">52.8% (95% UI: 52.3%–53.3%)</w:t>
            </w:r>
          </w:p>
        </w:tc>
      </w:tr>
      <w:tr>
        <w:tc>
          <w:tcPr/>
          <w:p>
            <w:pPr>
              <w:pStyle w:val="Compact"/>
            </w:pPr>
            <w:r>
              <w:t xml:space="preserve">J + 5,000/year, F 50%</w:t>
            </w:r>
          </w:p>
        </w:tc>
        <w:tc>
          <w:tcPr/>
          <w:p>
            <w:pPr>
              <w:pStyle w:val="Compact"/>
            </w:pPr>
            <w:r>
              <w:t xml:space="preserve">57.3% (95% UI: 44.4%–68.4%)</w:t>
            </w:r>
          </w:p>
        </w:tc>
        <w:tc>
          <w:tcPr/>
          <w:p>
            <w:pPr>
              <w:pStyle w:val="Compact"/>
            </w:pPr>
            <w:r>
              <w:t xml:space="preserve">62.0% (95% UI: 58.3%–64.1%)</w:t>
            </w:r>
          </w:p>
        </w:tc>
        <w:tc>
          <w:tcPr/>
          <w:p>
            <w:pPr>
              <w:pStyle w:val="Compact"/>
            </w:pPr>
            <w:r>
              <w:t xml:space="preserve">0%</w:t>
            </w:r>
          </w:p>
        </w:tc>
        <w:tc>
          <w:tcPr/>
          <w:p>
            <w:pPr>
              <w:pStyle w:val="Compact"/>
            </w:pPr>
            <w:r>
              <w:t xml:space="preserve">55.6% (95% UI: 42.6%–67.7%)</w:t>
            </w:r>
          </w:p>
        </w:tc>
        <w:tc>
          <w:tcPr/>
          <w:p>
            <w:pPr>
              <w:pStyle w:val="Compact"/>
            </w:pPr>
            <w:r>
              <w:t xml:space="preserve">62.0% (95% UI: 61.5%–62.5%)</w:t>
            </w:r>
          </w:p>
        </w:tc>
      </w:tr>
      <w:tr>
        <w:tc>
          <w:tcPr/>
          <w:p>
            <w:pPr>
              <w:pStyle w:val="Compact"/>
            </w:pPr>
            <w:r>
              <w:t xml:space="preserve">J + 8,000/year, F 50%</w:t>
            </w:r>
          </w:p>
        </w:tc>
        <w:tc>
          <w:tcPr/>
          <w:p>
            <w:pPr>
              <w:pStyle w:val="Compact"/>
            </w:pPr>
            <w:r>
              <w:t xml:space="preserve">57.3% (95% UI: 44.4%–68.4%)</w:t>
            </w:r>
          </w:p>
        </w:tc>
        <w:tc>
          <w:tcPr/>
          <w:p>
            <w:pPr>
              <w:pStyle w:val="Compact"/>
            </w:pPr>
            <w:r>
              <w:t xml:space="preserve">65.4% (95% UI: 61.4%–67.6%)</w:t>
            </w:r>
          </w:p>
        </w:tc>
        <w:tc>
          <w:tcPr/>
          <w:p>
            <w:pPr>
              <w:pStyle w:val="Compact"/>
            </w:pPr>
            <w:r>
              <w:t xml:space="preserve">0%</w:t>
            </w:r>
          </w:p>
        </w:tc>
        <w:tc>
          <w:tcPr/>
          <w:p>
            <w:pPr>
              <w:pStyle w:val="Compact"/>
            </w:pPr>
            <w:r>
              <w:t xml:space="preserve">55.6% (95% UI: 42.6%–67.7%)</w:t>
            </w:r>
          </w:p>
        </w:tc>
        <w:tc>
          <w:tcPr/>
          <w:p>
            <w:pPr>
              <w:pStyle w:val="Compact"/>
            </w:pPr>
            <w:r>
              <w:t xml:space="preserve">66.6% (95% UI: 66.0%–67.1%)</w:t>
            </w:r>
          </w:p>
        </w:tc>
      </w:tr>
      <w:tr>
        <w:tc>
          <w:tcPr/>
          <w:p>
            <w:pPr>
              <w:pStyle w:val="Compact"/>
            </w:pPr>
            <w:r>
              <w:t xml:space="preserve">J + 600/year, F 75%</w:t>
            </w:r>
          </w:p>
        </w:tc>
        <w:tc>
          <w:tcPr/>
          <w:p>
            <w:pPr>
              <w:pStyle w:val="Compact"/>
            </w:pPr>
            <w:r>
              <w:t xml:space="preserve">51.6% (95% UI: 39.7%–62.0%)</w:t>
            </w:r>
          </w:p>
        </w:tc>
        <w:tc>
          <w:tcPr/>
          <w:p>
            <w:pPr>
              <w:pStyle w:val="Compact"/>
            </w:pPr>
            <w:r>
              <w:t xml:space="preserve">49.0% (95% UI: 46.2%–50.5%)</w:t>
            </w:r>
          </w:p>
        </w:tc>
        <w:tc>
          <w:tcPr/>
          <w:p>
            <w:pPr>
              <w:pStyle w:val="Compact"/>
            </w:pPr>
            <w:r>
              <w:t xml:space="preserve">0%</w:t>
            </w:r>
          </w:p>
        </w:tc>
        <w:tc>
          <w:tcPr/>
          <w:p>
            <w:pPr>
              <w:pStyle w:val="Compact"/>
            </w:pPr>
            <w:r>
              <w:t xml:space="preserve">50.1% (95% UI: 38.0%–61.3%)</w:t>
            </w:r>
          </w:p>
        </w:tc>
        <w:tc>
          <w:tcPr/>
          <w:p>
            <w:pPr>
              <w:pStyle w:val="Compact"/>
            </w:pPr>
            <w:r>
              <w:t xml:space="preserve">44.5% (95% UI: 44.0%–45.0%)</w:t>
            </w:r>
          </w:p>
        </w:tc>
      </w:tr>
      <w:tr>
        <w:tc>
          <w:tcPr/>
          <w:p>
            <w:pPr>
              <w:pStyle w:val="Compact"/>
            </w:pPr>
            <w:r>
              <w:t xml:space="preserve">J + 1,000/year, F 75%</w:t>
            </w:r>
          </w:p>
        </w:tc>
        <w:tc>
          <w:tcPr/>
          <w:p>
            <w:pPr>
              <w:pStyle w:val="Compact"/>
            </w:pPr>
            <w:r>
              <w:t xml:space="preserve">53.4% (95% UI: 41.2%–64.0%)</w:t>
            </w:r>
          </w:p>
        </w:tc>
        <w:tc>
          <w:tcPr/>
          <w:p>
            <w:pPr>
              <w:pStyle w:val="Compact"/>
            </w:pPr>
            <w:r>
              <w:t xml:space="preserve">50.0% (95% UI: 47.1%–51.5%)</w:t>
            </w:r>
          </w:p>
        </w:tc>
        <w:tc>
          <w:tcPr/>
          <w:p>
            <w:pPr>
              <w:pStyle w:val="Compact"/>
            </w:pPr>
            <w:r>
              <w:t xml:space="preserve">0%</w:t>
            </w:r>
          </w:p>
        </w:tc>
        <w:tc>
          <w:tcPr/>
          <w:p>
            <w:pPr>
              <w:pStyle w:val="Compact"/>
            </w:pPr>
            <w:r>
              <w:t xml:space="preserve">51.8% (95% UI: 39.4%–63.2%)</w:t>
            </w:r>
          </w:p>
        </w:tc>
        <w:tc>
          <w:tcPr/>
          <w:p>
            <w:pPr>
              <w:pStyle w:val="Compact"/>
            </w:pPr>
            <w:r>
              <w:t xml:space="preserve">45.7% (95% UI: 45.2%–46.3%)</w:t>
            </w:r>
          </w:p>
        </w:tc>
      </w:tr>
      <w:tr>
        <w:tc>
          <w:tcPr/>
          <w:p>
            <w:pPr>
              <w:pStyle w:val="Compact"/>
            </w:pPr>
            <w:r>
              <w:t xml:space="preserve">J + 2,000/year, F 75%</w:t>
            </w:r>
          </w:p>
        </w:tc>
        <w:tc>
          <w:tcPr/>
          <w:p>
            <w:pPr>
              <w:pStyle w:val="Compact"/>
            </w:pPr>
            <w:r>
              <w:t xml:space="preserve">56.1% (95% UI: 43.4%–67.0%)</w:t>
            </w:r>
          </w:p>
        </w:tc>
        <w:tc>
          <w:tcPr/>
          <w:p>
            <w:pPr>
              <w:pStyle w:val="Compact"/>
            </w:pPr>
            <w:r>
              <w:t xml:space="preserve">52.1% (95% UI: 49.1%–53.7%)</w:t>
            </w:r>
          </w:p>
        </w:tc>
        <w:tc>
          <w:tcPr/>
          <w:p>
            <w:pPr>
              <w:pStyle w:val="Compact"/>
            </w:pPr>
            <w:r>
              <w:t xml:space="preserve">0%</w:t>
            </w:r>
          </w:p>
        </w:tc>
        <w:tc>
          <w:tcPr/>
          <w:p>
            <w:pPr>
              <w:pStyle w:val="Compact"/>
            </w:pPr>
            <w:r>
              <w:t xml:space="preserve">54.5% (95% UI: 41.7%–66.3%)</w:t>
            </w:r>
          </w:p>
        </w:tc>
        <w:tc>
          <w:tcPr/>
          <w:p>
            <w:pPr>
              <w:pStyle w:val="Compact"/>
            </w:pPr>
            <w:r>
              <w:t xml:space="preserve">48.5% (95% UI: 48.0%–49.0%)</w:t>
            </w:r>
          </w:p>
        </w:tc>
      </w:tr>
      <w:tr>
        <w:tc>
          <w:tcPr/>
          <w:p>
            <w:pPr>
              <w:pStyle w:val="Compact"/>
            </w:pPr>
            <w:r>
              <w:t xml:space="preserve">J + 5,000/year, F 75%</w:t>
            </w:r>
          </w:p>
        </w:tc>
        <w:tc>
          <w:tcPr/>
          <w:p>
            <w:pPr>
              <w:pStyle w:val="Compact"/>
            </w:pPr>
            <w:r>
              <w:t xml:space="preserve">57.3% (95% UI: 44.4%–68.4%)</w:t>
            </w:r>
          </w:p>
        </w:tc>
        <w:tc>
          <w:tcPr/>
          <w:p>
            <w:pPr>
              <w:pStyle w:val="Compact"/>
            </w:pPr>
            <w:r>
              <w:t xml:space="preserve">56.8% (95% UI: 53.5%–58.6%)</w:t>
            </w:r>
          </w:p>
        </w:tc>
        <w:tc>
          <w:tcPr/>
          <w:p>
            <w:pPr>
              <w:pStyle w:val="Compact"/>
            </w:pPr>
            <w:r>
              <w:t xml:space="preserve">0%</w:t>
            </w:r>
          </w:p>
        </w:tc>
        <w:tc>
          <w:tcPr/>
          <w:p>
            <w:pPr>
              <w:pStyle w:val="Compact"/>
            </w:pPr>
            <w:r>
              <w:t xml:space="preserve">55.6% (95% UI: 42.6%–67.7%)</w:t>
            </w:r>
          </w:p>
        </w:tc>
        <w:tc>
          <w:tcPr/>
          <w:p>
            <w:pPr>
              <w:pStyle w:val="Compact"/>
            </w:pPr>
            <w:r>
              <w:t xml:space="preserve">54.9% (95% UI: 54.4%–55.4%)</w:t>
            </w:r>
          </w:p>
        </w:tc>
      </w:tr>
      <w:tr>
        <w:tc>
          <w:tcPr/>
          <w:p>
            <w:pPr>
              <w:pStyle w:val="Compact"/>
            </w:pPr>
            <w:r>
              <w:t xml:space="preserve">J + 8,000/year, F 75%</w:t>
            </w:r>
          </w:p>
        </w:tc>
        <w:tc>
          <w:tcPr/>
          <w:p>
            <w:pPr>
              <w:pStyle w:val="Compact"/>
            </w:pPr>
            <w:r>
              <w:t xml:space="preserve">57.3% (95% UI: 44.4%–68.4%)</w:t>
            </w:r>
          </w:p>
        </w:tc>
        <w:tc>
          <w:tcPr/>
          <w:p>
            <w:pPr>
              <w:pStyle w:val="Compact"/>
            </w:pPr>
            <w:r>
              <w:t xml:space="preserve">60.3% (95% UI: 56.7%–62.2%)</w:t>
            </w:r>
          </w:p>
        </w:tc>
        <w:tc>
          <w:tcPr/>
          <w:p>
            <w:pPr>
              <w:pStyle w:val="Compact"/>
            </w:pPr>
            <w:r>
              <w:t xml:space="preserve">0%</w:t>
            </w:r>
          </w:p>
        </w:tc>
        <w:tc>
          <w:tcPr/>
          <w:p>
            <w:pPr>
              <w:pStyle w:val="Compact"/>
            </w:pPr>
            <w:r>
              <w:t xml:space="preserve">55.6% (95% UI: 42.6%–67.7%)</w:t>
            </w:r>
          </w:p>
        </w:tc>
        <w:tc>
          <w:tcPr/>
          <w:p>
            <w:pPr>
              <w:pStyle w:val="Compact"/>
            </w:pPr>
            <w:r>
              <w:t xml:space="preserve">59.6% (95% UI: 59.1%–60.1%)</w:t>
            </w:r>
          </w:p>
        </w:tc>
      </w:tr>
      <w:tr>
        <w:tc>
          <w:tcPr/>
          <w:p>
            <w:pPr>
              <w:pStyle w:val="Compact"/>
            </w:pPr>
            <w:r>
              <w:t xml:space="preserve">J + no screening cap</w:t>
            </w:r>
          </w:p>
        </w:tc>
        <w:tc>
          <w:tcPr/>
          <w:p>
            <w:pPr>
              <w:pStyle w:val="Compact"/>
            </w:pPr>
            <w:r>
              <w:t xml:space="preserve">57.3% (95% UI: 44.4%–68.4%)</w:t>
            </w:r>
          </w:p>
        </w:tc>
        <w:tc>
          <w:tcPr/>
          <w:p>
            <w:pPr>
              <w:pStyle w:val="Compact"/>
            </w:pPr>
            <w:r>
              <w:t xml:space="preserve">67.4% (95% UI: 63.3%–69.7%)</w:t>
            </w:r>
          </w:p>
        </w:tc>
        <w:tc>
          <w:tcPr/>
          <w:p>
            <w:pPr>
              <w:pStyle w:val="Compact"/>
            </w:pPr>
            <w:r>
              <w:t xml:space="preserve">0%</w:t>
            </w:r>
          </w:p>
        </w:tc>
        <w:tc>
          <w:tcPr/>
          <w:p>
            <w:pPr>
              <w:pStyle w:val="Compact"/>
            </w:pPr>
            <w:r>
              <w:t xml:space="preserve">55.6% (95% UI: 42.6%–67.7%)</w:t>
            </w:r>
          </w:p>
        </w:tc>
        <w:tc>
          <w:tcPr/>
          <w:p>
            <w:pPr>
              <w:pStyle w:val="Compact"/>
            </w:pPr>
            <w:r>
              <w:t xml:space="preserve">69.3% (95% UI: 68.7%–69.9%)</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678 (95% UI: 593–764)</w:t>
            </w:r>
          </w:p>
        </w:tc>
        <w:tc>
          <w:tcPr/>
          <w:p>
            <w:pPr>
              <w:pStyle w:val="Compact"/>
            </w:pPr>
            <w:r>
              <w:t xml:space="preserve">S$26.2 million (95% UI: S$22.9 million–S$29.5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760 (95% UI: 715–803)</w:t>
            </w:r>
          </w:p>
        </w:tc>
        <w:tc>
          <w:tcPr/>
          <w:p>
            <w:pPr>
              <w:pStyle w:val="Compact"/>
            </w:pPr>
            <w:r>
              <w:t xml:space="preserve">213 (95% UI: 198–227)</w:t>
            </w:r>
          </w:p>
        </w:tc>
        <w:tc>
          <w:tcPr/>
          <w:p>
            <w:pPr>
              <w:pStyle w:val="Compact"/>
            </w:pPr>
            <w:r>
              <w:t xml:space="preserve">647 (95% UI: 563–732)</w:t>
            </w:r>
          </w:p>
        </w:tc>
        <w:tc>
          <w:tcPr/>
          <w:p>
            <w:pPr>
              <w:pStyle w:val="Compact"/>
            </w:pPr>
            <w:r>
              <w:t xml:space="preserve">S$33.5 million (95% UI: S$30.0 million–S$36.9 million)</w:t>
            </w:r>
          </w:p>
        </w:tc>
        <w:tc>
          <w:tcPr/>
          <w:p>
            <w:pPr>
              <w:pStyle w:val="Compact"/>
            </w:pPr>
            <w:r>
              <w:t xml:space="preserve">S$7.3 million (95% UI: S$6.8 million–S$7.8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1,267 (95% UI: 1,191–1,338)</w:t>
            </w:r>
          </w:p>
        </w:tc>
        <w:tc>
          <w:tcPr/>
          <w:p>
            <w:pPr>
              <w:pStyle w:val="Compact"/>
            </w:pPr>
            <w:r>
              <w:t xml:space="preserve">337 (95% UI: 313–359)</w:t>
            </w:r>
          </w:p>
        </w:tc>
        <w:tc>
          <w:tcPr/>
          <w:p>
            <w:pPr>
              <w:pStyle w:val="Compact"/>
            </w:pPr>
            <w:r>
              <w:t xml:space="preserve">628 (95% UI: 545–714)</w:t>
            </w:r>
          </w:p>
        </w:tc>
        <w:tc>
          <w:tcPr/>
          <w:p>
            <w:pPr>
              <w:pStyle w:val="Compact"/>
            </w:pPr>
            <w:r>
              <w:t xml:space="preserve">S$37.7 million (95% UI: S$34.1 million–S$41.2 million)</w:t>
            </w:r>
          </w:p>
        </w:tc>
        <w:tc>
          <w:tcPr/>
          <w:p>
            <w:pPr>
              <w:pStyle w:val="Compact"/>
            </w:pPr>
            <w:r>
              <w:t xml:space="preserve">S$11.6 million (95% UI: S$10.7 million–S$12.3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2,535 (95% UI: 2,384–2,677)</w:t>
            </w:r>
          </w:p>
        </w:tc>
        <w:tc>
          <w:tcPr/>
          <w:p>
            <w:pPr>
              <w:pStyle w:val="Compact"/>
            </w:pPr>
            <w:r>
              <w:t xml:space="preserve">591 (95% UI: 551–631)</w:t>
            </w:r>
          </w:p>
        </w:tc>
        <w:tc>
          <w:tcPr/>
          <w:p>
            <w:pPr>
              <w:pStyle w:val="Compact"/>
            </w:pPr>
            <w:r>
              <w:t xml:space="preserve">588 (95% UI: 505–671)</w:t>
            </w:r>
          </w:p>
        </w:tc>
        <w:tc>
          <w:tcPr/>
          <w:p>
            <w:pPr>
              <w:pStyle w:val="Compact"/>
            </w:pPr>
            <w:r>
              <w:t xml:space="preserve">S$46.5 million (95% UI: S$42.6 million–S$50.4 million)</w:t>
            </w:r>
          </w:p>
        </w:tc>
        <w:tc>
          <w:tcPr/>
          <w:p>
            <w:pPr>
              <w:pStyle w:val="Compact"/>
            </w:pPr>
            <w:r>
              <w:t xml:space="preserve">S$20.4 million (95% UI: S$19.0 million–S$21.7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6,343 (95% UI: 5,963–6,696)</w:t>
            </w:r>
          </w:p>
        </w:tc>
        <w:tc>
          <w:tcPr/>
          <w:p>
            <w:pPr>
              <w:pStyle w:val="Compact"/>
            </w:pPr>
            <w:r>
              <w:t xml:space="preserve">1,025 (95% UI: 957–1,091)</w:t>
            </w:r>
          </w:p>
        </w:tc>
        <w:tc>
          <w:tcPr/>
          <w:p>
            <w:pPr>
              <w:pStyle w:val="Compact"/>
            </w:pPr>
            <w:r>
              <w:t xml:space="preserve">503 (95% UI: 424–582)</w:t>
            </w:r>
          </w:p>
        </w:tc>
        <w:tc>
          <w:tcPr/>
          <w:p>
            <w:pPr>
              <w:pStyle w:val="Compact"/>
            </w:pPr>
            <w:r>
              <w:t xml:space="preserve">S$62.0 million (95% UI: S$57.3 million–S$66.7 million)</w:t>
            </w:r>
          </w:p>
        </w:tc>
        <w:tc>
          <w:tcPr/>
          <w:p>
            <w:pPr>
              <w:pStyle w:val="Compact"/>
            </w:pPr>
            <w:r>
              <w:t xml:space="preserve">S$35.9 million (95% UI: S$33.5 million–S$38.2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10,153 (95% UI: 9,546–10,721)</w:t>
            </w:r>
          </w:p>
        </w:tc>
        <w:tc>
          <w:tcPr/>
          <w:p>
            <w:pPr>
              <w:pStyle w:val="Compact"/>
            </w:pPr>
            <w:r>
              <w:t xml:space="preserve">1,194 (95% UI: 1,116–1,269)</w:t>
            </w:r>
          </w:p>
        </w:tc>
        <w:tc>
          <w:tcPr/>
          <w:p>
            <w:pPr>
              <w:pStyle w:val="Compact"/>
            </w:pPr>
            <w:r>
              <w:t xml:space="preserve">457 (95% UI: 381–535)</w:t>
            </w:r>
          </w:p>
        </w:tc>
        <w:tc>
          <w:tcPr/>
          <w:p>
            <w:pPr>
              <w:pStyle w:val="Compact"/>
            </w:pPr>
            <w:r>
              <w:t xml:space="preserve">S$68.8 million (95% UI: S$63.7 million–S$73.8 million)</w:t>
            </w:r>
          </w:p>
        </w:tc>
        <w:tc>
          <w:tcPr/>
          <w:p>
            <w:pPr>
              <w:pStyle w:val="Compact"/>
            </w:pPr>
            <w:r>
              <w:t xml:space="preserve">S$42.7 million (95% UI: S$39.9 million–S$45.4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866 (95% UI: 815–914)</w:t>
            </w:r>
          </w:p>
        </w:tc>
        <w:tc>
          <w:tcPr/>
          <w:p>
            <w:pPr>
              <w:pStyle w:val="Compact"/>
            </w:pPr>
            <w:r>
              <w:t xml:space="preserve">196 (95% UI: 182–209)</w:t>
            </w:r>
          </w:p>
        </w:tc>
        <w:tc>
          <w:tcPr/>
          <w:p>
            <w:pPr>
              <w:pStyle w:val="Compact"/>
            </w:pPr>
            <w:r>
              <w:t xml:space="preserve">620 (95% UI: 537–704)</w:t>
            </w:r>
          </w:p>
        </w:tc>
        <w:tc>
          <w:tcPr/>
          <w:p>
            <w:pPr>
              <w:pStyle w:val="Compact"/>
            </w:pPr>
            <w:r>
              <w:t xml:space="preserve">S$31.8 million (95% UI: S$28.3 million–S$35.3 million)</w:t>
            </w:r>
          </w:p>
        </w:tc>
        <w:tc>
          <w:tcPr/>
          <w:p>
            <w:pPr>
              <w:pStyle w:val="Compact"/>
            </w:pPr>
            <w:r>
              <w:t xml:space="preserve">S$5.6 million (95% UI: S$5.2 million–S$6.0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1,442 (95% UI: 1,356–1,523)</w:t>
            </w:r>
          </w:p>
        </w:tc>
        <w:tc>
          <w:tcPr/>
          <w:p>
            <w:pPr>
              <w:pStyle w:val="Compact"/>
            </w:pPr>
            <w:r>
              <w:t xml:space="preserve">308 (95% UI: 287–329)</w:t>
            </w:r>
          </w:p>
        </w:tc>
        <w:tc>
          <w:tcPr/>
          <w:p>
            <w:pPr>
              <w:pStyle w:val="Compact"/>
            </w:pPr>
            <w:r>
              <w:t xml:space="preserve">588 (95% UI: 505–671)</w:t>
            </w:r>
          </w:p>
        </w:tc>
        <w:tc>
          <w:tcPr/>
          <w:p>
            <w:pPr>
              <w:pStyle w:val="Compact"/>
            </w:pPr>
            <w:r>
              <w:t xml:space="preserve">S$35.1 million (95% UI: S$31.5 million–S$38.7 million)</w:t>
            </w:r>
          </w:p>
        </w:tc>
        <w:tc>
          <w:tcPr/>
          <w:p>
            <w:pPr>
              <w:pStyle w:val="Compact"/>
            </w:pPr>
            <w:r>
              <w:t xml:space="preserve">S$8.9 million (95% UI: S$8.3 million–S$9.6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2,879 (95% UI: 2,706–3,040)</w:t>
            </w:r>
          </w:p>
        </w:tc>
        <w:tc>
          <w:tcPr/>
          <w:p>
            <w:pPr>
              <w:pStyle w:val="Compact"/>
            </w:pPr>
            <w:r>
              <w:t xml:space="preserve">539 (95% UI: 502–575)</w:t>
            </w:r>
          </w:p>
        </w:tc>
        <w:tc>
          <w:tcPr/>
          <w:p>
            <w:pPr>
              <w:pStyle w:val="Compact"/>
            </w:pPr>
            <w:r>
              <w:t xml:space="preserve">526 (95% UI: 446–605)</w:t>
            </w:r>
          </w:p>
        </w:tc>
        <w:tc>
          <w:tcPr/>
          <w:p>
            <w:pPr>
              <w:pStyle w:val="Compact"/>
            </w:pPr>
            <w:r>
              <w:t xml:space="preserve">S$42.3 million (95% UI: S$38.3 million–S$46.2 million)</w:t>
            </w:r>
          </w:p>
        </w:tc>
        <w:tc>
          <w:tcPr/>
          <w:p>
            <w:pPr>
              <w:pStyle w:val="Compact"/>
            </w:pPr>
            <w:r>
              <w:t xml:space="preserve">S$16.1 million (95% UI: S$14.9 million–S$17.2 million)</w:t>
            </w:r>
          </w:p>
        </w:tc>
      </w:tr>
      <w:tr>
        <w:tc>
          <w:tcPr/>
          <w:p>
            <w:pPr>
              <w:pStyle w:val="Compact"/>
            </w:pPr>
            <w:r>
              <w:t xml:space="preserve">J + 5,000/year, F 50%</w:t>
            </w:r>
          </w:p>
        </w:tc>
        <w:tc>
          <w:tcPr/>
          <w:p>
            <w:pPr>
              <w:pStyle w:val="Compact"/>
            </w:pPr>
            <w:r>
              <w:t xml:space="preserve">22,919 (95% UI: 22,744–23,248)</w:t>
            </w:r>
          </w:p>
        </w:tc>
        <w:tc>
          <w:tcPr/>
          <w:p>
            <w:pPr>
              <w:pStyle w:val="Compact"/>
            </w:pPr>
            <w:r>
              <w:t xml:space="preserve">6,448 (95% UI: 6,082–6,781)</w:t>
            </w:r>
          </w:p>
        </w:tc>
        <w:tc>
          <w:tcPr/>
          <w:p>
            <w:pPr>
              <w:pStyle w:val="Compact"/>
            </w:pPr>
            <w:r>
              <w:t xml:space="preserve">936 (95% UI: 875–998)</w:t>
            </w:r>
          </w:p>
        </w:tc>
        <w:tc>
          <w:tcPr/>
          <w:p>
            <w:pPr>
              <w:pStyle w:val="Compact"/>
            </w:pPr>
            <w:r>
              <w:t xml:space="preserve">453 (95% UI: 376–532)</w:t>
            </w:r>
          </w:p>
        </w:tc>
        <w:tc>
          <w:tcPr/>
          <w:p>
            <w:pPr>
              <w:pStyle w:val="Compact"/>
            </w:pPr>
            <w:r>
              <w:t xml:space="preserve">S$56.4 million (95% UI: S$51.9 million–S$60.9 million)</w:t>
            </w:r>
          </w:p>
        </w:tc>
        <w:tc>
          <w:tcPr/>
          <w:p>
            <w:pPr>
              <w:pStyle w:val="Compact"/>
            </w:pPr>
            <w:r>
              <w:t xml:space="preserve">S$30.3 million (95% UI: S$28.2 million–S$32.2 million)</w:t>
            </w:r>
          </w:p>
        </w:tc>
      </w:tr>
      <w:tr>
        <w:tc>
          <w:tcPr/>
          <w:p>
            <w:pPr>
              <w:pStyle w:val="Compact"/>
            </w:pPr>
            <w:r>
              <w:t xml:space="preserve">J + 8,000/year, F 50%</w:t>
            </w:r>
          </w:p>
        </w:tc>
        <w:tc>
          <w:tcPr/>
          <w:p>
            <w:pPr>
              <w:pStyle w:val="Compact"/>
            </w:pPr>
            <w:r>
              <w:t xml:space="preserve">30,419 (95% UI: 30,244–30,748)</w:t>
            </w:r>
          </w:p>
        </w:tc>
        <w:tc>
          <w:tcPr/>
          <w:p>
            <w:pPr>
              <w:pStyle w:val="Compact"/>
            </w:pPr>
            <w:r>
              <w:t xml:space="preserve">8,099 (95% UI: 7,641–8,530)</w:t>
            </w:r>
          </w:p>
        </w:tc>
        <w:tc>
          <w:tcPr/>
          <w:p>
            <w:pPr>
              <w:pStyle w:val="Compact"/>
            </w:pPr>
            <w:r>
              <w:t xml:space="preserve">1,101 (95% UI: 1,029–1,170)</w:t>
            </w:r>
          </w:p>
        </w:tc>
        <w:tc>
          <w:tcPr/>
          <w:p>
            <w:pPr>
              <w:pStyle w:val="Compact"/>
            </w:pPr>
            <w:r>
              <w:t xml:space="preserve">453 (95% UI: 376–532)</w:t>
            </w:r>
          </w:p>
        </w:tc>
        <w:tc>
          <w:tcPr/>
          <w:p>
            <w:pPr>
              <w:pStyle w:val="Compact"/>
            </w:pPr>
            <w:r>
              <w:t xml:space="preserve">S$63.8 million (95% UI: S$58.9 million–S$68.6 million)</w:t>
            </w:r>
          </w:p>
        </w:tc>
        <w:tc>
          <w:tcPr/>
          <w:p>
            <w:pPr>
              <w:pStyle w:val="Compact"/>
            </w:pPr>
            <w:r>
              <w:t xml:space="preserve">S$37.6 million (95% UI: S$35.1 million–S$40.0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971 (95% UI: 910–1,026)</w:t>
            </w:r>
          </w:p>
        </w:tc>
        <w:tc>
          <w:tcPr/>
          <w:p>
            <w:pPr>
              <w:pStyle w:val="Compact"/>
            </w:pPr>
            <w:r>
              <w:t xml:space="preserve">171 (95% UI: 157–184)</w:t>
            </w:r>
          </w:p>
        </w:tc>
        <w:tc>
          <w:tcPr/>
          <w:p>
            <w:pPr>
              <w:pStyle w:val="Compact"/>
            </w:pPr>
            <w:r>
              <w:t xml:space="preserve">595 (95% UI: 512–679)</w:t>
            </w:r>
          </w:p>
        </w:tc>
        <w:tc>
          <w:tcPr/>
          <w:p>
            <w:pPr>
              <w:pStyle w:val="Compact"/>
            </w:pPr>
            <w:r>
              <w:t xml:space="preserve">S$30.0 million (95% UI: S$26.4 million–S$33.5 million)</w:t>
            </w:r>
          </w:p>
        </w:tc>
        <w:tc>
          <w:tcPr/>
          <w:p>
            <w:pPr>
              <w:pStyle w:val="Compact"/>
            </w:pPr>
            <w:r>
              <w:t xml:space="preserve">S$3.8 million (95% UI: S$3.5 million–S$4.1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1,615 (95% UI: 1,514–1,707)</w:t>
            </w:r>
          </w:p>
        </w:tc>
        <w:tc>
          <w:tcPr/>
          <w:p>
            <w:pPr>
              <w:pStyle w:val="Compact"/>
            </w:pPr>
            <w:r>
              <w:t xml:space="preserve">261 (95% UI: 241–280)</w:t>
            </w:r>
          </w:p>
        </w:tc>
        <w:tc>
          <w:tcPr/>
          <w:p>
            <w:pPr>
              <w:pStyle w:val="Compact"/>
            </w:pPr>
            <w:r>
              <w:t xml:space="preserve">553 (95% UI: 473–634)</w:t>
            </w:r>
          </w:p>
        </w:tc>
        <w:tc>
          <w:tcPr/>
          <w:p>
            <w:pPr>
              <w:pStyle w:val="Compact"/>
            </w:pPr>
            <w:r>
              <w:t xml:space="preserve">S$32.1 million (95% UI: S$28.4 million–S$35.8 million)</w:t>
            </w:r>
          </w:p>
        </w:tc>
        <w:tc>
          <w:tcPr/>
          <w:p>
            <w:pPr>
              <w:pStyle w:val="Compact"/>
            </w:pPr>
            <w:r>
              <w:t xml:space="preserve">S$5.9 million (95% UI: S$5.4 million–S$6.4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3,217 (95% UI: 3,015–3,400)</w:t>
            </w:r>
          </w:p>
        </w:tc>
        <w:tc>
          <w:tcPr/>
          <w:p>
            <w:pPr>
              <w:pStyle w:val="Compact"/>
            </w:pPr>
            <w:r>
              <w:t xml:space="preserve">431 (95% UI: 399–463)</w:t>
            </w:r>
          </w:p>
        </w:tc>
        <w:tc>
          <w:tcPr/>
          <w:p>
            <w:pPr>
              <w:pStyle w:val="Compact"/>
            </w:pPr>
            <w:r>
              <w:t xml:space="preserve">484 (95% UI: 406–563)</w:t>
            </w:r>
          </w:p>
        </w:tc>
        <w:tc>
          <w:tcPr/>
          <w:p>
            <w:pPr>
              <w:pStyle w:val="Compact"/>
            </w:pPr>
            <w:r>
              <w:t xml:space="preserve">S$36.6 million (95% UI: S$32.7 million–S$40.7 million)</w:t>
            </w:r>
          </w:p>
        </w:tc>
        <w:tc>
          <w:tcPr/>
          <w:p>
            <w:pPr>
              <w:pStyle w:val="Compact"/>
            </w:pPr>
            <w:r>
              <w:t xml:space="preserve">S$10.5 million (95% UI: S$9.6 million–S$11.3 million)</w:t>
            </w:r>
          </w:p>
        </w:tc>
      </w:tr>
      <w:tr>
        <w:tc>
          <w:tcPr/>
          <w:p>
            <w:pPr>
              <w:pStyle w:val="Compact"/>
            </w:pPr>
            <w:r>
              <w:t xml:space="preserve">J + 5,000/year, F 75%</w:t>
            </w:r>
          </w:p>
        </w:tc>
        <w:tc>
          <w:tcPr/>
          <w:p>
            <w:pPr>
              <w:pStyle w:val="Compact"/>
            </w:pPr>
            <w:r>
              <w:t xml:space="preserve">16,669 (95% UI: 16,494–16,998)</w:t>
            </w:r>
          </w:p>
        </w:tc>
        <w:tc>
          <w:tcPr/>
          <w:p>
            <w:pPr>
              <w:pStyle w:val="Compact"/>
            </w:pPr>
            <w:r>
              <w:t xml:space="preserve">5,076 (95% UI: 4,794–5,329)</w:t>
            </w:r>
          </w:p>
        </w:tc>
        <w:tc>
          <w:tcPr/>
          <w:p>
            <w:pPr>
              <w:pStyle w:val="Compact"/>
            </w:pPr>
            <w:r>
              <w:t xml:space="preserve">688 (95% UI: 640–734)</w:t>
            </w:r>
          </w:p>
        </w:tc>
        <w:tc>
          <w:tcPr/>
          <w:p>
            <w:pPr>
              <w:pStyle w:val="Compact"/>
            </w:pPr>
            <w:r>
              <w:t xml:space="preserve">453 (95% UI: 376–532)</w:t>
            </w:r>
          </w:p>
        </w:tc>
        <w:tc>
          <w:tcPr/>
          <w:p>
            <w:pPr>
              <w:pStyle w:val="Compact"/>
            </w:pPr>
            <w:r>
              <w:t xml:space="preserve">S$46.1 million (95% UI: S$41.9 million–S$50.3 million)</w:t>
            </w:r>
          </w:p>
        </w:tc>
        <w:tc>
          <w:tcPr/>
          <w:p>
            <w:pPr>
              <w:pStyle w:val="Compact"/>
            </w:pPr>
            <w:r>
              <w:t xml:space="preserve">S$20.0 million (95% UI: S$18.5 million–S$21.3 million)</w:t>
            </w:r>
          </w:p>
        </w:tc>
      </w:tr>
      <w:tr>
        <w:tc>
          <w:tcPr/>
          <w:p>
            <w:pPr>
              <w:pStyle w:val="Compact"/>
            </w:pPr>
            <w:r>
              <w:t xml:space="preserve">J + 8,000/year, F 75%</w:t>
            </w:r>
          </w:p>
        </w:tc>
        <w:tc>
          <w:tcPr/>
          <w:p>
            <w:pPr>
              <w:pStyle w:val="Compact"/>
            </w:pPr>
            <w:r>
              <w:t xml:space="preserve">20,419 (95% UI: 20,244–20,748)</w:t>
            </w:r>
          </w:p>
        </w:tc>
        <w:tc>
          <w:tcPr/>
          <w:p>
            <w:pPr>
              <w:pStyle w:val="Compact"/>
            </w:pPr>
            <w:r>
              <w:t xml:space="preserve">5,900 (95% UI: 5,564–6,200)</w:t>
            </w:r>
          </w:p>
        </w:tc>
        <w:tc>
          <w:tcPr/>
          <w:p>
            <w:pPr>
              <w:pStyle w:val="Compact"/>
            </w:pPr>
            <w:r>
              <w:t xml:space="preserve">852 (95% UI: 795–909)</w:t>
            </w:r>
          </w:p>
        </w:tc>
        <w:tc>
          <w:tcPr/>
          <w:p>
            <w:pPr>
              <w:pStyle w:val="Compact"/>
            </w:pPr>
            <w:r>
              <w:t xml:space="preserve">453 (95% UI: 376–532)</w:t>
            </w:r>
          </w:p>
        </w:tc>
        <w:tc>
          <w:tcPr/>
          <w:p>
            <w:pPr>
              <w:pStyle w:val="Compact"/>
            </w:pPr>
            <w:r>
              <w:t xml:space="preserve">S$52.9 million (95% UI: S$48.4 million–S$57.3 million)</w:t>
            </w:r>
          </w:p>
        </w:tc>
        <w:tc>
          <w:tcPr/>
          <w:p>
            <w:pPr>
              <w:pStyle w:val="Compact"/>
            </w:pPr>
            <w:r>
              <w:t xml:space="preserve">S$26.7 million (95% UI: S$24.8 million–S$28.5 million)</w:t>
            </w:r>
          </w:p>
        </w:tc>
      </w:tr>
      <w:tr>
        <w:tc>
          <w:tcPr/>
          <w:p>
            <w:pPr>
              <w:pStyle w:val="Compact"/>
            </w:pPr>
            <w:r>
              <w:t xml:space="preserve">J + no screening cap</w:t>
            </w:r>
          </w:p>
        </w:tc>
        <w:tc>
          <w:tcPr/>
          <w:p>
            <w:pPr>
              <w:pStyle w:val="Compact"/>
            </w:pPr>
            <w:r>
              <w:t xml:space="preserve">58,316 (95% UI: 57,862–58,937)</w:t>
            </w:r>
          </w:p>
        </w:tc>
        <w:tc>
          <w:tcPr/>
          <w:p>
            <w:pPr>
              <w:pStyle w:val="Compact"/>
            </w:pPr>
            <w:r>
              <w:t xml:space="preserve">14,264 (95% UI: 13,481–15,000)</w:t>
            </w:r>
          </w:p>
        </w:tc>
        <w:tc>
          <w:tcPr/>
          <w:p>
            <w:pPr>
              <w:pStyle w:val="Compact"/>
            </w:pPr>
            <w:r>
              <w:t xml:space="preserve">1,255 (95% UI: 1,174–1,332)</w:t>
            </w:r>
          </w:p>
        </w:tc>
        <w:tc>
          <w:tcPr/>
          <w:p>
            <w:pPr>
              <w:pStyle w:val="Compact"/>
            </w:pPr>
            <w:r>
              <w:t xml:space="preserve">453 (95% UI: 376–532)</w:t>
            </w:r>
          </w:p>
        </w:tc>
        <w:tc>
          <w:tcPr/>
          <w:p>
            <w:pPr>
              <w:pStyle w:val="Compact"/>
            </w:pPr>
            <w:r>
              <w:t xml:space="preserve">S$73.3 million (95% UI: S$68.1 million–S$78.4 million)</w:t>
            </w:r>
          </w:p>
        </w:tc>
        <w:tc>
          <w:tcPr/>
          <w:p>
            <w:pPr>
              <w:pStyle w:val="Compact"/>
            </w:pPr>
            <w:r>
              <w:t xml:space="preserve">S$47.2 million (95% UI: S$44.1 million–S$50.0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4767724" cy="2706501"/>
            <wp:effectExtent b="0" l="0" r="0" t="0"/>
            <wp:docPr descr="Fig S6. Cost composition of the prison only scenario and the scenarios that met both targets.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4767724" cy="2706501"/>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S$13.1 (95% UI: S$11.5–S$14.8)</w:t>
            </w:r>
          </w:p>
        </w:tc>
        <w:tc>
          <w:tcPr/>
          <w:p>
            <w:pPr>
              <w:pStyle w:val="Compact"/>
            </w:pPr>
            <w:r>
              <w:t xml:space="preserve">S$26.2 (95% UI: S$22.9–S$29.5)</w:t>
            </w:r>
          </w:p>
        </w:tc>
        <w:tc>
          <w:tcPr/>
          <w:p>
            <w:pPr>
              <w:pStyle w:val="Compact"/>
            </w:pPr>
            <w:r>
              <w:t xml:space="preserve">S$39.3 (95% UI: S$34.4–S$44.3)</w:t>
            </w:r>
          </w:p>
        </w:tc>
      </w:tr>
      <w:tr>
        <w:tc>
          <w:tcPr/>
          <w:p>
            <w:pPr>
              <w:pStyle w:val="Compact"/>
            </w:pPr>
            <w:r>
              <w:t xml:space="preserve">J + 600/year, F 25%</w:t>
            </w:r>
          </w:p>
        </w:tc>
        <w:tc>
          <w:tcPr/>
          <w:p>
            <w:pPr>
              <w:pStyle w:val="Compact"/>
            </w:pPr>
            <w:r>
              <w:t xml:space="preserve">S$16.7 (95% UI: S$15.0–S$18.4)</w:t>
            </w:r>
          </w:p>
        </w:tc>
        <w:tc>
          <w:tcPr/>
          <w:p>
            <w:pPr>
              <w:pStyle w:val="Compact"/>
            </w:pPr>
            <w:r>
              <w:t xml:space="preserve">S$33.5 (95% UI: S$30.0–S$36.9)</w:t>
            </w:r>
          </w:p>
        </w:tc>
        <w:tc>
          <w:tcPr/>
          <w:p>
            <w:pPr>
              <w:pStyle w:val="Compact"/>
            </w:pPr>
            <w:r>
              <w:t xml:space="preserve">S$50.2 (95% UI: S$45.0–S$55.3)</w:t>
            </w:r>
          </w:p>
        </w:tc>
      </w:tr>
      <w:tr>
        <w:tc>
          <w:tcPr/>
          <w:p>
            <w:pPr>
              <w:pStyle w:val="Compact"/>
            </w:pPr>
            <w:r>
              <w:t xml:space="preserve">J + 1,000/year, F 25%</w:t>
            </w:r>
          </w:p>
        </w:tc>
        <w:tc>
          <w:tcPr/>
          <w:p>
            <w:pPr>
              <w:pStyle w:val="Compact"/>
            </w:pPr>
            <w:r>
              <w:t xml:space="preserve">S$18.9 (95% UI: S$17.1–S$20.6)</w:t>
            </w:r>
          </w:p>
        </w:tc>
        <w:tc>
          <w:tcPr/>
          <w:p>
            <w:pPr>
              <w:pStyle w:val="Compact"/>
            </w:pPr>
            <w:r>
              <w:t xml:space="preserve">S$37.7 (95% UI: S$34.1–S$41.2)</w:t>
            </w:r>
          </w:p>
        </w:tc>
        <w:tc>
          <w:tcPr/>
          <w:p>
            <w:pPr>
              <w:pStyle w:val="Compact"/>
            </w:pPr>
            <w:r>
              <w:t xml:space="preserve">S$56.6 (95% UI: S$51.2–S$61.8)</w:t>
            </w:r>
          </w:p>
        </w:tc>
      </w:tr>
      <w:tr>
        <w:tc>
          <w:tcPr/>
          <w:p>
            <w:pPr>
              <w:pStyle w:val="Compact"/>
            </w:pPr>
            <w:r>
              <w:t xml:space="preserve">J + 2,000/year, F 25%</w:t>
            </w:r>
          </w:p>
        </w:tc>
        <w:tc>
          <w:tcPr/>
          <w:p>
            <w:pPr>
              <w:pStyle w:val="Compact"/>
            </w:pPr>
            <w:r>
              <w:t xml:space="preserve">S$23.3 (95% UI: S$21.3–S$25.2)</w:t>
            </w:r>
          </w:p>
        </w:tc>
        <w:tc>
          <w:tcPr/>
          <w:p>
            <w:pPr>
              <w:pStyle w:val="Compact"/>
            </w:pPr>
            <w:r>
              <w:t xml:space="preserve">S$46.5 (95% UI: S$42.6–S$50.4)</w:t>
            </w:r>
          </w:p>
        </w:tc>
        <w:tc>
          <w:tcPr/>
          <w:p>
            <w:pPr>
              <w:pStyle w:val="Compact"/>
            </w:pPr>
            <w:r>
              <w:t xml:space="preserve">S$69.8 (95% UI: S$63.9–S$75.6)</w:t>
            </w:r>
          </w:p>
        </w:tc>
      </w:tr>
      <w:tr>
        <w:tc>
          <w:tcPr/>
          <w:p>
            <w:pPr>
              <w:pStyle w:val="Compact"/>
            </w:pPr>
            <w:r>
              <w:t xml:space="preserve">J + 5,000/year, F 25%</w:t>
            </w:r>
          </w:p>
        </w:tc>
        <w:tc>
          <w:tcPr/>
          <w:p>
            <w:pPr>
              <w:pStyle w:val="Compact"/>
            </w:pPr>
            <w:r>
              <w:t xml:space="preserve">S$31.0 (95% UI: S$28.6–S$33.3)</w:t>
            </w:r>
          </w:p>
        </w:tc>
        <w:tc>
          <w:tcPr/>
          <w:p>
            <w:pPr>
              <w:pStyle w:val="Compact"/>
            </w:pPr>
            <w:r>
              <w:t xml:space="preserve">S$62.0 (95% UI: S$57.3–S$66.7)</w:t>
            </w:r>
          </w:p>
        </w:tc>
        <w:tc>
          <w:tcPr/>
          <w:p>
            <w:pPr>
              <w:pStyle w:val="Compact"/>
            </w:pPr>
            <w:r>
              <w:t xml:space="preserve">S$93.0 (95% UI: S$85.9–S$100.0)</w:t>
            </w:r>
          </w:p>
        </w:tc>
      </w:tr>
      <w:tr>
        <w:tc>
          <w:tcPr/>
          <w:p>
            <w:pPr>
              <w:pStyle w:val="Compact"/>
            </w:pPr>
            <w:r>
              <w:t xml:space="preserve">J + 8,000/year, F 25%</w:t>
            </w:r>
          </w:p>
        </w:tc>
        <w:tc>
          <w:tcPr/>
          <w:p>
            <w:pPr>
              <w:pStyle w:val="Compact"/>
            </w:pPr>
            <w:r>
              <w:t xml:space="preserve">S$34.4 (95% UI: S$31.8–S$36.9)</w:t>
            </w:r>
          </w:p>
        </w:tc>
        <w:tc>
          <w:tcPr/>
          <w:p>
            <w:pPr>
              <w:pStyle w:val="Compact"/>
            </w:pPr>
            <w:r>
              <w:t xml:space="preserve">S$68.8 (95% UI: S$63.7–S$73.8)</w:t>
            </w:r>
          </w:p>
        </w:tc>
        <w:tc>
          <w:tcPr/>
          <w:p>
            <w:pPr>
              <w:pStyle w:val="Compact"/>
            </w:pPr>
            <w:r>
              <w:t xml:space="preserve">S$103.3 (95% UI: S$95.5–S$110.7)</w:t>
            </w:r>
          </w:p>
        </w:tc>
      </w:tr>
      <w:tr>
        <w:tc>
          <w:tcPr/>
          <w:p>
            <w:pPr>
              <w:pStyle w:val="Compact"/>
            </w:pPr>
            <w:r>
              <w:t xml:space="preserve">J + 600/year, F 50%</w:t>
            </w:r>
          </w:p>
        </w:tc>
        <w:tc>
          <w:tcPr/>
          <w:p>
            <w:pPr>
              <w:pStyle w:val="Compact"/>
            </w:pPr>
            <w:r>
              <w:t xml:space="preserve">S$15.9 (95% UI: S$14.2–S$17.7)</w:t>
            </w:r>
          </w:p>
        </w:tc>
        <w:tc>
          <w:tcPr/>
          <w:p>
            <w:pPr>
              <w:pStyle w:val="Compact"/>
            </w:pPr>
            <w:r>
              <w:t xml:space="preserve">S$31.8 (95% UI: S$28.3–S$35.3)</w:t>
            </w:r>
          </w:p>
        </w:tc>
        <w:tc>
          <w:tcPr/>
          <w:p>
            <w:pPr>
              <w:pStyle w:val="Compact"/>
            </w:pPr>
            <w:r>
              <w:t xml:space="preserve">S$47.7 (95% UI: S$42.5–S$53.0)</w:t>
            </w:r>
          </w:p>
        </w:tc>
      </w:tr>
      <w:tr>
        <w:tc>
          <w:tcPr/>
          <w:p>
            <w:pPr>
              <w:pStyle w:val="Compact"/>
            </w:pPr>
            <w:r>
              <w:t xml:space="preserve">J + 1,000/year, F 50%</w:t>
            </w:r>
          </w:p>
        </w:tc>
        <w:tc>
          <w:tcPr/>
          <w:p>
            <w:pPr>
              <w:pStyle w:val="Compact"/>
            </w:pPr>
            <w:r>
              <w:t xml:space="preserve">S$17.6 (95% UI: S$15.7–S$19.4)</w:t>
            </w:r>
          </w:p>
        </w:tc>
        <w:tc>
          <w:tcPr/>
          <w:p>
            <w:pPr>
              <w:pStyle w:val="Compact"/>
            </w:pPr>
            <w:r>
              <w:t xml:space="preserve">S$35.1 (95% UI: S$31.5–S$38.7)</w:t>
            </w:r>
          </w:p>
        </w:tc>
        <w:tc>
          <w:tcPr/>
          <w:p>
            <w:pPr>
              <w:pStyle w:val="Compact"/>
            </w:pPr>
            <w:r>
              <w:t xml:space="preserve">S$52.7 (95% UI: S$47.2–S$58.1)</w:t>
            </w:r>
          </w:p>
        </w:tc>
      </w:tr>
      <w:tr>
        <w:tc>
          <w:tcPr/>
          <w:p>
            <w:pPr>
              <w:pStyle w:val="Compact"/>
            </w:pPr>
            <w:r>
              <w:t xml:space="preserve">J + 2,000/year, F 50%</w:t>
            </w:r>
          </w:p>
        </w:tc>
        <w:tc>
          <w:tcPr/>
          <w:p>
            <w:pPr>
              <w:pStyle w:val="Compact"/>
            </w:pPr>
            <w:r>
              <w:t xml:space="preserve">S$21.1 (95% UI: S$19.2–S$23.1)</w:t>
            </w:r>
          </w:p>
        </w:tc>
        <w:tc>
          <w:tcPr/>
          <w:p>
            <w:pPr>
              <w:pStyle w:val="Compact"/>
            </w:pPr>
            <w:r>
              <w:t xml:space="preserve">S$42.3 (95% UI: S$38.3–S$46.2)</w:t>
            </w:r>
          </w:p>
        </w:tc>
        <w:tc>
          <w:tcPr/>
          <w:p>
            <w:pPr>
              <w:pStyle w:val="Compact"/>
            </w:pPr>
            <w:r>
              <w:t xml:space="preserve">S$63.4 (95% UI: S$57.5–S$69.2)</w:t>
            </w:r>
          </w:p>
        </w:tc>
      </w:tr>
      <w:tr>
        <w:tc>
          <w:tcPr/>
          <w:p>
            <w:pPr>
              <w:pStyle w:val="Compact"/>
            </w:pPr>
            <w:r>
              <w:t xml:space="preserve">J + 5,000/year, F 50%</w:t>
            </w:r>
          </w:p>
        </w:tc>
        <w:tc>
          <w:tcPr/>
          <w:p>
            <w:pPr>
              <w:pStyle w:val="Compact"/>
            </w:pPr>
            <w:r>
              <w:t xml:space="preserve">S$28.2 (95% UI: S$25.9–S$30.5)</w:t>
            </w:r>
          </w:p>
        </w:tc>
        <w:tc>
          <w:tcPr/>
          <w:p>
            <w:pPr>
              <w:pStyle w:val="Compact"/>
            </w:pPr>
            <w:r>
              <w:t xml:space="preserve">S$56.4 (95% UI: S$51.9–S$60.9)</w:t>
            </w:r>
          </w:p>
        </w:tc>
        <w:tc>
          <w:tcPr/>
          <w:p>
            <w:pPr>
              <w:pStyle w:val="Compact"/>
            </w:pPr>
            <w:r>
              <w:t xml:space="preserve">S$84.7 (95% UI: S$77.8–S$91.4)</w:t>
            </w:r>
          </w:p>
        </w:tc>
      </w:tr>
      <w:tr>
        <w:tc>
          <w:tcPr/>
          <w:p>
            <w:pPr>
              <w:pStyle w:val="Compact"/>
            </w:pPr>
            <w:r>
              <w:t xml:space="preserve">J + 8,000/year, F 50%</w:t>
            </w:r>
          </w:p>
        </w:tc>
        <w:tc>
          <w:tcPr/>
          <w:p>
            <w:pPr>
              <w:pStyle w:val="Compact"/>
            </w:pPr>
            <w:r>
              <w:t xml:space="preserve">S$31.9 (95% UI: S$29.4–S$34.3)</w:t>
            </w:r>
          </w:p>
        </w:tc>
        <w:tc>
          <w:tcPr/>
          <w:p>
            <w:pPr>
              <w:pStyle w:val="Compact"/>
            </w:pPr>
            <w:r>
              <w:t xml:space="preserve">S$63.8 (95% UI: S$58.9–S$68.6)</w:t>
            </w:r>
          </w:p>
        </w:tc>
        <w:tc>
          <w:tcPr/>
          <w:p>
            <w:pPr>
              <w:pStyle w:val="Compact"/>
            </w:pPr>
            <w:r>
              <w:t xml:space="preserve">S$95.7 (95% UI: S$88.3–S$102.9)</w:t>
            </w:r>
          </w:p>
        </w:tc>
      </w:tr>
      <w:tr>
        <w:tc>
          <w:tcPr/>
          <w:p>
            <w:pPr>
              <w:pStyle w:val="Compact"/>
            </w:pPr>
            <w:r>
              <w:t xml:space="preserve">J + 600/year, F 75%</w:t>
            </w:r>
          </w:p>
        </w:tc>
        <w:tc>
          <w:tcPr/>
          <w:p>
            <w:pPr>
              <w:pStyle w:val="Compact"/>
            </w:pPr>
            <w:r>
              <w:t xml:space="preserve">S$15.0 (95% UI: S$13.2–S$16.8)</w:t>
            </w:r>
          </w:p>
        </w:tc>
        <w:tc>
          <w:tcPr/>
          <w:p>
            <w:pPr>
              <w:pStyle w:val="Compact"/>
            </w:pPr>
            <w:r>
              <w:t xml:space="preserve">S$30.0 (95% UI: S$26.4–S$33.5)</w:t>
            </w:r>
          </w:p>
        </w:tc>
        <w:tc>
          <w:tcPr/>
          <w:p>
            <w:pPr>
              <w:pStyle w:val="Compact"/>
            </w:pPr>
            <w:r>
              <w:t xml:space="preserve">S$44.9 (95% UI: S$39.7–S$50.3)</w:t>
            </w:r>
          </w:p>
        </w:tc>
      </w:tr>
      <w:tr>
        <w:tc>
          <w:tcPr/>
          <w:p>
            <w:pPr>
              <w:pStyle w:val="Compact"/>
            </w:pPr>
            <w:r>
              <w:t xml:space="preserve">J + 1,000/year, F 75%</w:t>
            </w:r>
          </w:p>
        </w:tc>
        <w:tc>
          <w:tcPr/>
          <w:p>
            <w:pPr>
              <w:pStyle w:val="Compact"/>
            </w:pPr>
            <w:r>
              <w:t xml:space="preserve">S$16.0 (95% UI: S$14.2–S$17.9)</w:t>
            </w:r>
          </w:p>
        </w:tc>
        <w:tc>
          <w:tcPr/>
          <w:p>
            <w:pPr>
              <w:pStyle w:val="Compact"/>
            </w:pPr>
            <w:r>
              <w:t xml:space="preserve">S$32.1 (95% UI: S$28.4–S$35.8)</w:t>
            </w:r>
          </w:p>
        </w:tc>
        <w:tc>
          <w:tcPr/>
          <w:p>
            <w:pPr>
              <w:pStyle w:val="Compact"/>
            </w:pPr>
            <w:r>
              <w:t xml:space="preserve">S$48.1 (95% UI: S$42.6–S$53.7)</w:t>
            </w:r>
          </w:p>
        </w:tc>
      </w:tr>
      <w:tr>
        <w:tc>
          <w:tcPr/>
          <w:p>
            <w:pPr>
              <w:pStyle w:val="Compact"/>
            </w:pPr>
            <w:r>
              <w:t xml:space="preserve">J + 2,000/year, F 75%</w:t>
            </w:r>
          </w:p>
        </w:tc>
        <w:tc>
          <w:tcPr/>
          <w:p>
            <w:pPr>
              <w:pStyle w:val="Compact"/>
            </w:pPr>
            <w:r>
              <w:t xml:space="preserve">S$18.3 (95% UI: S$16.3–S$20.3)</w:t>
            </w:r>
          </w:p>
        </w:tc>
        <w:tc>
          <w:tcPr/>
          <w:p>
            <w:pPr>
              <w:pStyle w:val="Compact"/>
            </w:pPr>
            <w:r>
              <w:t xml:space="preserve">S$36.6 (95% UI: S$32.7–S$40.7)</w:t>
            </w:r>
          </w:p>
        </w:tc>
        <w:tc>
          <w:tcPr/>
          <w:p>
            <w:pPr>
              <w:pStyle w:val="Compact"/>
            </w:pPr>
            <w:r>
              <w:t xml:space="preserve">S$55.0 (95% UI: S$49.0–S$61.0)</w:t>
            </w:r>
          </w:p>
        </w:tc>
      </w:tr>
      <w:tr>
        <w:tc>
          <w:tcPr/>
          <w:p>
            <w:pPr>
              <w:pStyle w:val="Compact"/>
            </w:pPr>
            <w:r>
              <w:t xml:space="preserve">J + 5,000/year, F 75%</w:t>
            </w:r>
          </w:p>
        </w:tc>
        <w:tc>
          <w:tcPr/>
          <w:p>
            <w:pPr>
              <w:pStyle w:val="Compact"/>
            </w:pPr>
            <w:r>
              <w:t xml:space="preserve">S$23.1 (95% UI: S$20.9–S$25.2)</w:t>
            </w:r>
          </w:p>
        </w:tc>
        <w:tc>
          <w:tcPr/>
          <w:p>
            <w:pPr>
              <w:pStyle w:val="Compact"/>
            </w:pPr>
            <w:r>
              <w:t xml:space="preserve">S$46.1 (95% UI: S$41.9–S$50.3)</w:t>
            </w:r>
          </w:p>
        </w:tc>
        <w:tc>
          <w:tcPr/>
          <w:p>
            <w:pPr>
              <w:pStyle w:val="Compact"/>
            </w:pPr>
            <w:r>
              <w:t xml:space="preserve">S$69.2 (95% UI: S$62.8–S$75.5)</w:t>
            </w:r>
          </w:p>
        </w:tc>
      </w:tr>
      <w:tr>
        <w:tc>
          <w:tcPr/>
          <w:p>
            <w:pPr>
              <w:pStyle w:val="Compact"/>
            </w:pPr>
            <w:r>
              <w:t xml:space="preserve">J + 8,000/year, F 75%</w:t>
            </w:r>
          </w:p>
        </w:tc>
        <w:tc>
          <w:tcPr/>
          <w:p>
            <w:pPr>
              <w:pStyle w:val="Compact"/>
            </w:pPr>
            <w:r>
              <w:t xml:space="preserve">S$26.4 (95% UI: S$24.2–S$28.6)</w:t>
            </w:r>
          </w:p>
        </w:tc>
        <w:tc>
          <w:tcPr/>
          <w:p>
            <w:pPr>
              <w:pStyle w:val="Compact"/>
            </w:pPr>
            <w:r>
              <w:t xml:space="preserve">S$52.9 (95% UI: S$48.4–S$57.3)</w:t>
            </w:r>
          </w:p>
        </w:tc>
        <w:tc>
          <w:tcPr/>
          <w:p>
            <w:pPr>
              <w:pStyle w:val="Compact"/>
            </w:pPr>
            <w:r>
              <w:t xml:space="preserve">S$79.3 (95% UI: S$72.6–S$85.9)</w:t>
            </w:r>
          </w:p>
        </w:tc>
      </w:tr>
      <w:tr>
        <w:tc>
          <w:tcPr/>
          <w:p>
            <w:pPr>
              <w:pStyle w:val="Compact"/>
            </w:pPr>
            <w:r>
              <w:t xml:space="preserve">J + no screening cap</w:t>
            </w:r>
          </w:p>
        </w:tc>
        <w:tc>
          <w:tcPr/>
          <w:p>
            <w:pPr>
              <w:pStyle w:val="Compact"/>
            </w:pPr>
            <w:r>
              <w:t xml:space="preserve">S$36.6 (95% UI: S$34.0–S$39.2)</w:t>
            </w:r>
          </w:p>
        </w:tc>
        <w:tc>
          <w:tcPr/>
          <w:p>
            <w:pPr>
              <w:pStyle w:val="Compact"/>
            </w:pPr>
            <w:r>
              <w:t xml:space="preserve">S$73.3 (95% UI: S$68.1–S$78.4)</w:t>
            </w:r>
          </w:p>
        </w:tc>
        <w:tc>
          <w:tcPr/>
          <w:p>
            <w:pPr>
              <w:pStyle w:val="Compact"/>
            </w:pPr>
            <w:r>
              <w:t xml:space="preserve">S$109.9 (95% UI: S$102.1–S$117.5)</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3.8 hours on four processor cores. The scenario analysis of 2,000 draws took about 17 minutes on 14 cores. The project test suite (63 checks)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153 (95% UI: 137–167)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Excess mortality.</w:t>
      </w:r>
      <w:r>
        <w:t xml:space="preserve"> </w:t>
      </w:r>
      <w:r>
        <w:t xml:space="preserve">The hazard ratio for non-liver deaths comes from a general population cohort in Taiwan, not from PWID</w:t>
      </w:r>
      <w:r>
        <w:t xml:space="preserve"> </w:t>
      </w:r>
      <w:r>
        <w:t xml:space="preserve">[13]</w:t>
      </w:r>
      <w:r>
        <w:t xml:space="preserve">. A cohort in Naples found 1.11 (0.82 to 1.49)</w:t>
      </w:r>
      <w:r>
        <w:t xml:space="preserve"> </w:t>
      </w:r>
      <w:r>
        <w:t xml:space="preserve">[34]</w:t>
      </w:r>
      <w:r>
        <w:t xml:space="preserve">. In a PWID cohort, all-cause mortality was lower with undetectable RNA (0.54), but the comparison group was self selected</w:t>
      </w:r>
      <w:r>
        <w:t xml:space="preserve"> </w:t>
      </w:r>
      <w:r>
        <w:t xml:space="preserve">[35]</w:t>
      </w:r>
      <w:r>
        <w:t xml:space="preserve">.</w:t>
      </w:r>
    </w:p>
    <w:p>
      <w:pPr>
        <w:pStyle w:val="Compact"/>
        <w:numPr>
          <w:ilvl w:val="0"/>
          <w:numId w:val="1003"/>
        </w:numPr>
      </w:pPr>
      <w:r>
        <w:rPr>
          <w:b/>
          <w:bCs/>
        </w:rPr>
        <w:t xml:space="preserve">Prison rates.</w:t>
      </w:r>
      <w:r>
        <w:t xml:space="preserve"> </w:t>
      </w:r>
      <w:r>
        <w:t xml:space="preserve">The first arrest flow comes from a steady state balance of the 2015 prison population. The same prison counts are calibration targets, so the population targets carry little extra information.</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The prior was centred on a deterministic fit to the same 12 observations. For θ5, θ6, θ7, θ8, θ9, θ10, θ11 and θ12 the posterior standard deviation was 87% to 101% of the prior standard deviation, so the 0.20 prior width partly sets their uncertainty.</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22" w:name="references"/>
    <w:p>
      <w:pPr>
        <w:pStyle w:val="Heading1"/>
      </w:pPr>
      <w:r>
        <w:t xml:space="preserve">References</w:t>
      </w:r>
    </w:p>
    <w:bookmarkStart w:id="121"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mathers2013"/>
    <w:p>
      <w:pPr>
        <w:pStyle w:val="Bibliography"/>
      </w:pPr>
      <w:r>
        <w:t xml:space="preserve">11.</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75">
        <w:r>
          <w:rPr>
            <w:rStyle w:val="Hyperlink"/>
          </w:rPr>
          <w:t xml:space="preserve">10.2471/blt.12.108282</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Start w:id="118" w:name="ref-piselli2021"/>
    <w:p>
      <w:pPr>
        <w:pStyle w:val="Bibliography"/>
      </w:pPr>
      <w:r>
        <w:t xml:space="preserve">34.</w:t>
      </w:r>
      <w:r>
        <w:t xml:space="preserve"> </w:t>
      </w:r>
      <w:r>
        <w:t xml:space="preserve">	</w:t>
      </w:r>
      <w:r>
        <w:t xml:space="preserve">Piselli P, Serraino D, Fusco M, Girardi E, Pirozzi A, Toffolutti F, et al.</w:t>
      </w:r>
      <w:r>
        <w:t xml:space="preserve"> </w:t>
      </w:r>
      <w:r>
        <w:t xml:space="preserve">Hepatitis C virus infection and risk of liver-related and non-liver-related deaths: a population-based cohort study in Naples, southern Italy</w:t>
      </w:r>
      <w:r>
        <w:t xml:space="preserve">. BMC Infectious Diseases. 2021;21: 667. doi:</w:t>
      </w:r>
      <w:hyperlink r:id="rId117">
        <w:r>
          <w:rPr>
            <w:rStyle w:val="Hyperlink"/>
          </w:rPr>
          <w:t xml:space="preserve">10.1186/s12879-021-06336-9</w:t>
        </w:r>
      </w:hyperlink>
    </w:p>
    <w:bookmarkEnd w:id="118"/>
    <w:bookmarkStart w:id="120" w:name="ref-cepeda2022"/>
    <w:p>
      <w:pPr>
        <w:pStyle w:val="Bibliography"/>
      </w:pPr>
      <w:r>
        <w:t xml:space="preserve">35.</w:t>
      </w:r>
      <w:r>
        <w:t xml:space="preserve"> </w:t>
      </w:r>
      <w:r>
        <w:t xml:space="preserve">	</w:t>
      </w:r>
      <w:r>
        <w:t xml:space="preserve">Cepeda JA, Thomas DL, Astemborski J, Rudolph JE, Gicquelais R, Kirk GD, et al.</w:t>
      </w:r>
      <w:r>
        <w:t xml:space="preserve"> </w:t>
      </w:r>
      <w:r>
        <w:t xml:space="preserve">Impact of hepatitis C treatment uptake on cirrhosis and mortality in persons who inject drugs: a longitudinal, community-based cohort study</w:t>
      </w:r>
      <w:r>
        <w:t xml:space="preserve">. Annals of Internal Medicine. 2022;175: 1083–1091. doi:</w:t>
      </w:r>
      <w:hyperlink r:id="rId119">
        <w:r>
          <w:rPr>
            <w:rStyle w:val="Hyperlink"/>
          </w:rPr>
          <w:t xml:space="preserve">10.7326/M21-3846</w:t>
        </w:r>
      </w:hyperlink>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117" Target="https://doi.org/10.1186/s12879-021-06336-9"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9" Target="https://doi.org/10.7326/M21-3846"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117" Target="https://doi.org/10.1186/s12879-021-06336-9"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9" Target="https://doi.org/10.7326/M21-3846"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2026-10-19T05:48:27Z</dcterms:created>
  <dcterms:modified xsi:type="dcterms:W3CDTF">2026-10-19T05:48:27Z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