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2015 prison data with Bayesian methods.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101.9% (95% UI: 98.8%–105.5%) of the 2015 level. With prison treatment alone, new infections fell by 47.6% (95% UI: 36.5%–57.5%) by 2030 and HCV deaths by 47.4% (95% UI: 44.7%–48.8%). In 2026, 86% of chronic infections among released people were in X. No scenario met the incidence target: even screening everyone eligible after release cut new infections by only 57%, because 59% of new infections in 2030 occurred among people who had never been imprisoned. The mortality target was met at the median only at 8,000 tests a year with 25% or 50% to F. At 8,000 tests a year, the incidence reduction was 57.1% to 57.3% for every split, while the mortality reduction fell from 67.2% to 60.3% as the F share rose from 25% to 75%. The model covers only PWID and assumes ideal linkage to treatment.</w:t>
      </w:r>
    </w:p>
    <w:bookmarkEnd w:id="10"/>
    <w:bookmarkStart w:id="11" w:name="conclusions"/>
    <w:p>
      <w:pPr>
        <w:pStyle w:val="Heading2"/>
      </w:pPr>
      <w:r>
        <w:t xml:space="preserve">Conclusions</w:t>
      </w:r>
    </w:p>
    <w:p>
      <w:pPr>
        <w:pStyle w:val="FirstParagraph"/>
      </w:pPr>
      <w:r>
        <w:t xml:space="preserve">In this model, prison treatment alone roughly halves new HCV infections and HCV deaths by 2030, short of both targets. Most remaining deaths occur among released people who no longer inject, so large scale community screening is needed to reach the mortality target. The F group is small, so screening beyond its size adds no benefit, and most community capacity should go to X. The incidence target cannot be met through prison and post release services, because most new infections occur in people who have never been imprisoned.</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data and carried uncertainty in all model parameters through to the results.</w:t>
      </w:r>
    </w:p>
    <w:p>
      <w:pPr>
        <w:pStyle w:val="Compact"/>
        <w:numPr>
          <w:ilvl w:val="0"/>
          <w:numId w:val="1002"/>
        </w:numPr>
      </w:pPr>
      <w:r>
        <w:t xml:space="preserve">Prison treatment alone reduced new infections by 48% and hepatitis C deaths by 47% by 2030, short of the WHO targets of 80% and 65%.</w:t>
      </w:r>
    </w:p>
    <w:p>
      <w:pPr>
        <w:pStyle w:val="Compact"/>
        <w:numPr>
          <w:ilvl w:val="0"/>
          <w:numId w:val="1002"/>
        </w:numPr>
      </w:pPr>
      <w:r>
        <w:t xml:space="preserve">By 2026, nearly all chronic infections and deaths among released people were in those who had stopped injecting. Shifting screening towards people who still inject did not improve infections once that small group was covered. It did reduce the fall in deaths.</w:t>
      </w:r>
    </w:p>
    <w:p>
      <w:pPr>
        <w:pStyle w:val="Compact"/>
        <w:numPr>
          <w:ilvl w:val="0"/>
          <w:numId w:val="1002"/>
        </w:numPr>
      </w:pPr>
      <w:r>
        <w:t xml:space="preserve">No strategy met the target for new infections. Most new infections occurred among people who inject but have never been imprisoned, whom prison and post release services do not reach.</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reaches only people who are imprisoned. Cutting new infections further needs testing and prevention for people who inject before they are ever imprisoned.</w:t>
      </w:r>
    </w:p>
    <w:p>
      <w:pPr>
        <w:pStyle w:val="Compact"/>
        <w:numPr>
          <w:ilvl w:val="0"/>
          <w:numId w:val="1003"/>
        </w:numPr>
      </w:pPr>
      <w:r>
        <w:t xml:space="preserve">Reaching the mortality target needs large scale community screening, mainly among people who have stopped injecting.</w:t>
      </w:r>
    </w:p>
    <w:p>
      <w:pPr>
        <w:pStyle w:val="Compact"/>
        <w:numPr>
          <w:ilvl w:val="0"/>
          <w:numId w:val="1003"/>
        </w:numPr>
      </w:pPr>
      <w:r>
        <w:t xml:space="preserve">These results come from a model with ideal links from testing to treatment.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[15,22]</w:t>
      </w:r>
      <w:r>
        <w:t xml:space="preserve">. People with chronic infection also die 1.47 times as fast from other causes</w:t>
      </w:r>
      <w:r>
        <w:t xml:space="preserve"> </w:t>
      </w:r>
      <w:r>
        <w:t xml:space="preserve">[23]</w:t>
      </w:r>
      <w:r>
        <w:t xml:space="preserve">. Release and re-arrest rates and the yearly number of first arrests came from Singapore Prison Service records, and the first arrest rate was set so that the model reproduces that number.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data from the Singapore Prison Service. These were seroprevalence and prison population counts in six age groups. We estimated 12 parameters. Six scaled the contact rates by age. Six set the rate of entry into injecting by age, as an excess above the minimum entry that supplies the observed first arrests. Each model run started in model year 0 and ran for 150 years to reach equilibrium. The end of that period represents 2015. From 2016, entry into injecting followed the official annual number of new drug users by age</w:t>
      </w:r>
      <w:r>
        <w:t xml:space="preserve"> </w:t>
      </w:r>
      <w:r>
        <w:t xml:space="preserve">[24]</w:t>
      </w:r>
      <w:r>
        <w:t xml:space="preserve">. The 2025 value was held constant to 2030.</w:t>
      </w:r>
    </w:p>
    <w:p>
      <w:pPr>
        <w:pStyle w:val="BodyText"/>
      </w:pPr>
      <w:r>
        <w:t xml:space="preserve">A multi start Nelder Mead fit gave the best fitting parameter values. We used them as the centre of a normal prior with standard deviation 0.20 on the log scale. Any best fit value closer than five prior standard deviations to a parameter bound was moved inward to that distance, so that the prior lies within the bounds. The likelihood was binomial for the prevalence counts and log normal for the population counts and for the 2015 entry into injecting, compared with the official count of new drug users. Parameter sets that did not reach equilibrium were excluded. We sampled the posterior with an adaptive random walk Metropolis algorithm</w:t>
      </w:r>
      <w:r>
        <w:t xml:space="preserve"> </w:t>
      </w:r>
      <w:r>
        <w:t xml:space="preserve">[25]</w:t>
      </w:r>
      <w:r>
        <w:t xml:space="preserve">. We ran four chains from independent prior draws, with 50,000 model runs each. All parameters reached rank normalised R-hat below 1.01</w:t>
      </w:r>
      <w:r>
        <w:t xml:space="preserve"> </w:t>
      </w:r>
      <w:r>
        <w:t xml:space="preserve">[26]</w:t>
      </w:r>
      <w:r>
        <w:t xml:space="preserve">. We also trained single round neural posterior estimation</w:t>
      </w:r>
      <w:r>
        <w:t xml:space="preserve"> </w:t>
      </w:r>
      <w:r>
        <w:t xml:space="preserve">[27,28]</w:t>
      </w:r>
      <w:r>
        <w:t xml:space="preserve"> </w:t>
      </w:r>
      <w:r>
        <w:t xml:space="preserve">on 50,000 prior simulations drawn by Latin hypercube sampling and compared it with MCMC. Simulation based calibration on 973 simulated datasets showed well calibrated neural posteriors (95% coverage 0.94 to 0.96). Policy results agreed within 1.2%. The neural posterior’s 95% intervals were on average 1% narrower than those from MCMC. We used MCMC, which samples the exact posterior and whose error falls with longer runs.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[29,30]</w:t>
      </w:r>
      <w:r>
        <w:t xml:space="preserve">. Test and consultation prices came from public price lists</w:t>
      </w:r>
      <w:r>
        <w:t xml:space="preserve"> </w:t>
      </w:r>
      <w:r>
        <w:t xml:space="preserve">[31,32]</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[33]</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and population targets. All 95% predictive intervals overlapped the target intervals (S1 Text, Section 2). In 2015, the model estimated 18,453 (95% interval: 17,799–19,380) people with a history of injecting drugs. Of these, 2,157 (2,148–2,165) were in F and 9,608 (9,545–9,664) were in X.</w:t>
      </w:r>
    </w:p>
    <w:bookmarkEnd w:id="25"/>
    <w:bookmarkStart w:id="26" w:name="X7fcd94bfd87d1a843d0e5bbed8188314588d4e1"/>
    <w:p>
      <w:pPr>
        <w:pStyle w:val="Heading2"/>
      </w:pPr>
      <w:r>
        <w:t xml:space="preserve">Prison treatment alone met neither target</w:t>
      </w:r>
    </w:p>
    <w:p>
      <w:pPr>
        <w:pStyle w:val="FirstParagraph"/>
      </w:pPr>
      <w:r>
        <w:t xml:space="preserve">Without any treatment, new infections rose after 2015 as entry into injecting increased. They remained high to 2030 (Fig 2). In 2030 annual new infections were 101.9% (95% UI: 98.8%–105.5%) of the 2015 level. HCV deaths were 100.1% (95% UI: 99.8%–100.4%) of the 2015 level.</w:t>
      </w:r>
    </w:p>
    <w:p>
      <w:pPr>
        <w:pStyle w:val="BodyText"/>
      </w:pPr>
      <w:r>
        <w:t xml:space="preserve">Prison treatment from 2019 changed the course of new infections. By 2025 they were 64.0% (95% UI: 56.5%–72.2%) of the 2015 level. By 2030 they had fallen by 47.6% (95% UI: 36.5%–57.5%). This was well short of the 80% target. Deaths fell at a similar pace. By 2025 they were 66.8% (95% UI: 65.8%–68.5%) of the 2015 level. By 2030 the reduction was 47.4% (95% UI: 44.7%–48.8%), well short of the 65% target.</w:t>
      </w:r>
    </w:p>
    <w:p>
      <w:pPr>
        <w:pStyle w:val="BodyText"/>
      </w:pPr>
      <w:r>
        <w:t xml:space="preserve">The reason lies in where infection and disease sit after release. In 2026, F held 149 (95% UI: 138–160) people with chronic infection. X held 909 (95% UI: 846–969). X thus held 86% of chronic infections among released people. In the J only scenario, 81% of HCV deaths in 2026 occurred in F and X. By 2030 this share was 80%. People in X do not inject and do not transmit. Prison treatment does not reach them after release.</w:t>
      </w:r>
    </w:p>
    <w:bookmarkEnd w:id="26"/>
    <w:bookmarkStart w:id="27" w:name="Xda86bbae8803f10c8689f5048ad51af7d326745"/>
    <w:p>
      <w:pPr>
        <w:pStyle w:val="Heading2"/>
      </w:pPr>
      <w:r>
        <w:t xml:space="preserve">Community screening can meet the mortality target but not the incidence target</w:t>
      </w:r>
    </w:p>
    <w:p>
      <w:pPr>
        <w:pStyle w:val="FirstParagraph"/>
      </w:pPr>
      <w:r>
        <w:t xml:space="preserve">Adding community screening increased both reductions (Table 1). No scenario met the incidence target. The largest reduction in a finite scenario was 57.3%, and screening everyone eligible in F and X every year gave 57.3% (95% UI: 44.4%–68.4%). In that ideal reference, 59% of new infections in 2030 occurred in D, among people who inject but have never been imprisoned. Neither prison treatment nor screening after release reaches them, and no draw met the incidence target in any scenario.</w:t>
      </w:r>
    </w:p>
    <w:p>
      <w:pPr>
        <w:pStyle w:val="BodyText"/>
      </w:pPr>
      <w:r>
        <w:t xml:space="preserve">The mortality target was met at the median in 2 of 15 scenarios: 8,000 tests a year with 25% or 50% to F. At 8,000 tests a year with 25% to F, the mortality target was met in 87% of draws. With 50% to F, the share was 60%. At 5,000 tests a year with 25% to F, the median mortality reduction was 64.9% (95% UI: 60.9%–67.0%), just below the target. The mortality target was met in 47% of draws, so this scenario sits on the threshold. The ideal reference reduced mortality by 67.4% (95% UI: 63.3%–69.7%).</w:t>
      </w:r>
    </w:p>
    <w:p>
      <w:pPr>
        <w:pStyle w:val="BodyText"/>
      </w:pPr>
      <w:r>
        <w:t xml:space="preserve">At 600 tests a year, the planned size of the current community programme, the mortality reduction was at most 51.1%. This was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up to a ceiling. More screening for X gave a larger fall in deaths.</w:t>
      </w:r>
    </w:p>
    <w:p>
      <w:pPr>
        <w:pStyle w:val="BodyText"/>
      </w:pPr>
      <w:r>
        <w:t xml:space="preserve">The F group is small. In 2026 about 2,110 people in F were eligible for screening each year. Once the F quota exceeded this number, extra tests could not be used (S1 Text, Fig S5). At 8,000 tests a year with 25% to F, 100% of the F quota was used. With 75% to F, only 35% was used. In all three splits at this capacity, the incidence reduction was 57.1% to 57.3%. The extra F tests were idle, while the X tests they replaced were lost. The mortality reduction fell from 67.2% (95% UI: 63.1%–69.4%) with 25% to F to 60.3% (95% UI: 56.7%–62.2%) with 75% to F.</w:t>
      </w:r>
    </w:p>
    <w:p>
      <w:pPr>
        <w:pStyle w:val="BodyText"/>
      </w:pPr>
      <w:r>
        <w:t xml:space="preserve">At lower capacities there was a real trade off. At 2,000 tests a year, moving from 25% to 75% for F raised the incidence reduction from 51.9% to 56.1%. It lowered the mortality reduction from 57.6% to 52.1%. A simple rule follows. F should receive enough tests to cover its eligible group each year, about 1,550. All remaining capacity should go to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171 (95% UI: 157–184) at 600 tests a year with 75% to F, to 1,194 (95% UI: 1,116–1,269) at 8,000 tests a year with 25% to F (Table 1). Starts were highest in 2026 and fell each year as the stock of chronic infection was treated. The discounted cost of the 2 finite scenarios that met the mortality target ranged from S$63.8 million to S$68.8 million over five years. Drugs made up 94% to 95% of this cost. Compared with prison treatment alone, each extra percentage point of mortality reduction cost about S$2.1 million in the two scenarios with 25% to F at 5,000 and 8,000 tests a year. Single round neural posterior estimation gave policy results within 1.2%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47.6% (95% UI: 36.5%–57.5%)</w:t>
            </w:r>
          </w:p>
        </w:tc>
        <w:tc>
          <w:tcPr/>
          <w:p>
            <w:pPr>
              <w:pStyle w:val="Compact"/>
            </w:pPr>
            <w:r>
              <w:t xml:space="preserve">47.4% (95% UI: 44.7%–48.8%)</w:t>
            </w:r>
          </w:p>
        </w:tc>
        <w:tc>
          <w:tcPr/>
          <w:p>
            <w:pPr>
              <w:pStyle w:val="Compact"/>
            </w:pPr>
            <w:r>
              <w:t xml:space="preserve">0%</w:t>
            </w:r>
          </w:p>
        </w:tc>
        <w:tc>
          <w:tcPr/>
          <w:p>
            <w:pPr>
              <w:pStyle w:val="Compact"/>
            </w:pPr>
            <w:r>
              <w:t xml:space="preserve">0</w:t>
            </w:r>
          </w:p>
        </w:tc>
        <w:tc>
          <w:tcPr/>
          <w:p>
            <w:pPr>
              <w:pStyle w:val="Compact"/>
            </w:pPr>
            <w:r>
              <w:t xml:space="preserve">26.2 (95% UI: 22.9–29.5)</w:t>
            </w:r>
          </w:p>
        </w:tc>
      </w:tr>
      <w:tr>
        <w:tc>
          <w:tcPr/>
          <w:p>
            <w:pPr>
              <w:pStyle w:val="Compact"/>
            </w:pPr>
            <w:r>
              <w:t xml:space="preserve">J + 600/year, F 50%</w:t>
            </w:r>
          </w:p>
        </w:tc>
        <w:tc>
          <w:tcPr/>
          <w:p>
            <w:pPr>
              <w:pStyle w:val="Compact"/>
            </w:pPr>
            <w:r>
              <w:t xml:space="preserve">50.4% (95% UI: 38.8%–60.7%)</w:t>
            </w:r>
          </w:p>
        </w:tc>
        <w:tc>
          <w:tcPr/>
          <w:p>
            <w:pPr>
              <w:pStyle w:val="Compact"/>
            </w:pPr>
            <w:r>
              <w:t xml:space="preserve">50.1% (95% UI: 47.2%–51.6%)</w:t>
            </w:r>
          </w:p>
        </w:tc>
        <w:tc>
          <w:tcPr/>
          <w:p>
            <w:pPr>
              <w:pStyle w:val="Compact"/>
            </w:pPr>
            <w:r>
              <w:t xml:space="preserve">0%</w:t>
            </w:r>
          </w:p>
        </w:tc>
        <w:tc>
          <w:tcPr/>
          <w:p>
            <w:pPr>
              <w:pStyle w:val="Compact"/>
            </w:pPr>
            <w:r>
              <w:t xml:space="preserve">196 (95% UI: 182–209)</w:t>
            </w:r>
          </w:p>
        </w:tc>
        <w:tc>
          <w:tcPr/>
          <w:p>
            <w:pPr>
              <w:pStyle w:val="Compact"/>
            </w:pPr>
            <w:r>
              <w:t xml:space="preserve">31.8 (95% UI: 28.3–35.3)</w:t>
            </w:r>
          </w:p>
        </w:tc>
      </w:tr>
      <w:tr>
        <w:tc>
          <w:tcPr/>
          <w:p>
            <w:pPr>
              <w:pStyle w:val="Compact"/>
            </w:pPr>
            <w:r>
              <w:t xml:space="preserve">J + 2,000/year, F 25%</w:t>
            </w:r>
          </w:p>
        </w:tc>
        <w:tc>
          <w:tcPr/>
          <w:p>
            <w:pPr>
              <w:pStyle w:val="Compact"/>
            </w:pPr>
            <w:r>
              <w:t xml:space="preserve">51.9% (95% UI: 40.0%–62.4%)</w:t>
            </w:r>
          </w:p>
        </w:tc>
        <w:tc>
          <w:tcPr/>
          <w:p>
            <w:pPr>
              <w:pStyle w:val="Compact"/>
            </w:pPr>
            <w:r>
              <w:t xml:space="preserve">57.6% (95% UI: 54.2%–59.5%)</w:t>
            </w:r>
          </w:p>
        </w:tc>
        <w:tc>
          <w:tcPr/>
          <w:p>
            <w:pPr>
              <w:pStyle w:val="Compact"/>
            </w:pPr>
            <w:r>
              <w:t xml:space="preserve">0%</w:t>
            </w:r>
          </w:p>
        </w:tc>
        <w:tc>
          <w:tcPr/>
          <w:p>
            <w:pPr>
              <w:pStyle w:val="Compact"/>
            </w:pPr>
            <w:r>
              <w:t xml:space="preserve">591 (95% UI: 551–631)</w:t>
            </w:r>
          </w:p>
        </w:tc>
        <w:tc>
          <w:tcPr/>
          <w:p>
            <w:pPr>
              <w:pStyle w:val="Compact"/>
            </w:pPr>
            <w:r>
              <w:t xml:space="preserve">46.5 (95% UI: 42.6–50.4)</w:t>
            </w:r>
          </w:p>
        </w:tc>
      </w:tr>
      <w:tr>
        <w:tc>
          <w:tcPr/>
          <w:p>
            <w:pPr>
              <w:pStyle w:val="Compact"/>
            </w:pPr>
            <w:r>
              <w:t xml:space="preserve">J + 2,000/year, F 75%</w:t>
            </w:r>
          </w:p>
        </w:tc>
        <w:tc>
          <w:tcPr/>
          <w:p>
            <w:pPr>
              <w:pStyle w:val="Compact"/>
            </w:pPr>
            <w:r>
              <w:t xml:space="preserve">56.1% (95% UI: 43.4%–67.0%)</w:t>
            </w:r>
          </w:p>
        </w:tc>
        <w:tc>
          <w:tcPr/>
          <w:p>
            <w:pPr>
              <w:pStyle w:val="Compact"/>
            </w:pPr>
            <w:r>
              <w:t xml:space="preserve">52.1% (95% UI: 49.1%–53.7%)</w:t>
            </w:r>
          </w:p>
        </w:tc>
        <w:tc>
          <w:tcPr/>
          <w:p>
            <w:pPr>
              <w:pStyle w:val="Compact"/>
            </w:pPr>
            <w:r>
              <w:t xml:space="preserve">0%</w:t>
            </w:r>
          </w:p>
        </w:tc>
        <w:tc>
          <w:tcPr/>
          <w:p>
            <w:pPr>
              <w:pStyle w:val="Compact"/>
            </w:pPr>
            <w:r>
              <w:t xml:space="preserve">431 (95% UI: 399–463)</w:t>
            </w:r>
          </w:p>
        </w:tc>
        <w:tc>
          <w:tcPr/>
          <w:p>
            <w:pPr>
              <w:pStyle w:val="Compact"/>
            </w:pPr>
            <w:r>
              <w:t xml:space="preserve">36.6 (95% UI: 32.7–40.7)</w:t>
            </w:r>
          </w:p>
        </w:tc>
      </w:tr>
      <w:tr>
        <w:tc>
          <w:tcPr/>
          <w:p>
            <w:pPr>
              <w:pStyle w:val="Compact"/>
            </w:pPr>
            <w:r>
              <w:t xml:space="preserve">J + 5,000/year, F 25%</w:t>
            </w:r>
          </w:p>
        </w:tc>
        <w:tc>
          <w:tcPr/>
          <w:p>
            <w:pPr>
              <w:pStyle w:val="Compact"/>
            </w:pPr>
            <w:r>
              <w:t xml:space="preserve">55.4% (95% UI: 42.8%–66.3%)</w:t>
            </w:r>
          </w:p>
        </w:tc>
        <w:tc>
          <w:tcPr/>
          <w:p>
            <w:pPr>
              <w:pStyle w:val="Compact"/>
            </w:pPr>
            <w:r>
              <w:t xml:space="preserve">64.9% (95% UI: 60.9%–67.0%)</w:t>
            </w:r>
          </w:p>
        </w:tc>
        <w:tc>
          <w:tcPr/>
          <w:p>
            <w:pPr>
              <w:pStyle w:val="Compact"/>
            </w:pPr>
            <w:r>
              <w:t xml:space="preserve">47%</w:t>
            </w:r>
          </w:p>
        </w:tc>
        <w:tc>
          <w:tcPr/>
          <w:p>
            <w:pPr>
              <w:pStyle w:val="Compact"/>
            </w:pPr>
            <w:r>
              <w:t xml:space="preserve">1,025 (95% UI: 957–1,091)</w:t>
            </w:r>
          </w:p>
        </w:tc>
        <w:tc>
          <w:tcPr/>
          <w:p>
            <w:pPr>
              <w:pStyle w:val="Compact"/>
            </w:pPr>
            <w:r>
              <w:t xml:space="preserve">62.0 (95% UI: 57.3–66.7)</w:t>
            </w:r>
          </w:p>
        </w:tc>
      </w:tr>
      <w:tr>
        <w:tc>
          <w:tcPr/>
          <w:p>
            <w:pPr>
              <w:pStyle w:val="Compact"/>
            </w:pPr>
            <w:r>
              <w:t xml:space="preserve">J + 5,000/year, F 50%</w:t>
            </w:r>
          </w:p>
        </w:tc>
        <w:tc>
          <w:tcPr/>
          <w:p>
            <w:pPr>
              <w:pStyle w:val="Compact"/>
            </w:pPr>
            <w:r>
              <w:t xml:space="preserve">57.3% (95% UI: 44.4%–68.4%)</w:t>
            </w:r>
          </w:p>
        </w:tc>
        <w:tc>
          <w:tcPr/>
          <w:p>
            <w:pPr>
              <w:pStyle w:val="Compact"/>
            </w:pPr>
            <w:r>
              <w:t xml:space="preserve">62.0% (95% UI: 58.3%–64.1%)</w:t>
            </w:r>
          </w:p>
        </w:tc>
        <w:tc>
          <w:tcPr/>
          <w:p>
            <w:pPr>
              <w:pStyle w:val="Compact"/>
            </w:pPr>
            <w:r>
              <w:t xml:space="preserve">0%</w:t>
            </w:r>
          </w:p>
        </w:tc>
        <w:tc>
          <w:tcPr/>
          <w:p>
            <w:pPr>
              <w:pStyle w:val="Compact"/>
            </w:pPr>
            <w:r>
              <w:t xml:space="preserve">936 (95% UI: 875–998)</w:t>
            </w:r>
          </w:p>
        </w:tc>
        <w:tc>
          <w:tcPr/>
          <w:p>
            <w:pPr>
              <w:pStyle w:val="Compact"/>
            </w:pPr>
            <w:r>
              <w:t xml:space="preserve">56.4 (95% UI: 51.9–60.9)</w:t>
            </w:r>
          </w:p>
        </w:tc>
      </w:tr>
      <w:tr>
        <w:tc>
          <w:tcPr/>
          <w:p>
            <w:pPr>
              <w:pStyle w:val="Compact"/>
            </w:pPr>
            <w:r>
              <w:t xml:space="preserve">J + 5,000/year, F 75%</w:t>
            </w:r>
          </w:p>
        </w:tc>
        <w:tc>
          <w:tcPr/>
          <w:p>
            <w:pPr>
              <w:pStyle w:val="Compact"/>
            </w:pPr>
            <w:r>
              <w:t xml:space="preserve">57.3% (95% UI: 44.4%–68.4%)</w:t>
            </w:r>
          </w:p>
        </w:tc>
        <w:tc>
          <w:tcPr/>
          <w:p>
            <w:pPr>
              <w:pStyle w:val="Compact"/>
            </w:pPr>
            <w:r>
              <w:t xml:space="preserve">56.8% (95% UI: 53.5%–58.6%)</w:t>
            </w:r>
          </w:p>
        </w:tc>
        <w:tc>
          <w:tcPr/>
          <w:p>
            <w:pPr>
              <w:pStyle w:val="Compact"/>
            </w:pPr>
            <w:r>
              <w:t xml:space="preserve">0%</w:t>
            </w:r>
          </w:p>
        </w:tc>
        <w:tc>
          <w:tcPr/>
          <w:p>
            <w:pPr>
              <w:pStyle w:val="Compact"/>
            </w:pPr>
            <w:r>
              <w:t xml:space="preserve">688 (95% UI: 640–734)</w:t>
            </w:r>
          </w:p>
        </w:tc>
        <w:tc>
          <w:tcPr/>
          <w:p>
            <w:pPr>
              <w:pStyle w:val="Compact"/>
            </w:pPr>
            <w:r>
              <w:t xml:space="preserve">46.1 (95% UI: 41.9–50.3)</w:t>
            </w:r>
          </w:p>
        </w:tc>
      </w:tr>
      <w:tr>
        <w:tc>
          <w:tcPr/>
          <w:p>
            <w:pPr>
              <w:pStyle w:val="Compact"/>
            </w:pPr>
            <w:r>
              <w:t xml:space="preserve">J + 8,000/year, F 25%</w:t>
            </w:r>
          </w:p>
        </w:tc>
        <w:tc>
          <w:tcPr/>
          <w:p>
            <w:pPr>
              <w:pStyle w:val="Compact"/>
            </w:pPr>
            <w:r>
              <w:t xml:space="preserve">57.1% (95% UI: 44.3%–68.2%)</w:t>
            </w:r>
          </w:p>
        </w:tc>
        <w:tc>
          <w:tcPr/>
          <w:p>
            <w:pPr>
              <w:pStyle w:val="Compact"/>
            </w:pPr>
            <w:r>
              <w:t xml:space="preserve">67.2% (95% UI: 63.1%–69.4%)</w:t>
            </w:r>
          </w:p>
        </w:tc>
        <w:tc>
          <w:tcPr/>
          <w:p>
            <w:pPr>
              <w:pStyle w:val="Compact"/>
            </w:pPr>
            <w:r>
              <w:t xml:space="preserve">87%</w:t>
            </w:r>
          </w:p>
        </w:tc>
        <w:tc>
          <w:tcPr/>
          <w:p>
            <w:pPr>
              <w:pStyle w:val="Compact"/>
            </w:pPr>
            <w:r>
              <w:t xml:space="preserve">1,194 (95% UI: 1,116–1,269)</w:t>
            </w:r>
          </w:p>
        </w:tc>
        <w:tc>
          <w:tcPr/>
          <w:p>
            <w:pPr>
              <w:pStyle w:val="Compact"/>
            </w:pPr>
            <w:r>
              <w:t xml:space="preserve">68.8 (95% UI: 63.7–73.8)</w:t>
            </w:r>
          </w:p>
        </w:tc>
      </w:tr>
      <w:tr>
        <w:tc>
          <w:tcPr/>
          <w:p>
            <w:pPr>
              <w:pStyle w:val="Compact"/>
            </w:pPr>
            <w:r>
              <w:t xml:space="preserve">J + 8,000/year, F 50%</w:t>
            </w:r>
          </w:p>
        </w:tc>
        <w:tc>
          <w:tcPr/>
          <w:p>
            <w:pPr>
              <w:pStyle w:val="Compact"/>
            </w:pPr>
            <w:r>
              <w:t xml:space="preserve">57.3% (95% UI: 44.4%–68.4%)</w:t>
            </w:r>
          </w:p>
        </w:tc>
        <w:tc>
          <w:tcPr/>
          <w:p>
            <w:pPr>
              <w:pStyle w:val="Compact"/>
            </w:pPr>
            <w:r>
              <w:t xml:space="preserve">65.4% (95% UI: 61.4%–67.6%)</w:t>
            </w:r>
          </w:p>
        </w:tc>
        <w:tc>
          <w:tcPr/>
          <w:p>
            <w:pPr>
              <w:pStyle w:val="Compact"/>
            </w:pPr>
            <w:r>
              <w:t xml:space="preserve">60%</w:t>
            </w:r>
          </w:p>
        </w:tc>
        <w:tc>
          <w:tcPr/>
          <w:p>
            <w:pPr>
              <w:pStyle w:val="Compact"/>
            </w:pPr>
            <w:r>
              <w:t xml:space="preserve">1,101 (95% UI: 1,029–1,170)</w:t>
            </w:r>
          </w:p>
        </w:tc>
        <w:tc>
          <w:tcPr/>
          <w:p>
            <w:pPr>
              <w:pStyle w:val="Compact"/>
            </w:pPr>
            <w:r>
              <w:t xml:space="preserve">63.8 (95% UI: 58.9–68.6)</w:t>
            </w:r>
          </w:p>
        </w:tc>
      </w:tr>
      <w:tr>
        <w:tc>
          <w:tcPr/>
          <w:p>
            <w:pPr>
              <w:pStyle w:val="Compact"/>
            </w:pPr>
            <w:r>
              <w:t xml:space="preserve">J + 8,000/year, F 75%</w:t>
            </w:r>
          </w:p>
        </w:tc>
        <w:tc>
          <w:tcPr/>
          <w:p>
            <w:pPr>
              <w:pStyle w:val="Compact"/>
            </w:pPr>
            <w:r>
              <w:t xml:space="preserve">57.3% (95% UI: 44.4%–68.4%)</w:t>
            </w:r>
          </w:p>
        </w:tc>
        <w:tc>
          <w:tcPr/>
          <w:p>
            <w:pPr>
              <w:pStyle w:val="Compact"/>
            </w:pPr>
            <w:r>
              <w:t xml:space="preserve">60.3% (95% UI: 56.7%–62.2%)</w:t>
            </w:r>
          </w:p>
        </w:tc>
        <w:tc>
          <w:tcPr/>
          <w:p>
            <w:pPr>
              <w:pStyle w:val="Compact"/>
            </w:pPr>
            <w:r>
              <w:t xml:space="preserve">0%</w:t>
            </w:r>
          </w:p>
        </w:tc>
        <w:tc>
          <w:tcPr/>
          <w:p>
            <w:pPr>
              <w:pStyle w:val="Compact"/>
            </w:pPr>
            <w:r>
              <w:t xml:space="preserve">852 (95% UI: 795–909)</w:t>
            </w:r>
          </w:p>
        </w:tc>
        <w:tc>
          <w:tcPr/>
          <w:p>
            <w:pPr>
              <w:pStyle w:val="Compact"/>
            </w:pPr>
            <w:r>
              <w:t xml:space="preserve">52.9 (95% UI: 48.4–57.3)</w:t>
            </w:r>
          </w:p>
        </w:tc>
      </w:tr>
      <w:tr>
        <w:tc>
          <w:tcPr/>
          <w:p>
            <w:pPr>
              <w:pStyle w:val="Compact"/>
            </w:pPr>
            <w:r>
              <w:t xml:space="preserve">J + no screening cap</w:t>
            </w:r>
          </w:p>
        </w:tc>
        <w:tc>
          <w:tcPr/>
          <w:p>
            <w:pPr>
              <w:pStyle w:val="Compact"/>
            </w:pPr>
            <w:r>
              <w:t xml:space="preserve">57.3% (95% UI: 44.4%–68.4%)</w:t>
            </w:r>
          </w:p>
        </w:tc>
        <w:tc>
          <w:tcPr/>
          <w:p>
            <w:pPr>
              <w:pStyle w:val="Compact"/>
            </w:pPr>
            <w:r>
              <w:t xml:space="preserve">67.4% (95% UI: 63.3%–69.7%)</w:t>
            </w:r>
          </w:p>
        </w:tc>
        <w:tc>
          <w:tcPr/>
          <w:p>
            <w:pPr>
              <w:pStyle w:val="Compact"/>
            </w:pPr>
            <w:r>
              <w:t xml:space="preserve">89%</w:t>
            </w:r>
          </w:p>
        </w:tc>
        <w:tc>
          <w:tcPr/>
          <w:p>
            <w:pPr>
              <w:pStyle w:val="Compact"/>
            </w:pPr>
            <w:r>
              <w:t xml:space="preserve">1,255 (95% UI: 1,174–1,332)</w:t>
            </w:r>
          </w:p>
        </w:tc>
        <w:tc>
          <w:tcPr/>
          <w:p>
            <w:pPr>
              <w:pStyle w:val="Compact"/>
            </w:pPr>
            <w:r>
              <w:t xml:space="preserve">73.3 (95% UI: 68.1–78.4)</w:t>
            </w:r>
          </w:p>
        </w:tc>
      </w:tr>
    </w:tbl>
    <w:p>
      <w:pPr>
        <w:pStyle w:val="BodyText"/>
      </w:pPr>
      <w:r>
        <w:t xml:space="preserve">Reductions compare 2030 with 2015. Values are medians (95% UI) across 2,000 posterior draws. Targets are at least 80% for incidence and at least 65% for mortality. No draw met the incidence target in any scenario.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48% and HCV deaths by 47% by 2030. By 2026, nearly all chronic infections and HCV deaths among released people were in those who had stopped injecting. Community screening was needed to meet the mortality target. The split of screening between released people who still inject and those who have stopped mattered as much as the total amount. No strategy we modelled met the incidence target, because most new infections occurred in people who had not yet been imprisoned.</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But people inject for years before their first arrest, and in this model they acquired 59% of new infections in 2030 even when everyone eligible after release was screened. Reducing these infections needs testing and prevention in the community before imprisonment. Deaths follow a different path. They arise from cirrhosis and liver cancer that built up over many years. Most of this burden sits in people who stopped injecting long ago. They are rarely in prison and do not transmit.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Our results show this holds only up to a point. The F group is small and quickly covered. After that, extra tests for F add nothing. The same tests given to X would prevent deaths. Planners should therefore set the F quota by the size of the eligible F group. They should direct the rest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scenarios that met the mortality target needed 8,000 tests a year. That is about 13 times the planned capacity of the current community programme</w:t>
      </w:r>
      <w:r>
        <w:t xml:space="preserve"> </w:t>
      </w:r>
      <w:r>
        <w:t xml:space="preserve">[11]</w:t>
      </w:r>
      <w:r>
        <w:t xml:space="preserve">. Even 5,000 tests a year with 25% to F met the mortality target in only 47% of draws. All scenarios also assumed that every person identified starts treatment. Real linkage is weaker. In a Singapore trial among halfway house residents, only 12.6% of people with antibodies started treatment</w:t>
      </w:r>
      <w:r>
        <w:t xml:space="preserve"> </w:t>
      </w:r>
      <w:r>
        <w:t xml:space="preserve">[34]</w:t>
      </w:r>
      <w:r>
        <w:t xml:space="preserve">. Care navigation and simpler models of care can raise uptake</w:t>
      </w:r>
      <w:r>
        <w:t xml:space="preserve"> </w:t>
      </w:r>
      <w:r>
        <w:t xml:space="preserve">[35,36]</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checked the posterior against an independent method, neural posterior estimation. We modelled screening capacity explicitly, so treatment depends on how many people are found. We separated released people by injecting status, which earlier work did not do</w:t>
      </w:r>
      <w:r>
        <w:t xml:space="preserve"> </w:t>
      </w:r>
      <w:r>
        <w:t xml:space="preserve">[5]</w:t>
      </w:r>
      <w:r>
        <w:t xml:space="preserve">.</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prison data. We did not fit it to observed treatment numbers after 2019. The prison treatment assumption may therefore overstate or understate what happened. Third, we assumed perfect linkage from screening to treatment and no loss to follow up. Fourth, people in X cannot be reinfected or return to injecting. Some do relapse, which would add transmission. Fifth, entry into injecting uses counts of new drug users from law enforcement as a proxy, and the same counts anchor the number of people who inject without ever being imprisoned. That number sets the incidence result that prison and post release services cannot reach. Sixth, costs use list prices and an older drug price. Actual payer costs are not public. Seventh, our uncertainty intervals cover model parameters only. The prior was centred on a fit to the same data, and for 8 parameters the data narrowed the prior little.</w:t>
      </w:r>
    </w:p>
    <w:p>
      <w:pPr>
        <w:pStyle w:val="BodyText"/>
      </w:pPr>
      <w:r>
        <w:t xml:space="preserve">In conclusion, prison treatment has done much to reduce HCV among people who inject drugs in Singapore, but by itself it will not meet either WHO target by 2030. Large scale community screening after release can meet the mortality target, if most of it reaches people who have stopped injecting after enough is set aside for those who still inject. Meeting the incidence target needs testing and prevention that reach people who inject before they are ever imprisoned.</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 In panel A the two lines with 8,000 tests a year overlap.</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8" w:name="references"/>
    <w:p>
      <w:pPr>
        <w:pStyle w:val="Heading1"/>
      </w:pPr>
      <w:r>
        <w:t xml:space="preserve">References</w:t>
      </w:r>
    </w:p>
    <w:bookmarkStart w:id="117"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mathers2013"/>
    <w:p>
      <w:pPr>
        <w:pStyle w:val="Bibliography"/>
      </w:pPr>
      <w:r>
        <w:t xml:space="preserve">22.</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88">
        <w:r>
          <w:rPr>
            <w:rStyle w:val="Hyperlink"/>
          </w:rPr>
          <w:t xml:space="preserve">10.2471/blt.12.108282</w:t>
        </w:r>
      </w:hyperlink>
    </w:p>
    <w:bookmarkEnd w:id="89"/>
    <w:bookmarkStart w:id="91" w:name="ref-lee2012"/>
    <w:p>
      <w:pPr>
        <w:pStyle w:val="Bibliography"/>
      </w:pPr>
      <w:r>
        <w:t xml:space="preserve">23.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90">
        <w:r>
          <w:rPr>
            <w:rStyle w:val="Hyperlink"/>
          </w:rPr>
          <w:t xml:space="preserve">10.1093/infdis/jis385</w:t>
        </w:r>
      </w:hyperlink>
    </w:p>
    <w:bookmarkEnd w:id="91"/>
    <w:bookmarkStart w:id="93" w:name="ref-singstat_drug"/>
    <w:p>
      <w:pPr>
        <w:pStyle w:val="Bibliography"/>
      </w:pPr>
      <w:r>
        <w:t xml:space="preserve">24.</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2">
        <w:r>
          <w:rPr>
            <w:rStyle w:val="Hyperlink"/>
          </w:rPr>
          <w:t xml:space="preserve">https://data.gov.sg/datasets/d_f174679381e9085e32869c32bdb01b87/view</w:t>
        </w:r>
      </w:hyperlink>
    </w:p>
    <w:bookmarkEnd w:id="93"/>
    <w:bookmarkStart w:id="95" w:name="ref-haario2001"/>
    <w:p>
      <w:pPr>
        <w:pStyle w:val="Bibliography"/>
      </w:pPr>
      <w:r>
        <w:t xml:space="preserve">25.</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4">
        <w:r>
          <w:rPr>
            <w:rStyle w:val="Hyperlink"/>
          </w:rPr>
          <w:t xml:space="preserve">10.2307/3318737</w:t>
        </w:r>
      </w:hyperlink>
    </w:p>
    <w:bookmarkEnd w:id="95"/>
    <w:bookmarkStart w:id="97" w:name="ref-vehtari2021"/>
    <w:p>
      <w:pPr>
        <w:pStyle w:val="Bibliography"/>
      </w:pPr>
      <w:r>
        <w:t xml:space="preserve">26.</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6">
        <w:r>
          <w:rPr>
            <w:rStyle w:val="Hyperlink"/>
          </w:rPr>
          <w:t xml:space="preserve">10.1214/20-BA1221</w:t>
        </w:r>
      </w:hyperlink>
    </w:p>
    <w:bookmarkEnd w:id="97"/>
    <w:bookmarkStart w:id="98" w:name="ref-greenberg2019"/>
    <w:p>
      <w:pPr>
        <w:pStyle w:val="Bibliography"/>
      </w:pPr>
      <w:r>
        <w:t xml:space="preserve">27.</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8"/>
    <w:bookmarkStart w:id="100" w:name="ref-sbi2020"/>
    <w:p>
      <w:pPr>
        <w:pStyle w:val="Bibliography"/>
      </w:pPr>
      <w:r>
        <w:t xml:space="preserve">28.</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9">
        <w:r>
          <w:rPr>
            <w:rStyle w:val="Hyperlink"/>
          </w:rPr>
          <w:t xml:space="preserve">10.21105/joss.02505</w:t>
        </w:r>
      </w:hyperlink>
    </w:p>
    <w:bookmarkEnd w:id="100"/>
    <w:bookmarkStart w:id="102" w:name="ref-wong2019"/>
    <w:p>
      <w:pPr>
        <w:pStyle w:val="Bibliography"/>
      </w:pPr>
      <w:r>
        <w:t xml:space="preserve">29.</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101">
        <w:r>
          <w:rPr>
            <w:rStyle w:val="Hyperlink"/>
          </w:rPr>
          <w:t xml:space="preserve">10.1002/jgh3.12139</w:t>
        </w:r>
      </w:hyperlink>
    </w:p>
    <w:bookmarkEnd w:id="102"/>
    <w:bookmarkStart w:id="104" w:name="ref-sgd_rate"/>
    <w:p>
      <w:pPr>
        <w:pStyle w:val="Bibliography"/>
      </w:pPr>
      <w:r>
        <w:t xml:space="preserve">30.</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3">
        <w:r>
          <w:rPr>
            <w:rStyle w:val="Hyperlink"/>
          </w:rPr>
          <w:t xml:space="preserve">https://data.gov.sg/datasets/d_b09aeaf8eb591c4bfe347b66148c6b53/view</w:t>
        </w:r>
      </w:hyperlink>
    </w:p>
    <w:bookmarkEnd w:id="104"/>
    <w:bookmarkStart w:id="106" w:name="ref-nhg_dsc"/>
    <w:p>
      <w:pPr>
        <w:pStyle w:val="Bibliography"/>
      </w:pPr>
      <w:r>
        <w:t xml:space="preserve">31.</w:t>
      </w:r>
      <w:r>
        <w:t xml:space="preserve"> </w:t>
      </w:r>
      <w:r>
        <w:t xml:space="preserve">	</w:t>
      </w:r>
      <w:r>
        <w:t xml:space="preserve">National Healthcare Group.</w:t>
      </w:r>
      <w:r>
        <w:t xml:space="preserve"> </w:t>
      </w:r>
      <w:r>
        <w:t xml:space="preserve">DSC clinic charges</w:t>
      </w:r>
      <w:r>
        <w:t xml:space="preserve">. Available:</w:t>
      </w:r>
      <w:r>
        <w:t xml:space="preserve"> </w:t>
      </w:r>
      <w:hyperlink r:id="rId105">
        <w:r>
          <w:rPr>
            <w:rStyle w:val="Hyperlink"/>
          </w:rPr>
          <w:t xml:space="preserve">https://www.nhghealth.com.sg/nsc/about-dsc-clinic/dsc-patient-information/dsc-services/clinic-charges/</w:t>
        </w:r>
      </w:hyperlink>
    </w:p>
    <w:bookmarkEnd w:id="106"/>
    <w:bookmarkStart w:id="108" w:name="ref-parkway_rna"/>
    <w:p>
      <w:pPr>
        <w:pStyle w:val="Bibliography"/>
      </w:pPr>
      <w:r>
        <w:t xml:space="preserve">32.</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7">
        <w:r>
          <w:rPr>
            <w:rStyle w:val="Hyperlink"/>
          </w:rPr>
          <w:t xml:space="preserve">https://www.parkwaylabs.com.sg/docs/parkwaylablibraries/test-catalogues/send-out-test-price.pdf</w:t>
        </w:r>
      </w:hyperlink>
    </w:p>
    <w:bookmarkEnd w:id="108"/>
    <w:bookmarkStart w:id="110" w:name="ref-rcpp2011"/>
    <w:p>
      <w:pPr>
        <w:pStyle w:val="Bibliography"/>
      </w:pPr>
      <w:r>
        <w:t xml:space="preserve">33.</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9">
        <w:r>
          <w:rPr>
            <w:rStyle w:val="Hyperlink"/>
          </w:rPr>
          <w:t xml:space="preserve">10.18637/jss.v040.i08</w:t>
        </w:r>
      </w:hyperlink>
    </w:p>
    <w:bookmarkEnd w:id="110"/>
    <w:bookmarkStart w:id="112" w:name="ref-hsiang2022"/>
    <w:p>
      <w:pPr>
        <w:pStyle w:val="Bibliography"/>
      </w:pPr>
      <w:r>
        <w:t xml:space="preserve">34.</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1">
        <w:r>
          <w:rPr>
            <w:rStyle w:val="Hyperlink"/>
          </w:rPr>
          <w:t xml:space="preserve">10.11622/smedj.2020116</w:t>
        </w:r>
      </w:hyperlink>
    </w:p>
    <w:bookmarkEnd w:id="112"/>
    <w:bookmarkStart w:id="114" w:name="ref-clink2022"/>
    <w:p>
      <w:pPr>
        <w:pStyle w:val="Bibliography"/>
      </w:pPr>
      <w:r>
        <w:t xml:space="preserve">35.</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3">
        <w:r>
          <w:rPr>
            <w:rStyle w:val="Hyperlink"/>
          </w:rPr>
          <w:t xml:space="preserve">10.1093/ofid/ofac350</w:t>
        </w:r>
      </w:hyperlink>
    </w:p>
    <w:bookmarkEnd w:id="114"/>
    <w:bookmarkStart w:id="116" w:name="ref-eckhardt2022"/>
    <w:p>
      <w:pPr>
        <w:pStyle w:val="Bibliography"/>
      </w:pPr>
      <w:r>
        <w:t xml:space="preserve">36.</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5">
        <w:r>
          <w:rPr>
            <w:rStyle w:val="Hyperlink"/>
          </w:rPr>
          <w:t xml:space="preserve">10.1001/jamainternmed.2022.0170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3" Target="https://data.gov.sg/datasets/d_b09aeaf8eb591c4bfe347b66148c6b53/view" TargetMode="External" /><Relationship Type="http://schemas.openxmlformats.org/officeDocument/2006/relationships/hyperlink" Id="rId92"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5"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101"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90" Target="https://doi.org/10.1093/infdis/jis385" TargetMode="External" /><Relationship Type="http://schemas.openxmlformats.org/officeDocument/2006/relationships/hyperlink" Id="rId113"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11" Target="https://doi.org/10.11622/smedj.2020116" TargetMode="External" /><Relationship Type="http://schemas.openxmlformats.org/officeDocument/2006/relationships/hyperlink" Id="rId96" Target="https://doi.org/10.1214/20-BA1221" TargetMode="External" /><Relationship Type="http://schemas.openxmlformats.org/officeDocument/2006/relationships/hyperlink" Id="rId109" Target="https://doi.org/10.18637/jss.v040.i08" TargetMode="External" /><Relationship Type="http://schemas.openxmlformats.org/officeDocument/2006/relationships/hyperlink" Id="rId99" Target="https://doi.org/10.21105/joss.02505" TargetMode="External" /><Relationship Type="http://schemas.openxmlformats.org/officeDocument/2006/relationships/hyperlink" Id="rId94"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5" Target="https://www.nhghealth.com.sg/nsc/about-dsc-clinic/dsc-patient-information/dsc-services/clinic-charges/" TargetMode="External" /><Relationship Type="http://schemas.openxmlformats.org/officeDocument/2006/relationships/hyperlink" Id="rId107"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ata.gov.sg/datasets/d_b09aeaf8eb591c4bfe347b66148c6b53/view" TargetMode="External" /><Relationship Type="http://schemas.openxmlformats.org/officeDocument/2006/relationships/hyperlink" Id="rId92"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5"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101"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90" Target="https://doi.org/10.1093/infdis/jis385" TargetMode="External" /><Relationship Type="http://schemas.openxmlformats.org/officeDocument/2006/relationships/hyperlink" Id="rId113"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11" Target="https://doi.org/10.11622/smedj.2020116" TargetMode="External" /><Relationship Type="http://schemas.openxmlformats.org/officeDocument/2006/relationships/hyperlink" Id="rId96" Target="https://doi.org/10.1214/20-BA1221" TargetMode="External" /><Relationship Type="http://schemas.openxmlformats.org/officeDocument/2006/relationships/hyperlink" Id="rId109" Target="https://doi.org/10.18637/jss.v040.i08" TargetMode="External" /><Relationship Type="http://schemas.openxmlformats.org/officeDocument/2006/relationships/hyperlink" Id="rId99" Target="https://doi.org/10.21105/joss.02505" TargetMode="External" /><Relationship Type="http://schemas.openxmlformats.org/officeDocument/2006/relationships/hyperlink" Id="rId94"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5" Target="https://www.nhghealth.com.sg/nsc/about-dsc-clinic/dsc-patient-information/dsc-services/clinic-charges/" TargetMode="External" /><Relationship Type="http://schemas.openxmlformats.org/officeDocument/2006/relationships/hyperlink" Id="rId107"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2026-10-19T05:48:26Z</dcterms:created>
  <dcterms:modified xsi:type="dcterms:W3CDTF">2026-10-19T05:48:26Z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